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12E" w:rsidRPr="001F7EAC" w:rsidRDefault="00D305D9" w:rsidP="00D5012E">
      <w:pPr>
        <w:keepNext/>
        <w:spacing w:line="480" w:lineRule="auto"/>
        <w:jc w:val="both"/>
      </w:pPr>
      <w:r>
        <w:rPr>
          <w:b/>
          <w:bCs/>
        </w:rPr>
        <w:t>Supplemental Material</w:t>
      </w:r>
      <w:bookmarkStart w:id="0" w:name="_GoBack"/>
      <w:bookmarkEnd w:id="0"/>
      <w:r w:rsidR="00D5012E" w:rsidRPr="001F7EAC">
        <w:rPr>
          <w:b/>
          <w:bCs/>
        </w:rPr>
        <w:t xml:space="preserve">. </w:t>
      </w:r>
      <w:r w:rsidR="00D5012E" w:rsidRPr="001F7EAC">
        <w:t xml:space="preserve">Cluster importance and changeability ratings </w:t>
      </w:r>
    </w:p>
    <w:p w:rsidR="00D5012E" w:rsidRPr="001F7EAC" w:rsidRDefault="00D5012E" w:rsidP="00D5012E">
      <w:pPr>
        <w:keepNext/>
        <w:spacing w:line="480" w:lineRule="auto"/>
        <w:jc w:val="both"/>
      </w:pPr>
    </w:p>
    <w:tbl>
      <w:tblPr>
        <w:tblStyle w:val="TableGrid"/>
        <w:tblW w:w="12960" w:type="dxa"/>
        <w:tblLook w:val="04A0" w:firstRow="1" w:lastRow="0" w:firstColumn="1" w:lastColumn="0" w:noHBand="0" w:noVBand="1"/>
      </w:tblPr>
      <w:tblGrid>
        <w:gridCol w:w="9504"/>
        <w:gridCol w:w="1710"/>
        <w:gridCol w:w="1746"/>
      </w:tblGrid>
      <w:tr w:rsidR="00D5012E" w:rsidRPr="001F7EAC" w:rsidTr="00A85480">
        <w:tc>
          <w:tcPr>
            <w:tcW w:w="9504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  <w:sz w:val="24"/>
                <w:szCs w:val="24"/>
              </w:rPr>
            </w:pPr>
            <w:r w:rsidRPr="001F7EAC">
              <w:rPr>
                <w:b/>
                <w:bCs/>
                <w:sz w:val="24"/>
                <w:szCs w:val="24"/>
              </w:rPr>
              <w:t xml:space="preserve">Clusters and Statements </w:t>
            </w:r>
            <w:r w:rsidRPr="001F7EAC">
              <w:rPr>
                <w:i/>
                <w:iCs/>
                <w:sz w:val="24"/>
                <w:szCs w:val="24"/>
              </w:rPr>
              <w:t>(statement numbers in parentheses)</w:t>
            </w:r>
          </w:p>
        </w:tc>
        <w:tc>
          <w:tcPr>
            <w:tcW w:w="1710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  <w:sz w:val="24"/>
                <w:szCs w:val="24"/>
              </w:rPr>
            </w:pPr>
            <w:r w:rsidRPr="001F7EAC">
              <w:rPr>
                <w:b/>
                <w:bCs/>
                <w:sz w:val="24"/>
                <w:szCs w:val="24"/>
              </w:rPr>
              <w:t>Importance</w:t>
            </w:r>
          </w:p>
        </w:tc>
        <w:tc>
          <w:tcPr>
            <w:tcW w:w="1746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  <w:sz w:val="24"/>
                <w:szCs w:val="24"/>
              </w:rPr>
            </w:pPr>
            <w:r w:rsidRPr="001F7EAC">
              <w:rPr>
                <w:b/>
                <w:bCs/>
                <w:sz w:val="24"/>
                <w:szCs w:val="24"/>
              </w:rPr>
              <w:t>Changeability</w:t>
            </w:r>
          </w:p>
        </w:tc>
      </w:tr>
      <w:tr w:rsidR="00D5012E" w:rsidRPr="001F7EAC" w:rsidTr="00A85480">
        <w:tc>
          <w:tcPr>
            <w:tcW w:w="9504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  <w:r w:rsidRPr="001F7EAC">
              <w:rPr>
                <w:b/>
                <w:bCs/>
              </w:rPr>
              <w:t>Cluster 1: Current workforce characteristics</w:t>
            </w:r>
          </w:p>
          <w:p w:rsidR="00D5012E" w:rsidRPr="001F7EAC" w:rsidRDefault="00D5012E" w:rsidP="00A85480">
            <w:pPr>
              <w:spacing w:line="480" w:lineRule="auto"/>
              <w:ind w:firstLine="64"/>
              <w:jc w:val="both"/>
            </w:pPr>
            <w:r w:rsidRPr="001F7EAC">
              <w:t xml:space="preserve">(1)    High staff turnover negatively affects such collaborative efforts. </w:t>
            </w:r>
          </w:p>
          <w:p w:rsidR="00D5012E" w:rsidRPr="001F7EAC" w:rsidRDefault="00D5012E" w:rsidP="00A85480">
            <w:pPr>
              <w:spacing w:line="480" w:lineRule="auto"/>
              <w:ind w:firstLine="64"/>
              <w:jc w:val="both"/>
            </w:pPr>
            <w:r w:rsidRPr="001F7EAC">
              <w:t xml:space="preserve">(18)  Lack of clear roles and responsibilities. </w:t>
            </w:r>
          </w:p>
          <w:p w:rsidR="00D5012E" w:rsidRPr="001F7EAC" w:rsidRDefault="00D5012E" w:rsidP="00A85480">
            <w:pPr>
              <w:spacing w:line="480" w:lineRule="auto"/>
              <w:ind w:firstLine="64"/>
              <w:jc w:val="both"/>
            </w:pPr>
            <w:r w:rsidRPr="001F7EAC">
              <w:t xml:space="preserve">(20)  Resistance from professionals who see task shifting as poor medicine for poor people. </w:t>
            </w:r>
          </w:p>
          <w:p w:rsidR="00D5012E" w:rsidRPr="001F7EAC" w:rsidRDefault="00D5012E" w:rsidP="00A85480">
            <w:pPr>
              <w:spacing w:line="480" w:lineRule="auto"/>
              <w:ind w:firstLine="64"/>
              <w:jc w:val="both"/>
            </w:pPr>
            <w:r w:rsidRPr="001F7EAC">
              <w:t xml:space="preserve">(21)  High turn-over of trained workers. </w:t>
            </w:r>
          </w:p>
          <w:p w:rsidR="00D5012E" w:rsidRPr="001F7EAC" w:rsidRDefault="00D5012E" w:rsidP="00A85480">
            <w:pPr>
              <w:spacing w:line="480" w:lineRule="auto"/>
              <w:ind w:firstLine="64"/>
              <w:jc w:val="both"/>
            </w:pPr>
            <w:r w:rsidRPr="001F7EAC">
              <w:t xml:space="preserve">(47)  Unmotivated workforce. </w:t>
            </w:r>
          </w:p>
          <w:p w:rsidR="00D5012E" w:rsidRPr="001F7EAC" w:rsidRDefault="00D5012E" w:rsidP="00A85480">
            <w:pPr>
              <w:spacing w:line="480" w:lineRule="auto"/>
              <w:ind w:firstLine="64"/>
              <w:jc w:val="both"/>
              <w:rPr>
                <w:b/>
                <w:bCs/>
              </w:rPr>
            </w:pPr>
            <w:r w:rsidRPr="001F7EAC">
              <w:t xml:space="preserve">(65)  Do not introduce a new mental health </w:t>
            </w:r>
            <w:proofErr w:type="spellStart"/>
            <w:r w:rsidRPr="001F7EAC">
              <w:t>cadre</w:t>
            </w:r>
            <w:proofErr w:type="spellEnd"/>
            <w:r w:rsidRPr="001F7EAC">
              <w:t>.</w:t>
            </w:r>
          </w:p>
        </w:tc>
        <w:tc>
          <w:tcPr>
            <w:tcW w:w="1710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t>3.5493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  <w:tc>
          <w:tcPr>
            <w:tcW w:w="1746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t>3.681633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</w:tr>
      <w:tr w:rsidR="00D5012E" w:rsidRPr="001F7EAC" w:rsidTr="00A85480">
        <w:tc>
          <w:tcPr>
            <w:tcW w:w="9504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  <w:r w:rsidRPr="001F7EAC">
              <w:rPr>
                <w:b/>
                <w:bCs/>
              </w:rPr>
              <w:t xml:space="preserve">Cluster 2: Exploration considerations for outer context engagement </w:t>
            </w:r>
          </w:p>
          <w:p w:rsidR="00D5012E" w:rsidRPr="001F7EAC" w:rsidRDefault="00D5012E" w:rsidP="00A85480">
            <w:pPr>
              <w:spacing w:line="480" w:lineRule="auto"/>
              <w:ind w:left="424" w:hanging="360"/>
              <w:jc w:val="both"/>
            </w:pPr>
            <w:r w:rsidRPr="001F7EAC">
              <w:t xml:space="preserve">(3)    Lack of ownership and responsibility from the Ministry of Health officials. </w:t>
            </w:r>
          </w:p>
          <w:p w:rsidR="00D5012E" w:rsidRPr="001F7EAC" w:rsidRDefault="00D5012E" w:rsidP="00A85480">
            <w:pPr>
              <w:spacing w:line="480" w:lineRule="auto"/>
              <w:ind w:left="514" w:hanging="450"/>
              <w:jc w:val="both"/>
            </w:pPr>
            <w:r w:rsidRPr="001F7EAC">
              <w:t>(17)  Limited knowledge about mental illness prevents individuals from recognizing mental illness and seeking treatment.</w:t>
            </w:r>
          </w:p>
          <w:p w:rsidR="00D5012E" w:rsidRPr="001F7EAC" w:rsidRDefault="00D5012E" w:rsidP="00A85480">
            <w:pPr>
              <w:spacing w:line="480" w:lineRule="auto"/>
              <w:ind w:left="424" w:hanging="360"/>
              <w:jc w:val="both"/>
            </w:pPr>
            <w:r w:rsidRPr="001F7EAC">
              <w:t xml:space="preserve">(31)  Ministry of Health view that mental health non-specialist workforce </w:t>
            </w:r>
            <w:proofErr w:type="gramStart"/>
            <w:r w:rsidRPr="001F7EAC">
              <w:t>are</w:t>
            </w:r>
            <w:proofErr w:type="gramEnd"/>
            <w:r w:rsidRPr="001F7EAC">
              <w:t xml:space="preserve"> not a reliable</w:t>
            </w:r>
          </w:p>
          <w:p w:rsidR="00D5012E" w:rsidRPr="001F7EAC" w:rsidRDefault="00D5012E" w:rsidP="00A85480">
            <w:pPr>
              <w:spacing w:line="480" w:lineRule="auto"/>
              <w:ind w:left="424" w:hanging="360"/>
              <w:jc w:val="both"/>
            </w:pPr>
            <w:r w:rsidRPr="001F7EAC">
              <w:t xml:space="preserve">         cadre of personnel.</w:t>
            </w:r>
          </w:p>
          <w:p w:rsidR="00D5012E" w:rsidRPr="001F7EAC" w:rsidRDefault="00D5012E" w:rsidP="00A85480">
            <w:pPr>
              <w:spacing w:line="480" w:lineRule="auto"/>
              <w:ind w:left="424" w:hanging="360"/>
              <w:jc w:val="both"/>
              <w:rPr>
                <w:b/>
                <w:bCs/>
              </w:rPr>
            </w:pPr>
            <w:r w:rsidRPr="001F7EAC">
              <w:t>(45)  Quality of health services.</w:t>
            </w:r>
          </w:p>
        </w:tc>
        <w:tc>
          <w:tcPr>
            <w:tcW w:w="1710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t>4.063825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  <w:tc>
          <w:tcPr>
            <w:tcW w:w="1746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t>3.99125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</w:tr>
      <w:tr w:rsidR="00D5012E" w:rsidRPr="001F7EAC" w:rsidTr="00A85480">
        <w:tc>
          <w:tcPr>
            <w:tcW w:w="9504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  <w:r w:rsidRPr="001F7EAC">
              <w:rPr>
                <w:b/>
                <w:bCs/>
              </w:rPr>
              <w:t>Cluster 3: Preparation considerations for the scope of what researchers can do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</w:pPr>
            <w:r w:rsidRPr="001F7EAC">
              <w:lastRenderedPageBreak/>
              <w:t xml:space="preserve">(3)   Lack of ownership and responsibility from the Ministry of Health officials. 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</w:pPr>
            <w:r w:rsidRPr="001F7EAC">
              <w:t>(17) Limited knowledge about mental illness prevents individuals from recognizing mental illness and seeking treatment.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</w:pPr>
            <w:r w:rsidRPr="001F7EAC">
              <w:t xml:space="preserve">(31) Ministry of Health view that mental health non-specialist workforce </w:t>
            </w:r>
            <w:proofErr w:type="gramStart"/>
            <w:r w:rsidRPr="001F7EAC">
              <w:t>are</w:t>
            </w:r>
            <w:proofErr w:type="gramEnd"/>
            <w:r w:rsidRPr="001F7EAC">
              <w:t xml:space="preserve"> not a reliable cadre of personnel.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  <w:rPr>
                <w:b/>
                <w:bCs/>
              </w:rPr>
            </w:pPr>
            <w:r w:rsidRPr="001F7EAC">
              <w:t>(45) Quality of health services.</w:t>
            </w:r>
          </w:p>
        </w:tc>
        <w:tc>
          <w:tcPr>
            <w:tcW w:w="1710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lastRenderedPageBreak/>
              <w:t>3.564333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  <w:tc>
          <w:tcPr>
            <w:tcW w:w="1746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lastRenderedPageBreak/>
              <w:t>3.7672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</w:tr>
      <w:tr w:rsidR="00D5012E" w:rsidRPr="001F7EAC" w:rsidTr="00A85480">
        <w:tc>
          <w:tcPr>
            <w:tcW w:w="9504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  <w:r w:rsidRPr="001F7EAC">
              <w:rPr>
                <w:b/>
                <w:bCs/>
              </w:rPr>
              <w:lastRenderedPageBreak/>
              <w:t xml:space="preserve">Cluster 4: Sustainment considerations - outer context issues </w:t>
            </w:r>
          </w:p>
          <w:p w:rsidR="00D5012E" w:rsidRPr="001F7EAC" w:rsidRDefault="00D5012E" w:rsidP="00A85480">
            <w:pPr>
              <w:spacing w:line="480" w:lineRule="auto"/>
              <w:ind w:left="70"/>
              <w:jc w:val="both"/>
            </w:pPr>
            <w:r w:rsidRPr="001F7EAC">
              <w:t>(24) Insufficient participant reimbursement rates.</w:t>
            </w:r>
          </w:p>
          <w:p w:rsidR="00D5012E" w:rsidRPr="001F7EAC" w:rsidRDefault="00D5012E" w:rsidP="00A85480">
            <w:pPr>
              <w:spacing w:line="480" w:lineRule="auto"/>
              <w:ind w:left="70"/>
              <w:jc w:val="both"/>
            </w:pPr>
            <w:r w:rsidRPr="001F7EAC">
              <w:t>(52) Sustainment challenges.</w:t>
            </w:r>
          </w:p>
          <w:p w:rsidR="00D5012E" w:rsidRPr="001F7EAC" w:rsidRDefault="00D5012E" w:rsidP="00A85480">
            <w:pPr>
              <w:spacing w:line="480" w:lineRule="auto"/>
              <w:ind w:left="70"/>
              <w:jc w:val="both"/>
            </w:pPr>
            <w:r w:rsidRPr="001F7EAC">
              <w:t>(48) Government jobs are sought after.</w:t>
            </w:r>
          </w:p>
          <w:p w:rsidR="00D5012E" w:rsidRPr="001F7EAC" w:rsidRDefault="00D5012E" w:rsidP="00A85480">
            <w:pPr>
              <w:spacing w:line="480" w:lineRule="auto"/>
              <w:ind w:left="70"/>
              <w:jc w:val="both"/>
              <w:rPr>
                <w:b/>
                <w:bCs/>
              </w:rPr>
            </w:pPr>
            <w:r w:rsidRPr="001F7EAC">
              <w:t>(50) Consider stakeholder turnover during implementation.</w:t>
            </w:r>
          </w:p>
        </w:tc>
        <w:tc>
          <w:tcPr>
            <w:tcW w:w="1710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t>3.409975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  <w:tc>
          <w:tcPr>
            <w:tcW w:w="1746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t>3.568925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</w:tr>
      <w:tr w:rsidR="00D5012E" w:rsidRPr="001F7EAC" w:rsidTr="00A85480">
        <w:tc>
          <w:tcPr>
            <w:tcW w:w="9504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  <w:r w:rsidRPr="001F7EAC">
              <w:rPr>
                <w:b/>
                <w:bCs/>
              </w:rPr>
              <w:t>Cluster 5: Inner context implementation processes and tools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 xml:space="preserve">(2)   Provision of electronic navigation. 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 xml:space="preserve">(4)   Timely communication, both formal and informal. 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 xml:space="preserve">(14) Provide in-person navigation. 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>(39) Addition to EMS.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 xml:space="preserve">(7)   Effective treatment of mentally ill patient. 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 xml:space="preserve">(15) Follow-up with participants at the community level to better understand access to care issues. 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  <w:rPr>
                <w:b/>
                <w:bCs/>
              </w:rPr>
            </w:pPr>
            <w:r w:rsidRPr="001F7EAC">
              <w:lastRenderedPageBreak/>
              <w:t>(58) Supervision for non-specialized providers.</w:t>
            </w:r>
          </w:p>
        </w:tc>
        <w:tc>
          <w:tcPr>
            <w:tcW w:w="1710" w:type="dxa"/>
          </w:tcPr>
          <w:p w:rsidR="00D5012E" w:rsidRPr="001F7EAC" w:rsidRDefault="00D5012E" w:rsidP="00A85480">
            <w:pPr>
              <w:spacing w:line="480" w:lineRule="auto"/>
              <w:jc w:val="both"/>
            </w:pPr>
            <w:r w:rsidRPr="001F7EAC">
              <w:lastRenderedPageBreak/>
              <w:t>4.171971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  <w:tc>
          <w:tcPr>
            <w:tcW w:w="1746" w:type="dxa"/>
          </w:tcPr>
          <w:p w:rsidR="00D5012E" w:rsidRPr="001F7EAC" w:rsidRDefault="00D5012E" w:rsidP="00A85480">
            <w:pPr>
              <w:spacing w:line="480" w:lineRule="auto"/>
              <w:jc w:val="both"/>
            </w:pPr>
            <w:r w:rsidRPr="001F7EAC">
              <w:t>4.178457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</w:tr>
      <w:tr w:rsidR="00D5012E" w:rsidRPr="001F7EAC" w:rsidTr="00A85480">
        <w:tc>
          <w:tcPr>
            <w:tcW w:w="9504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  <w:r w:rsidRPr="001F7EAC">
              <w:rPr>
                <w:b/>
                <w:bCs/>
              </w:rPr>
              <w:t>Cluster 6: Local capacity and partnerships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 xml:space="preserve">(6)   Community mental health service seeking. 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>(68) Ministry supported community health workers.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>(69) Have a village health team (local people within the community).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>(27) Identify partners with shared interests.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  <w:rPr>
                <w:b/>
                <w:bCs/>
              </w:rPr>
            </w:pPr>
            <w:r w:rsidRPr="001F7EAC">
              <w:t>(40) Initiate sensitization sessions with stakeholders about mental health service delivery.</w:t>
            </w:r>
          </w:p>
        </w:tc>
        <w:tc>
          <w:tcPr>
            <w:tcW w:w="1710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t>4.35746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  <w:tc>
          <w:tcPr>
            <w:tcW w:w="1746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t>4.21008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</w:tr>
      <w:tr w:rsidR="00D5012E" w:rsidRPr="001F7EAC" w:rsidTr="00A85480">
        <w:tc>
          <w:tcPr>
            <w:tcW w:w="9504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  <w:r w:rsidRPr="001F7EAC">
              <w:rPr>
                <w:b/>
                <w:bCs/>
              </w:rPr>
              <w:t>Cluster 7: Financing for community health teams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>(10) Political will/support.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>(41) Allocated financial resources (budgeted funds for this scale-up process).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>(53) Payment for village health teams.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>(34) Facilitate airtime reimbursement.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  <w:rPr>
                <w:b/>
                <w:bCs/>
              </w:rPr>
            </w:pPr>
            <w:r w:rsidRPr="001F7EAC">
              <w:t>(57) Engage village health team members to provide care.</w:t>
            </w:r>
          </w:p>
        </w:tc>
        <w:tc>
          <w:tcPr>
            <w:tcW w:w="1710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t>4.07076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  <w:tc>
          <w:tcPr>
            <w:tcW w:w="1746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t>4.1554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</w:tr>
      <w:tr w:rsidR="00D5012E" w:rsidRPr="001F7EAC" w:rsidTr="00A85480">
        <w:tc>
          <w:tcPr>
            <w:tcW w:w="9504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  <w:bookmarkStart w:id="1" w:name="_Hlk162370112"/>
            <w:r w:rsidRPr="001F7EAC">
              <w:rPr>
                <w:b/>
                <w:bCs/>
              </w:rPr>
              <w:t>Cluster 8: Outer context resource allocation/policy into action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</w:pPr>
            <w:r w:rsidRPr="001F7EAC">
              <w:t xml:space="preserve">(5)   Timely mental health assessment and treatment. 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</w:pPr>
            <w:r w:rsidRPr="001F7EAC">
              <w:t xml:space="preserve">(8)   Availability of drugs, equipment and commodity needed for mental health treatment. 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</w:pPr>
            <w:r w:rsidRPr="001F7EAC">
              <w:t>(9)   Availability of medicines.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</w:pPr>
            <w:r w:rsidRPr="001F7EAC">
              <w:t>(16) Survey questions should yield appropriate information about participant needs.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</w:pPr>
            <w:r w:rsidRPr="001F7EAC">
              <w:lastRenderedPageBreak/>
              <w:t>(35) Availability of mental health services in all levels of healthcare delivery points.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</w:pPr>
            <w:r w:rsidRPr="001F7EAC">
              <w:t>(36) Government and leadership policies that promote sustainability.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</w:pPr>
            <w:r w:rsidRPr="001F7EAC">
              <w:t>(30) Engage government (e.g., Ministry of Health, Ministry of Education, etc.) leadership in initial planning activities.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</w:pPr>
            <w:r w:rsidRPr="001F7EAC">
              <w:t>(46) The county's commitment to improving mental healthcare.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</w:pPr>
            <w:r w:rsidRPr="001F7EAC">
              <w:t>(56) Add mental health education to the village health team manual.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  <w:rPr>
                <w:b/>
                <w:bCs/>
              </w:rPr>
            </w:pPr>
            <w:r w:rsidRPr="001F7EAC">
              <w:t>(66) Use existing community health strategy.</w:t>
            </w:r>
            <w:bookmarkEnd w:id="1"/>
          </w:p>
        </w:tc>
        <w:tc>
          <w:tcPr>
            <w:tcW w:w="1710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lastRenderedPageBreak/>
              <w:t>4.46203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  <w:tc>
          <w:tcPr>
            <w:tcW w:w="1746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t>4.37367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</w:tr>
      <w:tr w:rsidR="00D5012E" w:rsidRPr="001F7EAC" w:rsidTr="00A85480">
        <w:tc>
          <w:tcPr>
            <w:tcW w:w="9504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  <w:r w:rsidRPr="001F7EAC">
              <w:rPr>
                <w:b/>
                <w:bCs/>
              </w:rPr>
              <w:t>Cluster 9: Workforce characteristics to enhance during implementation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>(11) Workforce capacity - staffing.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>(12) Workforce qualifications, skill level.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  <w:rPr>
                <w:b/>
                <w:bCs/>
              </w:rPr>
            </w:pPr>
            <w:r w:rsidRPr="001F7EAC">
              <w:t>(32) Non-specialist workforce should play a major role.</w:t>
            </w:r>
          </w:p>
        </w:tc>
        <w:tc>
          <w:tcPr>
            <w:tcW w:w="1710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t>4.070733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  <w:tc>
          <w:tcPr>
            <w:tcW w:w="1746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t>4.044867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</w:tr>
      <w:tr w:rsidR="00D5012E" w:rsidRPr="001F7EAC" w:rsidTr="00A85480">
        <w:tc>
          <w:tcPr>
            <w:tcW w:w="9504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  <w:r w:rsidRPr="001F7EAC">
              <w:rPr>
                <w:b/>
                <w:bCs/>
              </w:rPr>
              <w:t>Cluster 10: Workforce implementation strategies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>(42) Capacity building of healthcare workers at all levels in management of mental health.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>(63) Engage professionals from different fields as non-specialist providers.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>(44) Offering continuous medical education to the providers.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>(59) Train psychologists to supervise community health workers.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>(61) Train nurses and clinical officers on IPT.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  <w:rPr>
                <w:b/>
                <w:bCs/>
              </w:rPr>
            </w:pPr>
            <w:r w:rsidRPr="001F7EAC">
              <w:t>(70) Involve educational institutions.</w:t>
            </w:r>
          </w:p>
        </w:tc>
        <w:tc>
          <w:tcPr>
            <w:tcW w:w="1710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t>4.263883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  <w:tc>
          <w:tcPr>
            <w:tcW w:w="1746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t>4.33345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</w:tr>
      <w:tr w:rsidR="00D5012E" w:rsidRPr="001F7EAC" w:rsidTr="00A85480">
        <w:tc>
          <w:tcPr>
            <w:tcW w:w="9504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  <w:r w:rsidRPr="001F7EAC">
              <w:rPr>
                <w:b/>
                <w:bCs/>
              </w:rPr>
              <w:lastRenderedPageBreak/>
              <w:t xml:space="preserve">Cluster 11: Cross-level workforce strategies 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</w:pPr>
            <w:r w:rsidRPr="001F7EAC">
              <w:t xml:space="preserve">(13) Collaboration between the Ministry of Health and mental health non-specialist workforce in implementing training program. 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</w:pPr>
            <w:r w:rsidRPr="001F7EAC">
              <w:t>(37) Government and leadership policies that promote continuous mentorship/training for the mental health non-specialist workforce.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</w:pPr>
            <w:r w:rsidRPr="001F7EAC">
              <w:t>(38) Collaborative, public-private partnerships to build capacity for non-specialist workforce.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</w:pPr>
            <w:r w:rsidRPr="001F7EAC">
              <w:t>(49) Identify who will be trained (e.g., police, teachers).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</w:pPr>
            <w:r w:rsidRPr="001F7EAC">
              <w:t>(60) Have a targeted mental health curriculum.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</w:pPr>
            <w:r w:rsidRPr="001F7EAC">
              <w:t>(64) Make the existing mental health cadre more competent.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</w:pPr>
            <w:r w:rsidRPr="001F7EAC">
              <w:t xml:space="preserve">(19) Clear definition for identifying the mental health non-specialist workforce. 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</w:pPr>
            <w:r w:rsidRPr="001F7EAC">
              <w:t>(33) Availability of human capital in the health products and technology field.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</w:pPr>
            <w:r w:rsidRPr="001F7EAC">
              <w:t>(67) Integrate non-specialists into government service system.</w:t>
            </w:r>
          </w:p>
          <w:p w:rsidR="00D5012E" w:rsidRPr="001F7EAC" w:rsidRDefault="00D5012E" w:rsidP="00A85480">
            <w:pPr>
              <w:spacing w:line="480" w:lineRule="auto"/>
              <w:ind w:left="520" w:hanging="450"/>
              <w:jc w:val="both"/>
              <w:rPr>
                <w:b/>
                <w:bCs/>
              </w:rPr>
            </w:pPr>
            <w:r w:rsidRPr="001F7EAC">
              <w:t>(71) Non-specialists help address stigma.</w:t>
            </w:r>
          </w:p>
        </w:tc>
        <w:tc>
          <w:tcPr>
            <w:tcW w:w="1710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t>4.30508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  <w:tc>
          <w:tcPr>
            <w:tcW w:w="1746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t>4.28123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</w:tr>
      <w:tr w:rsidR="00D5012E" w:rsidRPr="001F7EAC" w:rsidTr="00A85480">
        <w:tc>
          <w:tcPr>
            <w:tcW w:w="9504" w:type="dxa"/>
          </w:tcPr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  <w:r w:rsidRPr="001F7EAC">
              <w:rPr>
                <w:b/>
                <w:bCs/>
              </w:rPr>
              <w:t>Cluster 12: Training and education recommendations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>(28) Enhance psychoeducation.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>(43) Expansion of mental healthcare from hospital to learning institutions.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>(54) Training manual should be brief.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</w:pPr>
            <w:r w:rsidRPr="001F7EAC">
              <w:t>(55) Training manual should be modular.</w:t>
            </w:r>
          </w:p>
          <w:p w:rsidR="00D5012E" w:rsidRPr="001F7EAC" w:rsidRDefault="00D5012E" w:rsidP="00A85480">
            <w:pPr>
              <w:spacing w:line="480" w:lineRule="auto"/>
              <w:ind w:firstLine="70"/>
              <w:jc w:val="both"/>
              <w:rPr>
                <w:b/>
                <w:bCs/>
              </w:rPr>
            </w:pPr>
            <w:r w:rsidRPr="001F7EAC">
              <w:lastRenderedPageBreak/>
              <w:t>(62) Provide a certificate for IPT.</w:t>
            </w:r>
          </w:p>
        </w:tc>
        <w:tc>
          <w:tcPr>
            <w:tcW w:w="1710" w:type="dxa"/>
            <w:shd w:val="clear" w:color="auto" w:fill="auto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lastRenderedPageBreak/>
              <w:t>4.02628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  <w:tc>
          <w:tcPr>
            <w:tcW w:w="1746" w:type="dxa"/>
            <w:shd w:val="clear" w:color="auto" w:fill="auto"/>
          </w:tcPr>
          <w:p w:rsidR="00D5012E" w:rsidRPr="001F7EAC" w:rsidRDefault="00D5012E" w:rsidP="00A85480">
            <w:pPr>
              <w:spacing w:line="480" w:lineRule="auto"/>
              <w:jc w:val="both"/>
              <w:rPr>
                <w:color w:val="000000"/>
              </w:rPr>
            </w:pPr>
            <w:r w:rsidRPr="001F7EAC">
              <w:rPr>
                <w:color w:val="000000"/>
              </w:rPr>
              <w:t>4.33616</w:t>
            </w:r>
          </w:p>
          <w:p w:rsidR="00D5012E" w:rsidRPr="001F7EAC" w:rsidRDefault="00D5012E" w:rsidP="00A85480">
            <w:pPr>
              <w:spacing w:line="480" w:lineRule="auto"/>
              <w:jc w:val="both"/>
              <w:rPr>
                <w:b/>
                <w:bCs/>
              </w:rPr>
            </w:pPr>
          </w:p>
        </w:tc>
      </w:tr>
    </w:tbl>
    <w:p w:rsidR="00D5012E" w:rsidRPr="001F7EAC" w:rsidRDefault="00D5012E" w:rsidP="00D5012E">
      <w:pPr>
        <w:spacing w:line="480" w:lineRule="auto"/>
        <w:jc w:val="both"/>
        <w:rPr>
          <w:b/>
          <w:bCs/>
        </w:rPr>
      </w:pPr>
    </w:p>
    <w:p w:rsidR="00F230E7" w:rsidRDefault="00F230E7"/>
    <w:sectPr w:rsidR="00F230E7" w:rsidSect="00D01BA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12E"/>
    <w:rsid w:val="00D305D9"/>
    <w:rsid w:val="00D5012E"/>
    <w:rsid w:val="00F2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989FE"/>
  <w15:chartTrackingRefBased/>
  <w15:docId w15:val="{8F18A162-5B27-4ED8-AB4A-7E4C6A223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012E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012E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Crable, Erika</dc:creator>
  <cp:keywords/>
  <dc:description/>
  <cp:lastModifiedBy>Crable, Erika</cp:lastModifiedBy>
  <cp:revision>2</cp:revision>
  <dcterms:created xsi:type="dcterms:W3CDTF">2024-07-06T01:10:00Z</dcterms:created>
  <dcterms:modified xsi:type="dcterms:W3CDTF">2024-07-06T01:23:00Z</dcterms:modified>
</cp:coreProperties>
</file>