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9DA0" w14:textId="77777777" w:rsidR="006E4DAB" w:rsidRPr="00203D3F" w:rsidRDefault="006E4DAB" w:rsidP="006E4DAB">
      <w:pPr>
        <w:pStyle w:val="NoSpacing"/>
        <w:spacing w:line="480" w:lineRule="auto"/>
        <w:ind w:firstLine="720"/>
        <w:jc w:val="center"/>
        <w:rPr>
          <w:rFonts w:eastAsia="SimHei"/>
          <w:b/>
          <w:bCs/>
        </w:rPr>
      </w:pPr>
      <w:r w:rsidRPr="00203D3F">
        <w:rPr>
          <w:rFonts w:eastAsia="SimHei"/>
          <w:b/>
          <w:bCs/>
        </w:rPr>
        <w:t>Supplementary File</w:t>
      </w:r>
    </w:p>
    <w:p w14:paraId="2DCCF29F" w14:textId="77777777" w:rsidR="006E4DAB" w:rsidRPr="00203D3F" w:rsidRDefault="006E4DAB" w:rsidP="006E4DAB">
      <w:pPr>
        <w:pStyle w:val="NoSpacing"/>
        <w:spacing w:line="480" w:lineRule="auto"/>
        <w:rPr>
          <w:rFonts w:eastAsia="SimHei"/>
          <w:i/>
          <w:iCs/>
        </w:rPr>
      </w:pPr>
    </w:p>
    <w:p w14:paraId="2A847C07" w14:textId="77777777" w:rsidR="006E4DAB" w:rsidRPr="00203D3F" w:rsidRDefault="006E4DAB" w:rsidP="006E4DAB">
      <w:pPr>
        <w:pStyle w:val="NoSpacing"/>
        <w:spacing w:line="480" w:lineRule="auto"/>
        <w:rPr>
          <w:rFonts w:eastAsia="SimHei"/>
          <w:i/>
          <w:iCs/>
        </w:rPr>
      </w:pPr>
      <w:r w:rsidRPr="00203D3F">
        <w:rPr>
          <w:rFonts w:eastAsia="SimHei"/>
          <w:i/>
          <w:iCs/>
        </w:rPr>
        <w:t>Open Access Resources</w:t>
      </w:r>
    </w:p>
    <w:p w14:paraId="3796F036" w14:textId="77777777" w:rsidR="006E4DAB" w:rsidRPr="00203D3F" w:rsidRDefault="006E4DAB" w:rsidP="006E4DAB">
      <w:pPr>
        <w:pStyle w:val="NoSpacing"/>
        <w:spacing w:line="480" w:lineRule="auto"/>
        <w:rPr>
          <w:rFonts w:eastAsia="SimHei"/>
          <w:i/>
          <w:iCs/>
        </w:rPr>
      </w:pPr>
      <w:r w:rsidRPr="00203D3F">
        <w:rPr>
          <w:rFonts w:eastAsia="SimHei"/>
          <w:b/>
          <w:bCs/>
        </w:rPr>
        <w:t>WHO/TDR Practical Guide on Crowdsourcing in Health and Health Research:</w:t>
      </w:r>
      <w:r w:rsidRPr="00203D3F">
        <w:rPr>
          <w:rFonts w:eastAsia="SimHei"/>
        </w:rPr>
        <w:t xml:space="preserve"> </w:t>
      </w:r>
      <w:hyperlink r:id="rId4">
        <w:r w:rsidRPr="00203D3F">
          <w:rPr>
            <w:rStyle w:val="Hyperlink"/>
            <w:rFonts w:eastAsia="SimHei"/>
          </w:rPr>
          <w:t>https://iris.who.int/handle/10665/273039</w:t>
        </w:r>
      </w:hyperlink>
    </w:p>
    <w:p w14:paraId="348A0F06" w14:textId="77777777" w:rsidR="006E4DAB" w:rsidRPr="00203D3F" w:rsidRDefault="006E4DAB" w:rsidP="006E4DAB">
      <w:pPr>
        <w:pStyle w:val="NoSpacing"/>
        <w:spacing w:line="480" w:lineRule="auto"/>
        <w:rPr>
          <w:rFonts w:eastAsia="SimHei"/>
          <w:lang w:val="en-US"/>
        </w:rPr>
      </w:pPr>
      <w:r w:rsidRPr="318C81B2">
        <w:rPr>
          <w:rFonts w:eastAsia="SimHei"/>
          <w:lang w:val="en-US"/>
        </w:rPr>
        <w:t xml:space="preserve">This guide aims to provide practical advice on designing, implementing, and evaluating crowdsourcing activities for health. It was developed by Social Entrepreneurship to Spur Health (SESH) and the Social Innovation in Health Initiative (SIHI). </w:t>
      </w:r>
    </w:p>
    <w:p w14:paraId="2F6F36FE" w14:textId="77777777" w:rsidR="006E4DAB" w:rsidRPr="00203D3F" w:rsidRDefault="006E4DAB" w:rsidP="006E4DAB">
      <w:pPr>
        <w:pStyle w:val="NoSpacing"/>
        <w:spacing w:line="480" w:lineRule="auto"/>
        <w:rPr>
          <w:rFonts w:eastAsia="SimHei"/>
          <w:b/>
          <w:bCs/>
        </w:rPr>
      </w:pPr>
    </w:p>
    <w:p w14:paraId="589D71A2" w14:textId="77777777" w:rsidR="006E4DAB" w:rsidRPr="00203D3F" w:rsidRDefault="006E4DAB" w:rsidP="006E4DAB">
      <w:pPr>
        <w:pStyle w:val="NoSpacing"/>
        <w:spacing w:line="480" w:lineRule="auto"/>
        <w:rPr>
          <w:rFonts w:eastAsia="SimHei"/>
        </w:rPr>
      </w:pPr>
      <w:r w:rsidRPr="00203D3F">
        <w:rPr>
          <w:rFonts w:eastAsia="SimHei"/>
          <w:b/>
          <w:bCs/>
        </w:rPr>
        <w:t>WHO/TDR Practical Guide on Public Engagement and Crowdfunding:</w:t>
      </w:r>
      <w:r w:rsidRPr="00203D3F">
        <w:rPr>
          <w:rFonts w:eastAsia="SimHei"/>
        </w:rPr>
        <w:t xml:space="preserve"> </w:t>
      </w:r>
      <w:hyperlink r:id="rId5">
        <w:r w:rsidRPr="00203D3F">
          <w:rPr>
            <w:rStyle w:val="Hyperlink"/>
            <w:rFonts w:eastAsia="SimHei"/>
          </w:rPr>
          <w:t>https://crowdfundinghealth.org/</w:t>
        </w:r>
      </w:hyperlink>
    </w:p>
    <w:p w14:paraId="2B1D3902" w14:textId="77777777" w:rsidR="006E4DAB" w:rsidRPr="00203D3F" w:rsidRDefault="006E4DAB" w:rsidP="006E4DAB">
      <w:pPr>
        <w:pStyle w:val="NoSpacing"/>
        <w:spacing w:line="480" w:lineRule="auto"/>
        <w:rPr>
          <w:rFonts w:eastAsia="SimHei"/>
          <w:lang w:val="en-US"/>
        </w:rPr>
      </w:pPr>
      <w:r w:rsidRPr="318C81B2">
        <w:rPr>
          <w:rFonts w:eastAsia="SimHei"/>
          <w:lang w:val="en-US"/>
        </w:rPr>
        <w:t>This practical guide provides tools, open access resources and advice for researchers, especially those living in low- and middle-income countries. The practical guide was piloted and tested by TDR Global (Special Programme for Research and Training in Tropical Diseases), a worldwide community of passionate scientists and experts who have been working with TDR on research on infectious diseases of poverty.</w:t>
      </w:r>
    </w:p>
    <w:p w14:paraId="1B20BD72" w14:textId="77777777" w:rsidR="006E4DAB" w:rsidRPr="00203D3F" w:rsidRDefault="006E4DAB" w:rsidP="006E4DAB">
      <w:pPr>
        <w:pStyle w:val="NoSpacing"/>
        <w:spacing w:line="480" w:lineRule="auto"/>
        <w:rPr>
          <w:rFonts w:eastAsia="SimHei"/>
        </w:rPr>
      </w:pPr>
    </w:p>
    <w:p w14:paraId="52108F56" w14:textId="77777777" w:rsidR="006E4DAB" w:rsidRPr="00203D3F" w:rsidRDefault="006E4DAB" w:rsidP="006E4DAB">
      <w:pPr>
        <w:pStyle w:val="NoSpacing"/>
        <w:spacing w:line="480" w:lineRule="auto"/>
        <w:rPr>
          <w:rFonts w:eastAsia="SimHei"/>
          <w:lang w:val="en-US"/>
        </w:rPr>
      </w:pPr>
      <w:r w:rsidRPr="318C81B2">
        <w:rPr>
          <w:rFonts w:eastAsia="SimHei"/>
          <w:b/>
          <w:bCs/>
          <w:lang w:val="en-US"/>
        </w:rPr>
        <w:t>WHO/TDR Participatory Health Research and Action: A Practical Guide on Designathons:</w:t>
      </w:r>
      <w:r w:rsidRPr="318C81B2">
        <w:rPr>
          <w:rFonts w:eastAsia="SimHei"/>
          <w:lang w:val="en-US"/>
        </w:rPr>
        <w:t xml:space="preserve"> </w:t>
      </w:r>
      <w:hyperlink>
        <w:r w:rsidRPr="318C81B2">
          <w:rPr>
            <w:rStyle w:val="Hyperlink"/>
            <w:rFonts w:eastAsia="SimHei"/>
            <w:lang w:val="en-US"/>
          </w:rPr>
          <w:t>https://socialinnovationinhealth.org/health-designathon-guide/</w:t>
        </w:r>
      </w:hyperlink>
    </w:p>
    <w:p w14:paraId="6057B6AC" w14:textId="77777777" w:rsidR="006E4DAB" w:rsidRPr="00203D3F" w:rsidRDefault="006E4DAB" w:rsidP="006E4DAB">
      <w:pPr>
        <w:pStyle w:val="NoSpacing"/>
        <w:spacing w:line="480" w:lineRule="auto"/>
        <w:rPr>
          <w:rFonts w:eastAsia="SimHei"/>
          <w:lang w:val="en-US"/>
        </w:rPr>
      </w:pPr>
      <w:r w:rsidRPr="318C81B2">
        <w:rPr>
          <w:rFonts w:eastAsia="SimHei"/>
          <w:lang w:val="en-US"/>
        </w:rPr>
        <w:t xml:space="preserve"> This guide provides practical strategies for people interested in organizing a designathon to enhance health and well-being. The practical guide was developed by Special Programme for Research and Training in Tropical Diseases (TDR), the UNICEF/UNDP/World Bank/WHO Special Programme for Research and Training in Tropical Diseases, in partnership with SESH (Social Entrepreneurship to Spur Health) and SIHI (Social Innovation in Health Initiative).</w:t>
      </w:r>
    </w:p>
    <w:p w14:paraId="2007DBEC" w14:textId="77777777" w:rsidR="006E4DAB" w:rsidRPr="00203D3F" w:rsidRDefault="006E4DAB" w:rsidP="006E4DAB">
      <w:pPr>
        <w:pStyle w:val="NoSpacing"/>
        <w:spacing w:line="480" w:lineRule="auto"/>
        <w:rPr>
          <w:rFonts w:eastAsia="SimHei"/>
        </w:rPr>
      </w:pPr>
    </w:p>
    <w:p w14:paraId="688CB4BD" w14:textId="77777777" w:rsidR="006E4DAB" w:rsidRPr="00203D3F" w:rsidRDefault="006E4DAB" w:rsidP="006E4DAB">
      <w:pPr>
        <w:pStyle w:val="NoSpacing"/>
        <w:spacing w:line="480" w:lineRule="auto"/>
        <w:rPr>
          <w:rFonts w:eastAsia="SimHei"/>
          <w:b/>
          <w:bCs/>
          <w:color w:val="000000" w:themeColor="text1"/>
          <w:lang w:val="en-US"/>
        </w:rPr>
      </w:pPr>
      <w:r w:rsidRPr="00203D3F">
        <w:rPr>
          <w:rFonts w:eastAsia="SimHei"/>
          <w:b/>
          <w:bCs/>
          <w:color w:val="000000" w:themeColor="text1"/>
        </w:rPr>
        <w:t>Global resource for building research integrity and capacity</w:t>
      </w:r>
    </w:p>
    <w:p w14:paraId="78FEA5DA" w14:textId="77777777" w:rsidR="006E4DAB" w:rsidRPr="00203D3F" w:rsidRDefault="006E4DAB" w:rsidP="006E4DAB">
      <w:pPr>
        <w:spacing w:line="480" w:lineRule="auto"/>
        <w:rPr>
          <w:rFonts w:ascii="Arial" w:eastAsia="SimHei" w:hAnsi="Arial" w:cs="Arial"/>
          <w:color w:val="000000" w:themeColor="text1"/>
        </w:rPr>
      </w:pPr>
      <w:hyperlink r:id="rId6">
        <w:r w:rsidRPr="00203D3F">
          <w:rPr>
            <w:rStyle w:val="Hyperlink"/>
            <w:rFonts w:ascii="Arial" w:eastAsia="SimHei" w:hAnsi="Arial" w:cs="Arial"/>
          </w:rPr>
          <w:t>https://recode.health/bric/</w:t>
        </w:r>
      </w:hyperlink>
    </w:p>
    <w:p w14:paraId="5C2D8B50" w14:textId="77777777" w:rsidR="006E4DAB" w:rsidRPr="00203D3F" w:rsidRDefault="006E4DAB" w:rsidP="006E4DAB">
      <w:pPr>
        <w:spacing w:line="480" w:lineRule="auto"/>
        <w:rPr>
          <w:rFonts w:ascii="Arial" w:hAnsi="Arial" w:cs="Arial"/>
        </w:rPr>
      </w:pPr>
      <w:r w:rsidRPr="00203D3F">
        <w:rPr>
          <w:rFonts w:ascii="Arial" w:hAnsi="Arial" w:cs="Arial"/>
        </w:rPr>
        <w:t>BRIC is an educational program created by ReCODE health designed for community members to increase understanding about the scientific research process and the importance of conducting research with integrity. BRIC has been used to train community health professionals about their roles and responsibilities when assisting with the design, implementation and reporting of research.</w:t>
      </w:r>
    </w:p>
    <w:p w14:paraId="5A466449" w14:textId="77777777" w:rsidR="006E4DAB" w:rsidRPr="00203D3F" w:rsidRDefault="006E4DAB" w:rsidP="006E4DAB">
      <w:pPr>
        <w:pStyle w:val="NoSpacing"/>
        <w:spacing w:line="480" w:lineRule="auto"/>
      </w:pPr>
    </w:p>
    <w:p w14:paraId="598237C2" w14:textId="77777777" w:rsidR="006E4DAB" w:rsidRPr="00203D3F" w:rsidRDefault="006E4DAB" w:rsidP="006E4DAB">
      <w:pPr>
        <w:pStyle w:val="NoSpacing"/>
        <w:spacing w:line="480" w:lineRule="auto"/>
        <w:rPr>
          <w:rFonts w:eastAsia="SimHei"/>
          <w:b/>
          <w:bCs/>
          <w:color w:val="000000" w:themeColor="text1"/>
        </w:rPr>
      </w:pPr>
      <w:r w:rsidRPr="00203D3F">
        <w:rPr>
          <w:rFonts w:eastAsia="SimHei"/>
          <w:b/>
          <w:bCs/>
          <w:color w:val="000000" w:themeColor="text1"/>
        </w:rPr>
        <w:t>10 Best resources for community engagement in implementation research</w:t>
      </w:r>
    </w:p>
    <w:p w14:paraId="73A1F540" w14:textId="77777777" w:rsidR="006E4DAB" w:rsidRPr="00203D3F" w:rsidRDefault="006E4DAB" w:rsidP="006E4DAB">
      <w:pPr>
        <w:pStyle w:val="NoSpacing"/>
        <w:spacing w:line="480" w:lineRule="auto"/>
        <w:rPr>
          <w:rFonts w:eastAsia="SimHei"/>
        </w:rPr>
      </w:pPr>
      <w:hyperlink r:id="rId7" w:history="1">
        <w:r w:rsidRPr="00203D3F">
          <w:rPr>
            <w:rStyle w:val="Hyperlink"/>
            <w:rFonts w:eastAsia="SimHei"/>
          </w:rPr>
          <w:t>https://www.ncbi.nlm.nih.gov/pmc/articles/PMC5886100/</w:t>
        </w:r>
      </w:hyperlink>
    </w:p>
    <w:p w14:paraId="74A80F0F" w14:textId="77777777" w:rsidR="00714E28" w:rsidRDefault="00714E28"/>
    <w:sectPr w:rsidR="0071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AB"/>
    <w:rsid w:val="00066187"/>
    <w:rsid w:val="001F7164"/>
    <w:rsid w:val="006E4DAB"/>
    <w:rsid w:val="00714E28"/>
    <w:rsid w:val="00C80B96"/>
    <w:rsid w:val="00DE5E49"/>
    <w:rsid w:val="00FB1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D225"/>
  <w15:chartTrackingRefBased/>
  <w15:docId w15:val="{88DA16BC-76CB-4C1E-8C13-6C818D39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DAB"/>
    <w:pPr>
      <w:spacing w:line="259" w:lineRule="auto"/>
    </w:pPr>
    <w:rPr>
      <w:rFonts w:eastAsiaTheme="minorEastAsia"/>
      <w:sz w:val="22"/>
      <w:szCs w:val="22"/>
    </w:rPr>
  </w:style>
  <w:style w:type="paragraph" w:styleId="Heading1">
    <w:name w:val="heading 1"/>
    <w:basedOn w:val="Normal"/>
    <w:next w:val="Normal"/>
    <w:link w:val="Heading1Char"/>
    <w:uiPriority w:val="9"/>
    <w:qFormat/>
    <w:rsid w:val="006E4DA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4DA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4DAB"/>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4DAB"/>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6E4DAB"/>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6E4DA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E4DA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E4DA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E4DA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D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4D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4D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4D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4D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4D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D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D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DAB"/>
    <w:rPr>
      <w:rFonts w:eastAsiaTheme="majorEastAsia" w:cstheme="majorBidi"/>
      <w:color w:val="272727" w:themeColor="text1" w:themeTint="D8"/>
    </w:rPr>
  </w:style>
  <w:style w:type="paragraph" w:styleId="Title">
    <w:name w:val="Title"/>
    <w:basedOn w:val="Normal"/>
    <w:next w:val="Normal"/>
    <w:link w:val="TitleChar"/>
    <w:uiPriority w:val="10"/>
    <w:qFormat/>
    <w:rsid w:val="006E4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D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DA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D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DAB"/>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E4DAB"/>
    <w:rPr>
      <w:i/>
      <w:iCs/>
      <w:color w:val="404040" w:themeColor="text1" w:themeTint="BF"/>
    </w:rPr>
  </w:style>
  <w:style w:type="paragraph" w:styleId="ListParagraph">
    <w:name w:val="List Paragraph"/>
    <w:basedOn w:val="Normal"/>
    <w:uiPriority w:val="34"/>
    <w:qFormat/>
    <w:rsid w:val="006E4DAB"/>
    <w:pPr>
      <w:spacing w:line="278" w:lineRule="auto"/>
      <w:ind w:left="720"/>
      <w:contextualSpacing/>
    </w:pPr>
    <w:rPr>
      <w:rFonts w:eastAsiaTheme="minorHAnsi"/>
      <w:sz w:val="24"/>
      <w:szCs w:val="24"/>
    </w:rPr>
  </w:style>
  <w:style w:type="character" w:styleId="IntenseEmphasis">
    <w:name w:val="Intense Emphasis"/>
    <w:basedOn w:val="DefaultParagraphFont"/>
    <w:uiPriority w:val="21"/>
    <w:qFormat/>
    <w:rsid w:val="006E4DAB"/>
    <w:rPr>
      <w:i/>
      <w:iCs/>
      <w:color w:val="2F5496" w:themeColor="accent1" w:themeShade="BF"/>
    </w:rPr>
  </w:style>
  <w:style w:type="paragraph" w:styleId="IntenseQuote">
    <w:name w:val="Intense Quote"/>
    <w:basedOn w:val="Normal"/>
    <w:next w:val="Normal"/>
    <w:link w:val="IntenseQuoteChar"/>
    <w:uiPriority w:val="30"/>
    <w:qFormat/>
    <w:rsid w:val="006E4DA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sz w:val="24"/>
      <w:szCs w:val="24"/>
    </w:rPr>
  </w:style>
  <w:style w:type="character" w:customStyle="1" w:styleId="IntenseQuoteChar">
    <w:name w:val="Intense Quote Char"/>
    <w:basedOn w:val="DefaultParagraphFont"/>
    <w:link w:val="IntenseQuote"/>
    <w:uiPriority w:val="30"/>
    <w:rsid w:val="006E4DAB"/>
    <w:rPr>
      <w:i/>
      <w:iCs/>
      <w:color w:val="2F5496" w:themeColor="accent1" w:themeShade="BF"/>
    </w:rPr>
  </w:style>
  <w:style w:type="character" w:styleId="IntenseReference">
    <w:name w:val="Intense Reference"/>
    <w:basedOn w:val="DefaultParagraphFont"/>
    <w:uiPriority w:val="32"/>
    <w:qFormat/>
    <w:rsid w:val="006E4DAB"/>
    <w:rPr>
      <w:b/>
      <w:bCs/>
      <w:smallCaps/>
      <w:color w:val="2F5496" w:themeColor="accent1" w:themeShade="BF"/>
      <w:spacing w:val="5"/>
    </w:rPr>
  </w:style>
  <w:style w:type="paragraph" w:styleId="NoSpacing">
    <w:name w:val="No Spacing"/>
    <w:uiPriority w:val="1"/>
    <w:qFormat/>
    <w:rsid w:val="006E4DAB"/>
    <w:pPr>
      <w:spacing w:after="0" w:line="240" w:lineRule="auto"/>
    </w:pPr>
    <w:rPr>
      <w:rFonts w:ascii="Arial" w:eastAsia="SimSun" w:hAnsi="Arial" w:cs="Arial"/>
      <w:kern w:val="0"/>
      <w:sz w:val="22"/>
      <w:szCs w:val="22"/>
      <w:lang w:val="en" w:eastAsia="zh-CN"/>
      <w14:ligatures w14:val="none"/>
    </w:rPr>
  </w:style>
  <w:style w:type="character" w:styleId="Hyperlink">
    <w:name w:val="Hyperlink"/>
    <w:basedOn w:val="DefaultParagraphFont"/>
    <w:uiPriority w:val="99"/>
    <w:unhideWhenUsed/>
    <w:rsid w:val="006E4D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cbi.nlm.nih.gov/pmc/articles/PMC58861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Minh</dc:creator>
  <cp:keywords/>
  <dc:description/>
  <cp:lastModifiedBy>Nguyen, Minh</cp:lastModifiedBy>
  <cp:revision>1</cp:revision>
  <dcterms:created xsi:type="dcterms:W3CDTF">2025-09-22T04:14:00Z</dcterms:created>
  <dcterms:modified xsi:type="dcterms:W3CDTF">2025-09-22T04:15:00Z</dcterms:modified>
</cp:coreProperties>
</file>