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AFAC0" w14:textId="77777777" w:rsidR="00F1467F" w:rsidRPr="001A00AD" w:rsidRDefault="00F1467F" w:rsidP="00F1467F">
      <w:pPr>
        <w:rPr>
          <w:b/>
          <w:bCs/>
        </w:rPr>
      </w:pPr>
      <w:r w:rsidRPr="001A00AD">
        <w:rPr>
          <w:rFonts w:asciiTheme="minorHAnsi" w:hAnsiTheme="minorHAnsi" w:cstheme="minorHAnsi"/>
          <w:b/>
          <w:bCs/>
          <w:sz w:val="24"/>
          <w:szCs w:val="24"/>
        </w:rPr>
        <w:t xml:space="preserve">Supplemental File 2 - </w:t>
      </w:r>
      <w:r w:rsidRPr="001A00AD">
        <w:rPr>
          <w:b/>
          <w:bCs/>
        </w:rPr>
        <w:t>Definitions of sustainability-related terms reported in funded applications (N=72)</w:t>
      </w:r>
    </w:p>
    <w:tbl>
      <w:tblPr>
        <w:tblStyle w:val="TableGrid"/>
        <w:tblW w:w="8005" w:type="dxa"/>
        <w:tblLook w:val="04A0" w:firstRow="1" w:lastRow="0" w:firstColumn="1" w:lastColumn="0" w:noHBand="0" w:noVBand="1"/>
      </w:tblPr>
      <w:tblGrid>
        <w:gridCol w:w="6655"/>
        <w:gridCol w:w="1350"/>
      </w:tblGrid>
      <w:tr w:rsidR="00F1467F" w:rsidRPr="00A1476D" w14:paraId="3CC50313" w14:textId="77777777" w:rsidTr="00F556F5">
        <w:tc>
          <w:tcPr>
            <w:tcW w:w="6655" w:type="dxa"/>
            <w:hideMark/>
          </w:tcPr>
          <w:p w14:paraId="55A27077" w14:textId="77777777" w:rsidR="00F1467F" w:rsidRPr="00A1476D" w:rsidRDefault="00F1467F" w:rsidP="00F556F5">
            <w:pPr>
              <w:spacing w:after="160" w:line="278" w:lineRule="auto"/>
              <w:jc w:val="center"/>
              <w:rPr>
                <w:b/>
                <w:bCs/>
              </w:rPr>
            </w:pPr>
            <w:r w:rsidRPr="00A1476D">
              <w:rPr>
                <w:b/>
                <w:bCs/>
              </w:rPr>
              <w:t>Sustainability Conceptualization Category</w:t>
            </w:r>
            <w:r w:rsidRPr="00197E42">
              <w:rPr>
                <w:b/>
                <w:bCs/>
                <w:vertAlign w:val="superscript"/>
              </w:rPr>
              <w:t>a</w:t>
            </w:r>
          </w:p>
        </w:tc>
        <w:tc>
          <w:tcPr>
            <w:tcW w:w="1350" w:type="dxa"/>
            <w:hideMark/>
          </w:tcPr>
          <w:p w14:paraId="53C16177" w14:textId="77777777" w:rsidR="00F1467F" w:rsidRPr="00A1476D" w:rsidRDefault="00F1467F" w:rsidP="00F556F5">
            <w:pPr>
              <w:spacing w:after="160" w:line="278" w:lineRule="auto"/>
              <w:jc w:val="center"/>
              <w:rPr>
                <w:b/>
                <w:bCs/>
              </w:rPr>
            </w:pPr>
            <w:r>
              <w:rPr>
                <w:b/>
                <w:bCs/>
              </w:rPr>
              <w:t>n (%)</w:t>
            </w:r>
          </w:p>
        </w:tc>
      </w:tr>
      <w:tr w:rsidR="00F1467F" w:rsidRPr="00A1476D" w14:paraId="3DCE1634" w14:textId="77777777" w:rsidTr="00F556F5">
        <w:trPr>
          <w:trHeight w:val="656"/>
        </w:trPr>
        <w:tc>
          <w:tcPr>
            <w:tcW w:w="6655" w:type="dxa"/>
            <w:hideMark/>
          </w:tcPr>
          <w:p w14:paraId="6D13B881" w14:textId="77777777" w:rsidR="00F1467F" w:rsidRPr="00FC035F" w:rsidRDefault="00F1467F" w:rsidP="00F556F5">
            <w:pPr>
              <w:spacing w:after="160" w:line="278" w:lineRule="auto"/>
            </w:pPr>
            <w:r w:rsidRPr="00FC035F">
              <w:t>Continued delivery or implementation of the EBP (e.g., Sustained use of the EBP over time)</w:t>
            </w:r>
          </w:p>
        </w:tc>
        <w:tc>
          <w:tcPr>
            <w:tcW w:w="1350" w:type="dxa"/>
            <w:hideMark/>
          </w:tcPr>
          <w:p w14:paraId="289A2D71" w14:textId="77777777" w:rsidR="00F1467F" w:rsidRPr="00A1476D" w:rsidRDefault="00F1467F" w:rsidP="00F556F5">
            <w:pPr>
              <w:spacing w:after="160" w:line="278" w:lineRule="auto"/>
            </w:pPr>
            <w:r>
              <w:t>10 (13.9%)</w:t>
            </w:r>
          </w:p>
        </w:tc>
      </w:tr>
      <w:tr w:rsidR="00F1467F" w:rsidRPr="00A1476D" w14:paraId="3219256C" w14:textId="77777777" w:rsidTr="00F556F5">
        <w:trPr>
          <w:trHeight w:val="827"/>
        </w:trPr>
        <w:tc>
          <w:tcPr>
            <w:tcW w:w="6655" w:type="dxa"/>
            <w:hideMark/>
          </w:tcPr>
          <w:p w14:paraId="26368DAD" w14:textId="77777777" w:rsidR="00F1467F" w:rsidRPr="00FC035F" w:rsidRDefault="00F1467F" w:rsidP="00F556F5">
            <w:pPr>
              <w:spacing w:after="160" w:line="278" w:lineRule="auto"/>
            </w:pPr>
            <w:r w:rsidRPr="00FC035F">
              <w:t>Institutionalization/integration within routine practice (e.g., Extent and conditions for intervention to become institutionalized)</w:t>
            </w:r>
          </w:p>
        </w:tc>
        <w:tc>
          <w:tcPr>
            <w:tcW w:w="1350" w:type="dxa"/>
            <w:hideMark/>
          </w:tcPr>
          <w:p w14:paraId="15E5F5F3" w14:textId="77777777" w:rsidR="00F1467F" w:rsidRPr="00A1476D" w:rsidRDefault="00F1467F" w:rsidP="00F556F5">
            <w:pPr>
              <w:spacing w:after="160" w:line="278" w:lineRule="auto"/>
            </w:pPr>
            <w:r>
              <w:t>8 (11.1%)</w:t>
            </w:r>
          </w:p>
        </w:tc>
      </w:tr>
      <w:tr w:rsidR="00F1467F" w:rsidRPr="00A1476D" w14:paraId="7B4C7F6A" w14:textId="77777777" w:rsidTr="00F556F5">
        <w:trPr>
          <w:trHeight w:val="719"/>
        </w:trPr>
        <w:tc>
          <w:tcPr>
            <w:tcW w:w="6655" w:type="dxa"/>
          </w:tcPr>
          <w:p w14:paraId="09BD7847" w14:textId="77777777" w:rsidR="00F1467F" w:rsidRPr="00FC035F" w:rsidRDefault="00F1467F" w:rsidP="00F556F5">
            <w:r w:rsidRPr="00FC035F">
              <w:t>Adaptation and continued evolution over time (e.g., EBP adaptation to improve sustainment)</w:t>
            </w:r>
          </w:p>
        </w:tc>
        <w:tc>
          <w:tcPr>
            <w:tcW w:w="1350" w:type="dxa"/>
          </w:tcPr>
          <w:p w14:paraId="44BBFFAE" w14:textId="77777777" w:rsidR="00F1467F" w:rsidRDefault="00F1467F" w:rsidP="00F556F5">
            <w:r>
              <w:t>6 (8.3%)</w:t>
            </w:r>
          </w:p>
        </w:tc>
      </w:tr>
      <w:tr w:rsidR="00F1467F" w:rsidRPr="00A1476D" w14:paraId="09BFA6D8" w14:textId="77777777" w:rsidTr="00F556F5">
        <w:tc>
          <w:tcPr>
            <w:tcW w:w="6655" w:type="dxa"/>
            <w:hideMark/>
          </w:tcPr>
          <w:p w14:paraId="40C0F11B" w14:textId="77777777" w:rsidR="00F1467F" w:rsidRPr="00FC035F" w:rsidRDefault="00F1467F" w:rsidP="00F556F5">
            <w:pPr>
              <w:spacing w:after="160" w:line="278" w:lineRule="auto"/>
            </w:pPr>
            <w:r w:rsidRPr="00FC035F">
              <w:t>Maintenance of patient-/practice-level outcomes or behavior change (e.g., Extent to which the EBP produces the expected behavior change)</w:t>
            </w:r>
          </w:p>
        </w:tc>
        <w:tc>
          <w:tcPr>
            <w:tcW w:w="1350" w:type="dxa"/>
            <w:hideMark/>
          </w:tcPr>
          <w:p w14:paraId="44EE6C5B" w14:textId="77777777" w:rsidR="00F1467F" w:rsidRPr="00A1476D" w:rsidRDefault="00F1467F" w:rsidP="00F556F5">
            <w:pPr>
              <w:spacing w:after="160" w:line="278" w:lineRule="auto"/>
            </w:pPr>
            <w:r>
              <w:t>5 (6.9%)</w:t>
            </w:r>
          </w:p>
        </w:tc>
      </w:tr>
      <w:tr w:rsidR="00F1467F" w:rsidRPr="00A1476D" w14:paraId="621A0739" w14:textId="77777777" w:rsidTr="00F556F5">
        <w:tc>
          <w:tcPr>
            <w:tcW w:w="6655" w:type="dxa"/>
            <w:hideMark/>
          </w:tcPr>
          <w:p w14:paraId="18706066" w14:textId="77777777" w:rsidR="00F1467F" w:rsidRPr="00FC035F" w:rsidRDefault="00F1467F" w:rsidP="00F556F5">
            <w:pPr>
              <w:spacing w:after="160" w:line="278" w:lineRule="auto"/>
            </w:pPr>
            <w:r w:rsidRPr="00FC035F">
              <w:t>Organizational capacity or readiness for sustainability</w:t>
            </w:r>
          </w:p>
        </w:tc>
        <w:tc>
          <w:tcPr>
            <w:tcW w:w="1350" w:type="dxa"/>
            <w:hideMark/>
          </w:tcPr>
          <w:p w14:paraId="2A2ED7D0" w14:textId="77777777" w:rsidR="00F1467F" w:rsidRPr="00A1476D" w:rsidRDefault="00F1467F" w:rsidP="00F556F5">
            <w:pPr>
              <w:spacing w:after="160" w:line="278" w:lineRule="auto"/>
            </w:pPr>
            <w:r>
              <w:t>4 (5.6%)</w:t>
            </w:r>
          </w:p>
        </w:tc>
      </w:tr>
      <w:tr w:rsidR="00F1467F" w:rsidRPr="00A1476D" w14:paraId="5EBC117B" w14:textId="77777777" w:rsidTr="00F556F5">
        <w:tc>
          <w:tcPr>
            <w:tcW w:w="6655" w:type="dxa"/>
            <w:hideMark/>
          </w:tcPr>
          <w:p w14:paraId="1B940C8C" w14:textId="77777777" w:rsidR="00F1467F" w:rsidRPr="00FC035F" w:rsidRDefault="00F1467F" w:rsidP="00F556F5">
            <w:pPr>
              <w:spacing w:after="160" w:line="278" w:lineRule="auto"/>
            </w:pPr>
            <w:r w:rsidRPr="00FC035F">
              <w:t>No explicit definition provided</w:t>
            </w:r>
          </w:p>
        </w:tc>
        <w:tc>
          <w:tcPr>
            <w:tcW w:w="1350" w:type="dxa"/>
            <w:hideMark/>
          </w:tcPr>
          <w:p w14:paraId="19B20D7C" w14:textId="77777777" w:rsidR="00F1467F" w:rsidRPr="00A1476D" w:rsidRDefault="00F1467F" w:rsidP="00F556F5">
            <w:pPr>
              <w:spacing w:after="160" w:line="278" w:lineRule="auto"/>
            </w:pPr>
            <w:r w:rsidRPr="001E2300">
              <w:t>39 (54.2%)</w:t>
            </w:r>
          </w:p>
        </w:tc>
      </w:tr>
    </w:tbl>
    <w:p w14:paraId="0621C7CD" w14:textId="53E32DF8" w:rsidR="00F1467F" w:rsidRDefault="00F1467F" w:rsidP="00F1467F">
      <w:r w:rsidRPr="006F1A43">
        <w:rPr>
          <w:vertAlign w:val="superscript"/>
        </w:rPr>
        <w:t xml:space="preserve">a </w:t>
      </w:r>
      <w:r w:rsidR="00CC266F" w:rsidRPr="00CC266F">
        <w:t xml:space="preserve">Categories reflect the primary conceptual focus of the definition as described by investigators in the funded application. Definitions were grouped according to the main emphasis of the language used in the application rather than by reinterpretation of investigator intent. Applications using multiple terms (e.g., sustainability and maintenance) were categorized based on the primary emphasis of the definition provided, regardless of the number of terms used. Applications that referenced sustainability-related terminology without providing an explicit definition were coded as </w:t>
      </w:r>
      <w:r w:rsidR="00CC266F" w:rsidRPr="00CC266F">
        <w:rPr>
          <w:b/>
          <w:bCs/>
        </w:rPr>
        <w:t>“No explicit operational definition provided.”</w:t>
      </w:r>
      <w:r w:rsidR="00CC266F" w:rsidRPr="00CC266F">
        <w:t xml:space="preserve"> To preserve confidentiality of grant application materials, definitions are presented as conceptual categories rather than verbatim text. See Table 3 for frequencies of sustainability-related terms used across funded applications.</w:t>
      </w:r>
    </w:p>
    <w:p w14:paraId="60FB0167" w14:textId="77777777" w:rsidR="00CE7278" w:rsidRDefault="00CE7278" w:rsidP="00F1467F"/>
    <w:p w14:paraId="50114883" w14:textId="33AD4604" w:rsidR="00882CB2" w:rsidRPr="00AA6C7A" w:rsidRDefault="00882CB2" w:rsidP="00AA6C7A"/>
    <w:sectPr w:rsidR="00882CB2" w:rsidRPr="00AA6C7A" w:rsidSect="00F146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5B6167"/>
    <w:multiLevelType w:val="hybridMultilevel"/>
    <w:tmpl w:val="D3F2A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29037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03A"/>
    <w:rsid w:val="00007345"/>
    <w:rsid w:val="000559D4"/>
    <w:rsid w:val="0005778C"/>
    <w:rsid w:val="00095A6E"/>
    <w:rsid w:val="000D1F5F"/>
    <w:rsid w:val="000F4831"/>
    <w:rsid w:val="00100D7B"/>
    <w:rsid w:val="00197E42"/>
    <w:rsid w:val="001C1648"/>
    <w:rsid w:val="001E7D97"/>
    <w:rsid w:val="00206685"/>
    <w:rsid w:val="00302936"/>
    <w:rsid w:val="003D125F"/>
    <w:rsid w:val="00401CCA"/>
    <w:rsid w:val="004B15F9"/>
    <w:rsid w:val="0059441A"/>
    <w:rsid w:val="006008D7"/>
    <w:rsid w:val="006516AF"/>
    <w:rsid w:val="0068052E"/>
    <w:rsid w:val="00687AAB"/>
    <w:rsid w:val="00690A15"/>
    <w:rsid w:val="006F1A43"/>
    <w:rsid w:val="007616D6"/>
    <w:rsid w:val="007E5E16"/>
    <w:rsid w:val="007E6E52"/>
    <w:rsid w:val="00837CAB"/>
    <w:rsid w:val="00843A02"/>
    <w:rsid w:val="00882CB2"/>
    <w:rsid w:val="008B381F"/>
    <w:rsid w:val="0090690F"/>
    <w:rsid w:val="00964ED3"/>
    <w:rsid w:val="009B2AD0"/>
    <w:rsid w:val="009D003A"/>
    <w:rsid w:val="00A1569F"/>
    <w:rsid w:val="00A71690"/>
    <w:rsid w:val="00A836D8"/>
    <w:rsid w:val="00AA6C7A"/>
    <w:rsid w:val="00B05E8D"/>
    <w:rsid w:val="00B32E6B"/>
    <w:rsid w:val="00B449AE"/>
    <w:rsid w:val="00B45ACB"/>
    <w:rsid w:val="00B903F2"/>
    <w:rsid w:val="00B92209"/>
    <w:rsid w:val="00BD24C8"/>
    <w:rsid w:val="00CC266F"/>
    <w:rsid w:val="00CE7278"/>
    <w:rsid w:val="00D11CE8"/>
    <w:rsid w:val="00D97300"/>
    <w:rsid w:val="00DB128C"/>
    <w:rsid w:val="00ED06F3"/>
    <w:rsid w:val="00F1467F"/>
    <w:rsid w:val="00F81EFD"/>
    <w:rsid w:val="00FF57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9F44"/>
  <w15:chartTrackingRefBased/>
  <w15:docId w15:val="{F274C583-EF6C-4522-82E2-CE61FA44A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1467F"/>
    <w:pPr>
      <w:spacing w:line="259" w:lineRule="auto"/>
    </w:pPr>
    <w:rPr>
      <w:rFonts w:ascii="Calibri" w:eastAsia="Calibri" w:hAnsi="Calibri" w:cs="Calibri"/>
      <w:kern w:val="0"/>
      <w:sz w:val="22"/>
      <w:szCs w:val="22"/>
      <w:lang w:val="en"/>
      <w14:ligatures w14:val="none"/>
    </w:rPr>
  </w:style>
  <w:style w:type="paragraph" w:styleId="Heading1">
    <w:name w:val="heading 1"/>
    <w:basedOn w:val="Normal"/>
    <w:next w:val="Normal"/>
    <w:link w:val="Heading1Char"/>
    <w:uiPriority w:val="9"/>
    <w:qFormat/>
    <w:rsid w:val="009D00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00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00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00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00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00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00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00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00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00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00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00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00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00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00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00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00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003A"/>
    <w:rPr>
      <w:rFonts w:eastAsiaTheme="majorEastAsia" w:cstheme="majorBidi"/>
      <w:color w:val="272727" w:themeColor="text1" w:themeTint="D8"/>
    </w:rPr>
  </w:style>
  <w:style w:type="paragraph" w:styleId="Title">
    <w:name w:val="Title"/>
    <w:basedOn w:val="Normal"/>
    <w:next w:val="Normal"/>
    <w:link w:val="TitleChar"/>
    <w:uiPriority w:val="10"/>
    <w:qFormat/>
    <w:rsid w:val="009D00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00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00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00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003A"/>
    <w:pPr>
      <w:spacing w:before="160"/>
      <w:jc w:val="center"/>
    </w:pPr>
    <w:rPr>
      <w:i/>
      <w:iCs/>
      <w:color w:val="404040" w:themeColor="text1" w:themeTint="BF"/>
    </w:rPr>
  </w:style>
  <w:style w:type="character" w:customStyle="1" w:styleId="QuoteChar">
    <w:name w:val="Quote Char"/>
    <w:basedOn w:val="DefaultParagraphFont"/>
    <w:link w:val="Quote"/>
    <w:uiPriority w:val="29"/>
    <w:rsid w:val="009D003A"/>
    <w:rPr>
      <w:i/>
      <w:iCs/>
      <w:color w:val="404040" w:themeColor="text1" w:themeTint="BF"/>
    </w:rPr>
  </w:style>
  <w:style w:type="paragraph" w:styleId="ListParagraph">
    <w:name w:val="List Paragraph"/>
    <w:basedOn w:val="Normal"/>
    <w:uiPriority w:val="34"/>
    <w:qFormat/>
    <w:rsid w:val="009D003A"/>
    <w:pPr>
      <w:ind w:left="720"/>
      <w:contextualSpacing/>
    </w:pPr>
  </w:style>
  <w:style w:type="character" w:styleId="IntenseEmphasis">
    <w:name w:val="Intense Emphasis"/>
    <w:basedOn w:val="DefaultParagraphFont"/>
    <w:uiPriority w:val="21"/>
    <w:qFormat/>
    <w:rsid w:val="009D003A"/>
    <w:rPr>
      <w:i/>
      <w:iCs/>
      <w:color w:val="0F4761" w:themeColor="accent1" w:themeShade="BF"/>
    </w:rPr>
  </w:style>
  <w:style w:type="paragraph" w:styleId="IntenseQuote">
    <w:name w:val="Intense Quote"/>
    <w:basedOn w:val="Normal"/>
    <w:next w:val="Normal"/>
    <w:link w:val="IntenseQuoteChar"/>
    <w:uiPriority w:val="30"/>
    <w:qFormat/>
    <w:rsid w:val="009D00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003A"/>
    <w:rPr>
      <w:i/>
      <w:iCs/>
      <w:color w:val="0F4761" w:themeColor="accent1" w:themeShade="BF"/>
    </w:rPr>
  </w:style>
  <w:style w:type="character" w:styleId="IntenseReference">
    <w:name w:val="Intense Reference"/>
    <w:basedOn w:val="DefaultParagraphFont"/>
    <w:uiPriority w:val="32"/>
    <w:qFormat/>
    <w:rsid w:val="009D003A"/>
    <w:rPr>
      <w:b/>
      <w:bCs/>
      <w:smallCaps/>
      <w:color w:val="0F4761" w:themeColor="accent1" w:themeShade="BF"/>
      <w:spacing w:val="5"/>
    </w:rPr>
  </w:style>
  <w:style w:type="table" w:styleId="TableGrid">
    <w:name w:val="Table Grid"/>
    <w:basedOn w:val="TableNormal"/>
    <w:uiPriority w:val="39"/>
    <w:rsid w:val="003029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146</TotalTime>
  <Pages>1</Pages>
  <Words>221</Words>
  <Characters>1402</Characters>
  <Application>Microsoft Office Word</Application>
  <DocSecurity>0</DocSecurity>
  <Lines>40</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Correa-Mendez, Margarita (NIH/NCI) [E]</dc:creator>
  <cp:keywords/>
  <dc:description/>
  <cp:lastModifiedBy>Correa-Mendez, Margarita (NIH/NCI) [E]</cp:lastModifiedBy>
  <cp:revision>42</cp:revision>
  <dcterms:created xsi:type="dcterms:W3CDTF">2026-05-26T15:58:00Z</dcterms:created>
  <dcterms:modified xsi:type="dcterms:W3CDTF">2026-05-29T14:25:00Z</dcterms:modified>
</cp:coreProperties>
</file>