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920C" w14:textId="77777777" w:rsidR="000312ED" w:rsidRDefault="00000000">
      <w:pPr>
        <w:spacing w:after="80"/>
        <w:rPr>
          <w:rFonts w:ascii="Aptos" w:hAnsi="Aptos"/>
          <w:b/>
          <w:szCs w:val="28"/>
        </w:rPr>
      </w:pPr>
      <w:r w:rsidRPr="00CE3B91">
        <w:rPr>
          <w:rFonts w:ascii="Aptos" w:hAnsi="Aptos"/>
          <w:b/>
          <w:szCs w:val="28"/>
        </w:rPr>
        <w:t>Supplementary Table S1. Selected clinical and histological characteristics of the GSE89632 discovery cohort by sex and diagnosis</w:t>
      </w:r>
    </w:p>
    <w:p w14:paraId="043E465A" w14:textId="77777777" w:rsidR="00CE3B91" w:rsidRPr="00CE3B91" w:rsidRDefault="00CE3B91">
      <w:pPr>
        <w:spacing w:after="80"/>
        <w:rPr>
          <w:rFonts w:ascii="Aptos" w:hAnsi="Aptos"/>
          <w:sz w:val="28"/>
          <w:szCs w:val="28"/>
        </w:rPr>
      </w:pPr>
    </w:p>
    <w:tbl>
      <w:tblPr>
        <w:tblStyle w:val="DzTablo3"/>
        <w:tblW w:w="0" w:type="auto"/>
        <w:tblLayout w:type="fixed"/>
        <w:tblLook w:val="04A0" w:firstRow="1" w:lastRow="0" w:firstColumn="1" w:lastColumn="0" w:noHBand="0" w:noVBand="1"/>
      </w:tblPr>
      <w:tblGrid>
        <w:gridCol w:w="2026"/>
        <w:gridCol w:w="2026"/>
        <w:gridCol w:w="2026"/>
        <w:gridCol w:w="2027"/>
        <w:gridCol w:w="2026"/>
        <w:gridCol w:w="2026"/>
        <w:gridCol w:w="2027"/>
      </w:tblGrid>
      <w:tr w:rsidR="000312ED" w:rsidRPr="00CE3B91" w14:paraId="56A4F1EC" w14:textId="77777777" w:rsidTr="00CE3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26" w:type="dxa"/>
          </w:tcPr>
          <w:p w14:paraId="707AA6D4" w14:textId="77777777" w:rsidR="000312ED" w:rsidRPr="00CE3B91" w:rsidRDefault="00000000">
            <w:pPr>
              <w:jc w:val="center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Variable</w:t>
            </w:r>
          </w:p>
        </w:tc>
        <w:tc>
          <w:tcPr>
            <w:tcW w:w="2026" w:type="dxa"/>
          </w:tcPr>
          <w:p w14:paraId="2C5F165E" w14:textId="77777777" w:rsidR="000312ED" w:rsidRPr="00CE3B91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Female Control</w:t>
            </w:r>
          </w:p>
        </w:tc>
        <w:tc>
          <w:tcPr>
            <w:tcW w:w="2026" w:type="dxa"/>
          </w:tcPr>
          <w:p w14:paraId="56E9D7A8" w14:textId="77777777" w:rsidR="000312ED" w:rsidRPr="00CE3B91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Female Steatosis</w:t>
            </w:r>
          </w:p>
        </w:tc>
        <w:tc>
          <w:tcPr>
            <w:tcW w:w="2027" w:type="dxa"/>
          </w:tcPr>
          <w:p w14:paraId="64033B1F" w14:textId="77777777" w:rsidR="000312ED" w:rsidRPr="00CE3B91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Female MASH</w:t>
            </w:r>
          </w:p>
        </w:tc>
        <w:tc>
          <w:tcPr>
            <w:tcW w:w="2026" w:type="dxa"/>
          </w:tcPr>
          <w:p w14:paraId="6AFFEE19" w14:textId="77777777" w:rsidR="000312ED" w:rsidRPr="00CE3B91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Male Control</w:t>
            </w:r>
          </w:p>
        </w:tc>
        <w:tc>
          <w:tcPr>
            <w:tcW w:w="2026" w:type="dxa"/>
          </w:tcPr>
          <w:p w14:paraId="775E2D1D" w14:textId="77777777" w:rsidR="000312ED" w:rsidRPr="00CE3B91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Male Steatosis</w:t>
            </w:r>
          </w:p>
        </w:tc>
        <w:tc>
          <w:tcPr>
            <w:tcW w:w="2027" w:type="dxa"/>
          </w:tcPr>
          <w:p w14:paraId="72F5B16F" w14:textId="77777777" w:rsidR="000312ED" w:rsidRPr="00CE3B91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Male MASH</w:t>
            </w:r>
          </w:p>
        </w:tc>
      </w:tr>
      <w:tr w:rsidR="000312ED" w:rsidRPr="00CE3B91" w14:paraId="79C120AB" w14:textId="77777777" w:rsidTr="00CE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10E1DBA8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Age, years</w:t>
            </w:r>
          </w:p>
        </w:tc>
        <w:tc>
          <w:tcPr>
            <w:tcW w:w="2026" w:type="dxa"/>
          </w:tcPr>
          <w:p w14:paraId="43B4653E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36.6 ± 10.3 (n=13)</w:t>
            </w:r>
          </w:p>
        </w:tc>
        <w:tc>
          <w:tcPr>
            <w:tcW w:w="2026" w:type="dxa"/>
          </w:tcPr>
          <w:p w14:paraId="7A9CD19D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51.2 ± 9.4 (n=6)</w:t>
            </w:r>
          </w:p>
        </w:tc>
        <w:tc>
          <w:tcPr>
            <w:tcW w:w="2027" w:type="dxa"/>
          </w:tcPr>
          <w:p w14:paraId="6D2268EC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47.5 ± 14.8 (n=10)</w:t>
            </w:r>
          </w:p>
        </w:tc>
        <w:tc>
          <w:tcPr>
            <w:tcW w:w="2026" w:type="dxa"/>
          </w:tcPr>
          <w:p w14:paraId="5C200D5C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37.9 ± 11.8 (n=11)</w:t>
            </w:r>
          </w:p>
        </w:tc>
        <w:tc>
          <w:tcPr>
            <w:tcW w:w="2026" w:type="dxa"/>
          </w:tcPr>
          <w:p w14:paraId="54AD645A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42.4 ± 8.7 (n=14)</w:t>
            </w:r>
          </w:p>
        </w:tc>
        <w:tc>
          <w:tcPr>
            <w:tcW w:w="2027" w:type="dxa"/>
          </w:tcPr>
          <w:p w14:paraId="1AEFBA0C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39.0 ± 8.7 (n=9)</w:t>
            </w:r>
          </w:p>
        </w:tc>
      </w:tr>
      <w:tr w:rsidR="000312ED" w:rsidRPr="00CE3B91" w14:paraId="52E3FF70" w14:textId="77777777" w:rsidTr="00CE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010F36D0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BMI, kg/m²</w:t>
            </w:r>
          </w:p>
        </w:tc>
        <w:tc>
          <w:tcPr>
            <w:tcW w:w="2026" w:type="dxa"/>
          </w:tcPr>
          <w:p w14:paraId="3FB67240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26.20 ± 4.73 (n=13)</w:t>
            </w:r>
          </w:p>
        </w:tc>
        <w:tc>
          <w:tcPr>
            <w:tcW w:w="2026" w:type="dxa"/>
          </w:tcPr>
          <w:p w14:paraId="5549CCEE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27.98 ± 2.87 (n=6)</w:t>
            </w:r>
          </w:p>
        </w:tc>
        <w:tc>
          <w:tcPr>
            <w:tcW w:w="2027" w:type="dxa"/>
          </w:tcPr>
          <w:p w14:paraId="0B4796F0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32.45 ± 7.18 (n=9)</w:t>
            </w:r>
          </w:p>
        </w:tc>
        <w:tc>
          <w:tcPr>
            <w:tcW w:w="2026" w:type="dxa"/>
          </w:tcPr>
          <w:p w14:paraId="54762BCF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25.51 ± 3.23 (n=11)</w:t>
            </w:r>
          </w:p>
        </w:tc>
        <w:tc>
          <w:tcPr>
            <w:tcW w:w="2026" w:type="dxa"/>
          </w:tcPr>
          <w:p w14:paraId="547B8DFF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29.16 ± 4.79 (n=13)</w:t>
            </w:r>
          </w:p>
        </w:tc>
        <w:tc>
          <w:tcPr>
            <w:tcW w:w="2027" w:type="dxa"/>
          </w:tcPr>
          <w:p w14:paraId="23035BC3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31.11 ± 3.26 (n=9)</w:t>
            </w:r>
          </w:p>
        </w:tc>
      </w:tr>
      <w:tr w:rsidR="000312ED" w:rsidRPr="00CE3B91" w14:paraId="4A1D975E" w14:textId="77777777" w:rsidTr="00CE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0FCB3CFD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AST, U/L</w:t>
            </w:r>
          </w:p>
        </w:tc>
        <w:tc>
          <w:tcPr>
            <w:tcW w:w="2026" w:type="dxa"/>
          </w:tcPr>
          <w:p w14:paraId="02EF6C76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19.0 ± 4.9 (n=13)</w:t>
            </w:r>
          </w:p>
        </w:tc>
        <w:tc>
          <w:tcPr>
            <w:tcW w:w="2026" w:type="dxa"/>
          </w:tcPr>
          <w:p w14:paraId="3620A756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29.3 ± 6.3 (n=6)</w:t>
            </w:r>
          </w:p>
        </w:tc>
        <w:tc>
          <w:tcPr>
            <w:tcW w:w="2027" w:type="dxa"/>
          </w:tcPr>
          <w:p w14:paraId="1DC05820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69.0 ± 30.7 (n=10)</w:t>
            </w:r>
          </w:p>
        </w:tc>
        <w:tc>
          <w:tcPr>
            <w:tcW w:w="2026" w:type="dxa"/>
          </w:tcPr>
          <w:p w14:paraId="770191D9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22.1 ± 6.6 (n=11)</w:t>
            </w:r>
          </w:p>
        </w:tc>
        <w:tc>
          <w:tcPr>
            <w:tcW w:w="2026" w:type="dxa"/>
          </w:tcPr>
          <w:p w14:paraId="124523F3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28.4 ± 5.7 (n=13)</w:t>
            </w:r>
          </w:p>
        </w:tc>
        <w:tc>
          <w:tcPr>
            <w:tcW w:w="2027" w:type="dxa"/>
          </w:tcPr>
          <w:p w14:paraId="0180ED55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47.4 ± 21.1 (n=9)</w:t>
            </w:r>
          </w:p>
        </w:tc>
      </w:tr>
      <w:tr w:rsidR="000312ED" w:rsidRPr="00CE3B91" w14:paraId="5FD4A520" w14:textId="77777777" w:rsidTr="00CE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6C44C18C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ALT, U/L</w:t>
            </w:r>
          </w:p>
        </w:tc>
        <w:tc>
          <w:tcPr>
            <w:tcW w:w="2026" w:type="dxa"/>
          </w:tcPr>
          <w:p w14:paraId="24C1F958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15.8 ± 9.0 (n=13)</w:t>
            </w:r>
          </w:p>
        </w:tc>
        <w:tc>
          <w:tcPr>
            <w:tcW w:w="2026" w:type="dxa"/>
          </w:tcPr>
          <w:p w14:paraId="40876495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45.7 ± 15.0 (n=6)</w:t>
            </w:r>
          </w:p>
        </w:tc>
        <w:tc>
          <w:tcPr>
            <w:tcW w:w="2027" w:type="dxa"/>
          </w:tcPr>
          <w:p w14:paraId="252A8A23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82.1 ± 44.7 (n=10)</w:t>
            </w:r>
          </w:p>
        </w:tc>
        <w:tc>
          <w:tcPr>
            <w:tcW w:w="2026" w:type="dxa"/>
          </w:tcPr>
          <w:p w14:paraId="6C022AAB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23.7 ± 11.9 (n=11)</w:t>
            </w:r>
          </w:p>
        </w:tc>
        <w:tc>
          <w:tcPr>
            <w:tcW w:w="2026" w:type="dxa"/>
          </w:tcPr>
          <w:p w14:paraId="2A2BC6AD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53.2 ± 18.8 (n=13)</w:t>
            </w:r>
          </w:p>
        </w:tc>
        <w:tc>
          <w:tcPr>
            <w:tcW w:w="2027" w:type="dxa"/>
          </w:tcPr>
          <w:p w14:paraId="6C71ABB1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85.1 ± 35.8 (n=9)</w:t>
            </w:r>
          </w:p>
        </w:tc>
      </w:tr>
      <w:tr w:rsidR="000312ED" w:rsidRPr="00CE3B91" w14:paraId="7B03CC76" w14:textId="77777777" w:rsidTr="00CE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7BCFB854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Diabetes mellitus</w:t>
            </w:r>
          </w:p>
        </w:tc>
        <w:tc>
          <w:tcPr>
            <w:tcW w:w="2026" w:type="dxa"/>
          </w:tcPr>
          <w:p w14:paraId="6ADF6A72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0/13 (0.0%)</w:t>
            </w:r>
          </w:p>
        </w:tc>
        <w:tc>
          <w:tcPr>
            <w:tcW w:w="2026" w:type="dxa"/>
          </w:tcPr>
          <w:p w14:paraId="1803820A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4/6 (66.7%)</w:t>
            </w:r>
          </w:p>
        </w:tc>
        <w:tc>
          <w:tcPr>
            <w:tcW w:w="2027" w:type="dxa"/>
          </w:tcPr>
          <w:p w14:paraId="59A07F64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2/10 (20.0%)</w:t>
            </w:r>
          </w:p>
        </w:tc>
        <w:tc>
          <w:tcPr>
            <w:tcW w:w="2026" w:type="dxa"/>
          </w:tcPr>
          <w:p w14:paraId="7D43FD49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0/11 (0.0%)</w:t>
            </w:r>
          </w:p>
        </w:tc>
        <w:tc>
          <w:tcPr>
            <w:tcW w:w="2026" w:type="dxa"/>
          </w:tcPr>
          <w:p w14:paraId="3458D12E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1/13 (7.7%)</w:t>
            </w:r>
          </w:p>
        </w:tc>
        <w:tc>
          <w:tcPr>
            <w:tcW w:w="2027" w:type="dxa"/>
          </w:tcPr>
          <w:p w14:paraId="4E5DAEB2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1/9 (11.1%)</w:t>
            </w:r>
          </w:p>
        </w:tc>
      </w:tr>
      <w:tr w:rsidR="000312ED" w:rsidRPr="00CE3B91" w14:paraId="5AAA1CA5" w14:textId="77777777" w:rsidTr="00CE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5BC7B6FD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Steatosis, %</w:t>
            </w:r>
          </w:p>
        </w:tc>
        <w:tc>
          <w:tcPr>
            <w:tcW w:w="2026" w:type="dxa"/>
          </w:tcPr>
          <w:p w14:paraId="17C3E5F3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[0.0–0.2] (n=8)</w:t>
            </w:r>
          </w:p>
        </w:tc>
        <w:tc>
          <w:tcPr>
            <w:tcW w:w="2026" w:type="dxa"/>
          </w:tcPr>
          <w:p w14:paraId="51594D2E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35.0 [22.5–47.5] (n=6)</w:t>
            </w:r>
          </w:p>
        </w:tc>
        <w:tc>
          <w:tcPr>
            <w:tcW w:w="2027" w:type="dxa"/>
          </w:tcPr>
          <w:p w14:paraId="69F2B680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40.0 [26.2–67.5] (n=10)</w:t>
            </w:r>
          </w:p>
        </w:tc>
        <w:tc>
          <w:tcPr>
            <w:tcW w:w="2026" w:type="dxa"/>
          </w:tcPr>
          <w:p w14:paraId="1F502FB5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[0.0–0.2] (n=8)</w:t>
            </w:r>
          </w:p>
        </w:tc>
        <w:tc>
          <w:tcPr>
            <w:tcW w:w="2026" w:type="dxa"/>
          </w:tcPr>
          <w:p w14:paraId="6242F91C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30.0 [10.0–50.0] (n=14)</w:t>
            </w:r>
          </w:p>
        </w:tc>
        <w:tc>
          <w:tcPr>
            <w:tcW w:w="2027" w:type="dxa"/>
          </w:tcPr>
          <w:p w14:paraId="3E5B9684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40.0 [40.0–70.0] (n=9)</w:t>
            </w:r>
          </w:p>
        </w:tc>
      </w:tr>
      <w:tr w:rsidR="000312ED" w:rsidRPr="00CE3B91" w14:paraId="21316E97" w14:textId="77777777" w:rsidTr="00CE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4B19C5D9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Fibrosis stage</w:t>
            </w:r>
          </w:p>
        </w:tc>
        <w:tc>
          <w:tcPr>
            <w:tcW w:w="2026" w:type="dxa"/>
          </w:tcPr>
          <w:p w14:paraId="36C802DB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0.5 [0.0–1.0] (n=8)</w:t>
            </w:r>
          </w:p>
        </w:tc>
        <w:tc>
          <w:tcPr>
            <w:tcW w:w="2026" w:type="dxa"/>
          </w:tcPr>
          <w:p w14:paraId="32224A0D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(n=6)</w:t>
            </w:r>
          </w:p>
        </w:tc>
        <w:tc>
          <w:tcPr>
            <w:tcW w:w="2027" w:type="dxa"/>
          </w:tcPr>
          <w:p w14:paraId="687F9AEE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3.0 [3.0–4.0] (n=10)</w:t>
            </w:r>
          </w:p>
        </w:tc>
        <w:tc>
          <w:tcPr>
            <w:tcW w:w="2026" w:type="dxa"/>
          </w:tcPr>
          <w:p w14:paraId="02677DDF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[0.0–0.5] (n=7)</w:t>
            </w:r>
          </w:p>
        </w:tc>
        <w:tc>
          <w:tcPr>
            <w:tcW w:w="2026" w:type="dxa"/>
          </w:tcPr>
          <w:p w14:paraId="57548C95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(n=14)</w:t>
            </w:r>
          </w:p>
        </w:tc>
        <w:tc>
          <w:tcPr>
            <w:tcW w:w="2027" w:type="dxa"/>
          </w:tcPr>
          <w:p w14:paraId="61A20F4A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1.0 [0.0–1.0] (n=9)</w:t>
            </w:r>
          </w:p>
        </w:tc>
      </w:tr>
      <w:tr w:rsidR="000312ED" w:rsidRPr="00CE3B91" w14:paraId="4F4E73EA" w14:textId="77777777" w:rsidTr="00CE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006C4F21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Lobular inflammation</w:t>
            </w:r>
          </w:p>
        </w:tc>
        <w:tc>
          <w:tcPr>
            <w:tcW w:w="2026" w:type="dxa"/>
          </w:tcPr>
          <w:p w14:paraId="56246846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(n=8)</w:t>
            </w:r>
          </w:p>
        </w:tc>
        <w:tc>
          <w:tcPr>
            <w:tcW w:w="2026" w:type="dxa"/>
          </w:tcPr>
          <w:p w14:paraId="4DC1239D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(n=6)</w:t>
            </w:r>
          </w:p>
        </w:tc>
        <w:tc>
          <w:tcPr>
            <w:tcW w:w="2027" w:type="dxa"/>
          </w:tcPr>
          <w:p w14:paraId="05802FB5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1.0 [1.0–2.0] (n=10)</w:t>
            </w:r>
          </w:p>
        </w:tc>
        <w:tc>
          <w:tcPr>
            <w:tcW w:w="2026" w:type="dxa"/>
          </w:tcPr>
          <w:p w14:paraId="21B2D4EC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(n=7)</w:t>
            </w:r>
          </w:p>
        </w:tc>
        <w:tc>
          <w:tcPr>
            <w:tcW w:w="2026" w:type="dxa"/>
          </w:tcPr>
          <w:p w14:paraId="649F34FA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(n=14)</w:t>
            </w:r>
          </w:p>
        </w:tc>
        <w:tc>
          <w:tcPr>
            <w:tcW w:w="2027" w:type="dxa"/>
          </w:tcPr>
          <w:p w14:paraId="4AC05374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1.0 [1.0–2.0] (n=9)</w:t>
            </w:r>
          </w:p>
        </w:tc>
      </w:tr>
      <w:tr w:rsidR="000312ED" w:rsidRPr="00CE3B91" w14:paraId="4220AA97" w14:textId="77777777" w:rsidTr="00CE3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0FC1ABA2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Ballooning</w:t>
            </w:r>
          </w:p>
        </w:tc>
        <w:tc>
          <w:tcPr>
            <w:tcW w:w="2026" w:type="dxa"/>
          </w:tcPr>
          <w:p w14:paraId="13E20E3E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(n=8)</w:t>
            </w:r>
          </w:p>
        </w:tc>
        <w:tc>
          <w:tcPr>
            <w:tcW w:w="2026" w:type="dxa"/>
          </w:tcPr>
          <w:p w14:paraId="62491053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(n=6)</w:t>
            </w:r>
          </w:p>
        </w:tc>
        <w:tc>
          <w:tcPr>
            <w:tcW w:w="2027" w:type="dxa"/>
          </w:tcPr>
          <w:p w14:paraId="28043C03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2.0 [1.0–2.0] (n=10)</w:t>
            </w:r>
          </w:p>
        </w:tc>
        <w:tc>
          <w:tcPr>
            <w:tcW w:w="2026" w:type="dxa"/>
          </w:tcPr>
          <w:p w14:paraId="457EFC3B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(n=8)</w:t>
            </w:r>
          </w:p>
        </w:tc>
        <w:tc>
          <w:tcPr>
            <w:tcW w:w="2026" w:type="dxa"/>
          </w:tcPr>
          <w:p w14:paraId="339F45AA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(n=14)</w:t>
            </w:r>
          </w:p>
        </w:tc>
        <w:tc>
          <w:tcPr>
            <w:tcW w:w="2027" w:type="dxa"/>
          </w:tcPr>
          <w:p w14:paraId="0040699F" w14:textId="77777777" w:rsidR="000312ED" w:rsidRPr="00CE3B9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1.0 [1.0–1.0] (n=9)</w:t>
            </w:r>
          </w:p>
        </w:tc>
      </w:tr>
      <w:tr w:rsidR="000312ED" w:rsidRPr="00CE3B91" w14:paraId="5A1A2FCC" w14:textId="77777777" w:rsidTr="00CE3B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6" w:type="dxa"/>
          </w:tcPr>
          <w:p w14:paraId="7A3D34AD" w14:textId="77777777" w:rsidR="000312ED" w:rsidRPr="00CE3B91" w:rsidRDefault="00000000">
            <w:pPr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NAS</w:t>
            </w:r>
          </w:p>
        </w:tc>
        <w:tc>
          <w:tcPr>
            <w:tcW w:w="2026" w:type="dxa"/>
          </w:tcPr>
          <w:p w14:paraId="191AC690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(n=8)</w:t>
            </w:r>
          </w:p>
        </w:tc>
        <w:tc>
          <w:tcPr>
            <w:tcW w:w="2026" w:type="dxa"/>
          </w:tcPr>
          <w:p w14:paraId="33404393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1.5 [1.0–2.0] (n=6)</w:t>
            </w:r>
          </w:p>
        </w:tc>
        <w:tc>
          <w:tcPr>
            <w:tcW w:w="2027" w:type="dxa"/>
          </w:tcPr>
          <w:p w14:paraId="436D4042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5.0 [4.0–5.0] (n=10)</w:t>
            </w:r>
          </w:p>
        </w:tc>
        <w:tc>
          <w:tcPr>
            <w:tcW w:w="2026" w:type="dxa"/>
          </w:tcPr>
          <w:p w14:paraId="5147065B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0.0 [0.0–0.0] (n=7)</w:t>
            </w:r>
          </w:p>
        </w:tc>
        <w:tc>
          <w:tcPr>
            <w:tcW w:w="2026" w:type="dxa"/>
          </w:tcPr>
          <w:p w14:paraId="2CCBBDDB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1.5 [1.0–2.0] (n=14)</w:t>
            </w:r>
          </w:p>
        </w:tc>
        <w:tc>
          <w:tcPr>
            <w:tcW w:w="2027" w:type="dxa"/>
          </w:tcPr>
          <w:p w14:paraId="1F3F4A82" w14:textId="77777777" w:rsidR="000312ED" w:rsidRPr="00CE3B9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Cs w:val="36"/>
              </w:rPr>
            </w:pPr>
            <w:r w:rsidRPr="00CE3B91">
              <w:rPr>
                <w:rFonts w:ascii="Aptos" w:hAnsi="Aptos"/>
                <w:szCs w:val="36"/>
              </w:rPr>
              <w:t>4.0 [4.0–6.0] (n=9)</w:t>
            </w:r>
          </w:p>
        </w:tc>
      </w:tr>
    </w:tbl>
    <w:p w14:paraId="5D8683F5" w14:textId="77777777" w:rsidR="00CE3B91" w:rsidRDefault="00CE3B91">
      <w:pPr>
        <w:spacing w:before="100" w:after="0"/>
        <w:rPr>
          <w:rFonts w:ascii="Aptos" w:hAnsi="Aptos"/>
          <w:szCs w:val="36"/>
        </w:rPr>
      </w:pPr>
    </w:p>
    <w:p w14:paraId="39A88565" w14:textId="641D9268" w:rsidR="000312ED" w:rsidRPr="00CE3B91" w:rsidRDefault="00000000">
      <w:pPr>
        <w:spacing w:before="100" w:after="0"/>
        <w:rPr>
          <w:rFonts w:ascii="Aptos" w:hAnsi="Aptos"/>
          <w:sz w:val="36"/>
          <w:szCs w:val="36"/>
        </w:rPr>
      </w:pPr>
      <w:r w:rsidRPr="00CE3B91">
        <w:rPr>
          <w:rFonts w:ascii="Aptos" w:hAnsi="Aptos"/>
          <w:szCs w:val="36"/>
        </w:rPr>
        <w:t>Values are descriptive. Age, BMI, AST, and ALT are presented as mean ± SD; histological variables as median [IQR]; diabetes mellitus as n/N (%). Variable-specific sample sizes are shown because metadata completeness varied across measures. No additional inferential testing was performed for this descriptive table.</w:t>
      </w:r>
    </w:p>
    <w:p w14:paraId="111236D5" w14:textId="77777777" w:rsidR="000312ED" w:rsidRPr="00CE3B91" w:rsidRDefault="00000000">
      <w:pPr>
        <w:spacing w:before="40"/>
        <w:rPr>
          <w:rFonts w:ascii="Aptos" w:hAnsi="Aptos"/>
          <w:sz w:val="36"/>
          <w:szCs w:val="36"/>
        </w:rPr>
      </w:pPr>
      <w:r w:rsidRPr="00CE3B91">
        <w:rPr>
          <w:rFonts w:ascii="Aptos" w:hAnsi="Aptos"/>
          <w:szCs w:val="36"/>
        </w:rPr>
        <w:t>Abbreviations: ALT, alanine aminotransferase; AST, aspartate aminotransferase; BMI, body mass index; MASH, metabolic dysfunction-associated steatohepatitis; NAS, NAFLD Activity Score.</w:t>
      </w:r>
    </w:p>
    <w:sectPr w:rsidR="000312ED" w:rsidRPr="00CE3B91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996867">
    <w:abstractNumId w:val="8"/>
  </w:num>
  <w:num w:numId="2" w16cid:durableId="1648705720">
    <w:abstractNumId w:val="6"/>
  </w:num>
  <w:num w:numId="3" w16cid:durableId="1903323251">
    <w:abstractNumId w:val="5"/>
  </w:num>
  <w:num w:numId="4" w16cid:durableId="1078286517">
    <w:abstractNumId w:val="4"/>
  </w:num>
  <w:num w:numId="5" w16cid:durableId="1274290657">
    <w:abstractNumId w:val="7"/>
  </w:num>
  <w:num w:numId="6" w16cid:durableId="140000623">
    <w:abstractNumId w:val="3"/>
  </w:num>
  <w:num w:numId="7" w16cid:durableId="558397947">
    <w:abstractNumId w:val="2"/>
  </w:num>
  <w:num w:numId="8" w16cid:durableId="764425188">
    <w:abstractNumId w:val="1"/>
  </w:num>
  <w:num w:numId="9" w16cid:durableId="210175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2ED"/>
    <w:rsid w:val="00034616"/>
    <w:rsid w:val="0006063C"/>
    <w:rsid w:val="0015074B"/>
    <w:rsid w:val="0029639D"/>
    <w:rsid w:val="00326F90"/>
    <w:rsid w:val="00AA1D8D"/>
    <w:rsid w:val="00B47730"/>
    <w:rsid w:val="00CB0664"/>
    <w:rsid w:val="00CE3B91"/>
    <w:rsid w:val="00F769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69C8E7B-7D4D-4C3A-A351-3CEE2DD7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DzTablo3">
    <w:name w:val="Plain Table 3"/>
    <w:basedOn w:val="NormalTablo"/>
    <w:uiPriority w:val="99"/>
    <w:rsid w:val="00CE3B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TUNAHAN ANBER</dc:creator>
  <cp:keywords/>
  <dc:description>generated by python-docx</dc:description>
  <cp:lastModifiedBy>TUNAHAN ANBER</cp:lastModifiedBy>
  <cp:revision>2</cp:revision>
  <dcterms:created xsi:type="dcterms:W3CDTF">2013-12-23T23:15:00Z</dcterms:created>
  <dcterms:modified xsi:type="dcterms:W3CDTF">2026-08-02T07:26:00Z</dcterms:modified>
  <cp:category/>
</cp:coreProperties>
</file>