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15437" w14:textId="73444A2B" w:rsidR="00F97DF1" w:rsidRDefault="00F97DF1" w:rsidP="00F97DF1">
      <w:pPr>
        <w:pStyle w:val="Normal1"/>
        <w:adjustRightInd w:val="0"/>
        <w:snapToGrid w:val="0"/>
        <w:spacing w:after="0" w:line="480" w:lineRule="auto"/>
        <w:rPr>
          <w:rFonts w:ascii="Arial" w:eastAsia="Arial" w:hAnsi="Arial" w:cs="Arial"/>
          <w:b/>
          <w:bCs/>
          <w:sz w:val="24"/>
          <w:szCs w:val="24"/>
          <w:lang w:val="en-US"/>
        </w:rPr>
      </w:pPr>
      <w:bookmarkStart w:id="0" w:name="_Hlk188882884"/>
      <w:r w:rsidRPr="00F97DF1">
        <w:rPr>
          <w:rFonts w:ascii="Arial" w:eastAsia="Arial" w:hAnsi="Arial" w:cs="Arial"/>
          <w:b/>
          <w:bCs/>
          <w:sz w:val="24"/>
          <w:szCs w:val="24"/>
          <w:lang w:val="en-US"/>
        </w:rPr>
        <w:t>SUPPLEMENTARY MATERIAL</w:t>
      </w:r>
      <w:r>
        <w:rPr>
          <w:rFonts w:ascii="Arial" w:eastAsia="Arial" w:hAnsi="Arial" w:cs="Arial"/>
          <w:b/>
          <w:bCs/>
          <w:noProof/>
          <w:sz w:val="24"/>
          <w:szCs w:val="24"/>
          <w:lang w:val="en-US"/>
        </w:rPr>
        <w:drawing>
          <wp:inline distT="0" distB="0" distL="0" distR="0" wp14:anchorId="29E50171" wp14:editId="6A0F20E2">
            <wp:extent cx="5196654" cy="3917950"/>
            <wp:effectExtent l="19050" t="19050" r="23495" b="25400"/>
            <wp:docPr id="119125393" name="Imagem 1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25393" name="Imagem 1" descr="Texto, Carta&#10;&#10;Descrição gerada automaticament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718" b="24562"/>
                    <a:stretch/>
                  </pic:blipFill>
                  <pic:spPr bwMode="auto">
                    <a:xfrm>
                      <a:off x="0" y="0"/>
                      <a:ext cx="5209807" cy="39278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BBBFE4" w14:textId="77777777" w:rsidR="00F97DF1" w:rsidRPr="00C35CD1" w:rsidRDefault="00F97DF1" w:rsidP="00F97DF1">
      <w:pPr>
        <w:pStyle w:val="Normal1"/>
        <w:adjustRightInd w:val="0"/>
        <w:snapToGrid w:val="0"/>
        <w:spacing w:after="0" w:line="480" w:lineRule="auto"/>
        <w:rPr>
          <w:rFonts w:ascii="Arial" w:eastAsia="Arial" w:hAnsi="Arial" w:cs="Arial"/>
          <w:b/>
          <w:bCs/>
          <w:sz w:val="24"/>
          <w:szCs w:val="24"/>
          <w:lang w:val="en-US"/>
        </w:rPr>
      </w:pPr>
      <w:r w:rsidRPr="00C35CD1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Supplementary Figure 1. Summary of patient selection and analyses.</w:t>
      </w:r>
    </w:p>
    <w:p w14:paraId="27BD8318" w14:textId="77777777" w:rsidR="00F97DF1" w:rsidRPr="000F50FF" w:rsidRDefault="00F97DF1" w:rsidP="00F97DF1">
      <w:pPr>
        <w:keepNext/>
        <w:adjustRightInd w:val="0"/>
        <w:snapToGrid w:val="0"/>
        <w:spacing w:line="480" w:lineRule="auto"/>
        <w:ind w:firstLine="0"/>
        <w:jc w:val="left"/>
        <w:rPr>
          <w:rFonts w:cs="Arial"/>
          <w:szCs w:val="24"/>
        </w:rPr>
      </w:pPr>
      <w:r>
        <w:rPr>
          <w:rFonts w:cs="Arial"/>
          <w:noProof/>
          <w:szCs w:val="24"/>
        </w:rPr>
        <w:lastRenderedPageBreak/>
        <w:drawing>
          <wp:inline distT="0" distB="0" distL="0" distR="0" wp14:anchorId="13756D72" wp14:editId="04AA0BFD">
            <wp:extent cx="5731510" cy="3997960"/>
            <wp:effectExtent l="19050" t="19050" r="21590" b="21590"/>
            <wp:docPr id="662834665" name="Imagem 1" descr="Uma imagem contendo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834665" name="Imagem 1" descr="Uma imagem contendo Gráfico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79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C5AED89" w14:textId="77777777" w:rsidR="00F97DF1" w:rsidRPr="004D51B7" w:rsidRDefault="00F97DF1" w:rsidP="00F97DF1">
      <w:pPr>
        <w:pStyle w:val="Legenda"/>
        <w:adjustRightInd w:val="0"/>
        <w:snapToGrid w:val="0"/>
        <w:spacing w:after="0" w:line="480" w:lineRule="auto"/>
        <w:ind w:firstLine="0"/>
        <w:jc w:val="left"/>
        <w:rPr>
          <w:rFonts w:cs="Arial"/>
          <w:b/>
          <w:bCs/>
          <w:i w:val="0"/>
          <w:iCs w:val="0"/>
          <w:color w:val="auto"/>
          <w:sz w:val="24"/>
          <w:szCs w:val="24"/>
        </w:rPr>
      </w:pP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 xml:space="preserve">Supplementary Figure </w:t>
      </w:r>
      <w:r>
        <w:rPr>
          <w:rFonts w:cs="Arial"/>
          <w:b/>
          <w:bCs/>
          <w:i w:val="0"/>
          <w:iCs w:val="0"/>
          <w:color w:val="auto"/>
          <w:sz w:val="24"/>
          <w:szCs w:val="24"/>
        </w:rPr>
        <w:t>2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. Clinicopathological data and CYP1B1 expression.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The representations are related to low or high CYP1B1 </w:t>
      </w:r>
      <w:proofErr w:type="gramStart"/>
      <w:r w:rsidRPr="000F50FF">
        <w:rPr>
          <w:rFonts w:cs="Arial"/>
          <w:i w:val="0"/>
          <w:iCs w:val="0"/>
          <w:color w:val="auto"/>
          <w:sz w:val="24"/>
          <w:szCs w:val="24"/>
        </w:rPr>
        <w:t>expression</w:t>
      </w:r>
      <w:proofErr w:type="gramEnd"/>
      <w:r w:rsidRPr="000F50FF">
        <w:rPr>
          <w:rFonts w:cs="Arial"/>
          <w:i w:val="0"/>
          <w:iCs w:val="0"/>
          <w:color w:val="auto"/>
          <w:sz w:val="24"/>
          <w:szCs w:val="24"/>
        </w:rPr>
        <w:t>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A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Histology.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B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Histological degree.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C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Under and over the age of 50 years.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D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Estrogen receptor</w:t>
      </w:r>
      <w:r>
        <w:rPr>
          <w:rFonts w:cs="Arial"/>
          <w:i w:val="0"/>
          <w:iCs w:val="0"/>
          <w:color w:val="auto"/>
          <w:sz w:val="24"/>
          <w:szCs w:val="24"/>
        </w:rPr>
        <w:t>-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positive (ER+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and negative (ER-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E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Progesterone receptor</w:t>
      </w:r>
      <w:r>
        <w:rPr>
          <w:rFonts w:cs="Arial"/>
          <w:i w:val="0"/>
          <w:iCs w:val="0"/>
          <w:color w:val="auto"/>
          <w:sz w:val="24"/>
          <w:szCs w:val="24"/>
        </w:rPr>
        <w:t>-</w:t>
      </w:r>
      <w:r w:rsidRPr="00D6495A">
        <w:rPr>
          <w:rFonts w:cs="Arial"/>
          <w:i w:val="0"/>
          <w:iCs w:val="0"/>
          <w:color w:val="000000" w:themeColor="text1"/>
          <w:sz w:val="24"/>
          <w:szCs w:val="24"/>
        </w:rPr>
        <w:t>positive (PR+) and negative (PR-).</w:t>
      </w:r>
      <w:r w:rsidRPr="00D6495A">
        <w:rPr>
          <w:rFonts w:cs="Arial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D6495A">
        <w:rPr>
          <w:rFonts w:cs="Arial"/>
          <w:i w:val="0"/>
          <w:iCs w:val="0"/>
          <w:color w:val="000000" w:themeColor="text1"/>
          <w:sz w:val="24"/>
          <w:szCs w:val="24"/>
        </w:rPr>
        <w:t>(</w:t>
      </w:r>
      <w:r w:rsidRPr="00D6495A">
        <w:rPr>
          <w:rFonts w:cs="Arial"/>
          <w:b/>
          <w:bCs/>
          <w:i w:val="0"/>
          <w:iCs w:val="0"/>
          <w:color w:val="000000" w:themeColor="text1"/>
          <w:sz w:val="24"/>
          <w:szCs w:val="24"/>
        </w:rPr>
        <w:t>F</w:t>
      </w:r>
      <w:r w:rsidRPr="00D6495A">
        <w:rPr>
          <w:rFonts w:cs="Arial"/>
          <w:i w:val="0"/>
          <w:iCs w:val="0"/>
          <w:color w:val="000000" w:themeColor="text1"/>
          <w:sz w:val="24"/>
          <w:szCs w:val="24"/>
        </w:rPr>
        <w:t>)</w:t>
      </w:r>
      <w:r w:rsidRPr="00D6495A">
        <w:rPr>
          <w:rFonts w:cs="Arial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D6495A">
        <w:rPr>
          <w:rFonts w:cs="Arial"/>
          <w:i w:val="0"/>
          <w:iCs w:val="0"/>
          <w:color w:val="000000" w:themeColor="text1"/>
          <w:sz w:val="24"/>
          <w:szCs w:val="24"/>
        </w:rPr>
        <w:t>HER2 expression degree (0 to 3) or unknown (UK). (</w:t>
      </w:r>
      <w:r w:rsidRPr="00D6495A">
        <w:rPr>
          <w:rFonts w:cs="Arial"/>
          <w:b/>
          <w:bCs/>
          <w:i w:val="0"/>
          <w:iCs w:val="0"/>
          <w:color w:val="000000" w:themeColor="text1"/>
          <w:sz w:val="24"/>
          <w:szCs w:val="24"/>
        </w:rPr>
        <w:t>G, H</w:t>
      </w:r>
      <w:r w:rsidRPr="00D6495A">
        <w:rPr>
          <w:rFonts w:cs="Arial"/>
          <w:i w:val="0"/>
          <w:iCs w:val="0"/>
          <w:color w:val="000000" w:themeColor="text1"/>
          <w:sz w:val="24"/>
          <w:szCs w:val="24"/>
        </w:rPr>
        <w:t>) TNM</w:t>
      </w:r>
      <w:r w:rsidRPr="00D6495A">
        <w:rPr>
          <w:rFonts w:cs="Arial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classification of right and left breast, respectively. 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>(</w:t>
      </w:r>
      <w:r w:rsidRPr="004D51B7">
        <w:rPr>
          <w:rFonts w:cs="Arial"/>
          <w:b/>
          <w:bCs/>
          <w:i w:val="0"/>
          <w:iCs w:val="0"/>
          <w:color w:val="auto"/>
          <w:sz w:val="24"/>
          <w:szCs w:val="24"/>
        </w:rPr>
        <w:t>I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>) Ki67-positive (+) and negative (</w:t>
      </w:r>
      <w:r>
        <w:rPr>
          <w:rFonts w:cs="Arial"/>
          <w:i w:val="0"/>
          <w:iCs w:val="0"/>
          <w:color w:val="auto"/>
          <w:sz w:val="24"/>
          <w:szCs w:val="24"/>
        </w:rPr>
        <w:t>-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 xml:space="preserve">). Legend: </w:t>
      </w:r>
      <w:r>
        <w:rPr>
          <w:rFonts w:cs="Arial"/>
          <w:i w:val="0"/>
          <w:iCs w:val="0"/>
          <w:color w:val="auto"/>
          <w:sz w:val="24"/>
          <w:szCs w:val="24"/>
        </w:rPr>
        <w:t>ID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 xml:space="preserve">C (infiltrating ductal carcinoma); </w:t>
      </w:r>
      <w:r>
        <w:rPr>
          <w:rFonts w:cs="Arial"/>
          <w:i w:val="0"/>
          <w:iCs w:val="0"/>
          <w:color w:val="auto"/>
          <w:sz w:val="24"/>
          <w:szCs w:val="24"/>
        </w:rPr>
        <w:t>IL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 xml:space="preserve">C (infiltrating lobular carcinoma); </w:t>
      </w:r>
      <w:r>
        <w:rPr>
          <w:rFonts w:cs="Arial"/>
          <w:i w:val="0"/>
          <w:iCs w:val="0"/>
          <w:color w:val="auto"/>
          <w:sz w:val="24"/>
          <w:szCs w:val="24"/>
        </w:rPr>
        <w:t>I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 xml:space="preserve">CDL (infiltrating ductal-lobular carcinoma); </w:t>
      </w:r>
      <w:r>
        <w:rPr>
          <w:rFonts w:cs="Arial"/>
          <w:i w:val="0"/>
          <w:iCs w:val="0"/>
          <w:color w:val="auto"/>
          <w:sz w:val="24"/>
          <w:szCs w:val="24"/>
        </w:rPr>
        <w:t>IM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>C</w:t>
      </w:r>
      <w:r>
        <w:rPr>
          <w:rFonts w:cs="Arial"/>
          <w:i w:val="0"/>
          <w:iCs w:val="0"/>
          <w:color w:val="auto"/>
          <w:sz w:val="24"/>
          <w:szCs w:val="24"/>
        </w:rPr>
        <w:t>C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 xml:space="preserve"> (infiltrating </w:t>
      </w:r>
      <w:r w:rsidRPr="00B76C4F">
        <w:rPr>
          <w:rFonts w:cs="Arial"/>
          <w:i w:val="0"/>
          <w:iCs w:val="0"/>
          <w:color w:val="auto"/>
          <w:sz w:val="24"/>
          <w:szCs w:val="24"/>
        </w:rPr>
        <w:t>mucinous carcinoma - colloid); IPC (infiltrating papillary carcinoma); UK (unknown); ISIC (</w:t>
      </w:r>
      <w:r w:rsidRPr="00B76C4F">
        <w:rPr>
          <w:rFonts w:eastAsia="Times New Roman" w:cs="Arial"/>
          <w:i w:val="0"/>
          <w:iCs w:val="0"/>
          <w:color w:val="auto"/>
          <w:sz w:val="24"/>
          <w:szCs w:val="24"/>
        </w:rPr>
        <w:t>In situ ductal carcinoma</w:t>
      </w:r>
      <w:r w:rsidRPr="00B76C4F">
        <w:rPr>
          <w:rFonts w:cs="Arial"/>
          <w:i w:val="0"/>
          <w:iCs w:val="0"/>
          <w:color w:val="auto"/>
          <w:sz w:val="24"/>
          <w:szCs w:val="24"/>
        </w:rPr>
        <w:t>); IMC (</w:t>
      </w:r>
      <w:r w:rsidRPr="00B76C4F">
        <w:rPr>
          <w:rFonts w:eastAsia="Times New Roman" w:cs="Arial"/>
          <w:i w:val="0"/>
          <w:iCs w:val="0"/>
          <w:color w:val="auto"/>
          <w:sz w:val="24"/>
          <w:szCs w:val="24"/>
        </w:rPr>
        <w:t>Invasive medullar carcinoma)</w:t>
      </w:r>
      <w:r>
        <w:rPr>
          <w:rFonts w:eastAsia="Times New Roman" w:cs="Arial"/>
          <w:i w:val="0"/>
          <w:iCs w:val="0"/>
          <w:color w:val="auto"/>
          <w:sz w:val="24"/>
          <w:szCs w:val="24"/>
        </w:rPr>
        <w:t>;</w:t>
      </w:r>
      <w:r w:rsidRPr="00B76C4F">
        <w:rPr>
          <w:rFonts w:cs="Arial"/>
          <w:i w:val="0"/>
          <w:iCs w:val="0"/>
          <w:color w:val="auto"/>
          <w:sz w:val="24"/>
          <w:szCs w:val="24"/>
        </w:rPr>
        <w:t xml:space="preserve"> SOE (infiltrating carcinoma SOE).</w:t>
      </w:r>
    </w:p>
    <w:p w14:paraId="375774FD" w14:textId="77777777" w:rsidR="00F97DF1" w:rsidRPr="004D51B7" w:rsidRDefault="00F97DF1" w:rsidP="00F97DF1">
      <w:pPr>
        <w:pStyle w:val="Legenda"/>
        <w:adjustRightInd w:val="0"/>
        <w:snapToGrid w:val="0"/>
        <w:spacing w:after="0" w:line="480" w:lineRule="auto"/>
        <w:ind w:firstLine="0"/>
        <w:jc w:val="left"/>
        <w:rPr>
          <w:rFonts w:cs="Arial"/>
          <w:i w:val="0"/>
          <w:iCs w:val="0"/>
          <w:color w:val="auto"/>
          <w:sz w:val="24"/>
          <w:szCs w:val="24"/>
        </w:rPr>
      </w:pPr>
      <w:r w:rsidRPr="004D51B7">
        <w:rPr>
          <w:rFonts w:eastAsia="Arial" w:cs="Arial"/>
          <w:sz w:val="24"/>
          <w:szCs w:val="24"/>
        </w:rPr>
        <w:br/>
      </w:r>
    </w:p>
    <w:p w14:paraId="312FEE0B" w14:textId="77777777" w:rsidR="00F97DF1" w:rsidRPr="000F50FF" w:rsidRDefault="00F97DF1" w:rsidP="00F97DF1">
      <w:pPr>
        <w:pStyle w:val="Normal1"/>
        <w:shd w:val="clear" w:color="auto" w:fill="FFFFFF"/>
        <w:adjustRightInd w:val="0"/>
        <w:snapToGrid w:val="0"/>
        <w:spacing w:after="0" w:line="480" w:lineRule="auto"/>
        <w:rPr>
          <w:rFonts w:ascii="Arial" w:eastAsia="Arial" w:hAnsi="Arial" w:cs="Arial"/>
          <w:sz w:val="24"/>
          <w:szCs w:val="24"/>
          <w:lang w:val="en-US"/>
        </w:rPr>
      </w:pPr>
      <w:bookmarkStart w:id="1" w:name="_147n2zr" w:colFirst="0" w:colLast="0"/>
      <w:bookmarkEnd w:id="1"/>
      <w:r>
        <w:rPr>
          <w:rFonts w:ascii="Arial" w:eastAsia="Arial" w:hAnsi="Arial" w:cs="Arial"/>
          <w:noProof/>
          <w:sz w:val="24"/>
          <w:szCs w:val="24"/>
          <w:lang w:val="en-US"/>
        </w:rPr>
        <w:lastRenderedPageBreak/>
        <w:drawing>
          <wp:inline distT="0" distB="0" distL="0" distR="0" wp14:anchorId="2F5BB6F9" wp14:editId="3598AACB">
            <wp:extent cx="5867189" cy="4064000"/>
            <wp:effectExtent l="19050" t="19050" r="19685" b="12700"/>
            <wp:docPr id="2077987298" name="Imagem 1" descr="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987298" name="Imagem 1" descr="Gráfic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9108" cy="406532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6CBF790" w14:textId="77777777" w:rsidR="00F97DF1" w:rsidRPr="004D51B7" w:rsidRDefault="00F97DF1" w:rsidP="00F97DF1">
      <w:pPr>
        <w:pStyle w:val="Legenda"/>
        <w:adjustRightInd w:val="0"/>
        <w:snapToGrid w:val="0"/>
        <w:spacing w:after="0" w:line="480" w:lineRule="auto"/>
        <w:ind w:firstLine="0"/>
        <w:jc w:val="left"/>
        <w:rPr>
          <w:rFonts w:cs="Arial"/>
          <w:b/>
          <w:bCs/>
          <w:i w:val="0"/>
          <w:iCs w:val="0"/>
          <w:color w:val="auto"/>
          <w:sz w:val="24"/>
          <w:szCs w:val="24"/>
        </w:rPr>
      </w:pP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 xml:space="preserve">Supplementary Figure </w:t>
      </w:r>
      <w:r>
        <w:rPr>
          <w:rFonts w:cs="Arial"/>
          <w:b/>
          <w:bCs/>
          <w:i w:val="0"/>
          <w:iCs w:val="0"/>
          <w:color w:val="auto"/>
          <w:sz w:val="24"/>
          <w:szCs w:val="24"/>
        </w:rPr>
        <w:t>3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. Clinicopathological data and CYP1B1 expression in neoadjuvant treatments.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The representations are related to low or high CYP1B1 expression.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A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Histology.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B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Histological degree.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C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Estrogen receptor</w:t>
      </w:r>
      <w:r>
        <w:rPr>
          <w:rFonts w:cs="Arial"/>
          <w:i w:val="0"/>
          <w:iCs w:val="0"/>
          <w:color w:val="auto"/>
          <w:sz w:val="24"/>
          <w:szCs w:val="24"/>
        </w:rPr>
        <w:t>-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positive (ER+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and </w:t>
      </w:r>
      <w:r>
        <w:rPr>
          <w:rFonts w:cs="Arial"/>
          <w:i w:val="0"/>
          <w:iCs w:val="0"/>
          <w:color w:val="auto"/>
          <w:sz w:val="24"/>
          <w:szCs w:val="24"/>
        </w:rPr>
        <w:t>-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negative (ER-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D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Progesterone receptor</w:t>
      </w:r>
      <w:r>
        <w:rPr>
          <w:rFonts w:cs="Arial"/>
          <w:i w:val="0"/>
          <w:iCs w:val="0"/>
          <w:color w:val="auto"/>
          <w:sz w:val="24"/>
          <w:szCs w:val="24"/>
        </w:rPr>
        <w:t>-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positive (PR+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and </w:t>
      </w:r>
      <w:r>
        <w:rPr>
          <w:rFonts w:cs="Arial"/>
          <w:i w:val="0"/>
          <w:iCs w:val="0"/>
          <w:color w:val="auto"/>
          <w:sz w:val="24"/>
          <w:szCs w:val="24"/>
        </w:rPr>
        <w:t>-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negative (PR-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.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 xml:space="preserve"> (E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Ki67</w:t>
      </w:r>
      <w:r>
        <w:rPr>
          <w:rFonts w:cs="Arial"/>
          <w:i w:val="0"/>
          <w:iCs w:val="0"/>
          <w:color w:val="auto"/>
          <w:sz w:val="24"/>
          <w:szCs w:val="24"/>
        </w:rPr>
        <w:t>-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positive (+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and </w:t>
      </w:r>
      <w:r>
        <w:rPr>
          <w:rFonts w:cs="Arial"/>
          <w:i w:val="0"/>
          <w:iCs w:val="0"/>
          <w:color w:val="auto"/>
          <w:sz w:val="24"/>
          <w:szCs w:val="24"/>
        </w:rPr>
        <w:t>-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negative (-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F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HER2 expression degree (0 to 3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or </w:t>
      </w:r>
      <w:r>
        <w:rPr>
          <w:rFonts w:cs="Arial"/>
          <w:i w:val="0"/>
          <w:iCs w:val="0"/>
          <w:color w:val="auto"/>
          <w:sz w:val="24"/>
          <w:szCs w:val="24"/>
        </w:rPr>
        <w:t>un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known (NC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>. (</w:t>
      </w:r>
      <w:r w:rsidRPr="000F50FF">
        <w:rPr>
          <w:rFonts w:cs="Arial"/>
          <w:b/>
          <w:bCs/>
          <w:i w:val="0"/>
          <w:iCs w:val="0"/>
          <w:color w:val="auto"/>
          <w:sz w:val="24"/>
          <w:szCs w:val="24"/>
        </w:rPr>
        <w:t>G, H</w:t>
      </w:r>
      <w:r>
        <w:rPr>
          <w:rFonts w:cs="Arial"/>
          <w:i w:val="0"/>
          <w:iCs w:val="0"/>
          <w:color w:val="auto"/>
          <w:sz w:val="24"/>
          <w:szCs w:val="24"/>
        </w:rPr>
        <w:t>)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 </w:t>
      </w:r>
      <w:r w:rsidRPr="00F97DF1">
        <w:rPr>
          <w:rFonts w:cs="Arial"/>
          <w:i w:val="0"/>
          <w:iCs w:val="0"/>
          <w:color w:val="000000" w:themeColor="text1"/>
          <w:sz w:val="24"/>
          <w:szCs w:val="24"/>
        </w:rPr>
        <w:t xml:space="preserve">TNM </w:t>
      </w:r>
      <w:r w:rsidRPr="000F50FF">
        <w:rPr>
          <w:rFonts w:cs="Arial"/>
          <w:i w:val="0"/>
          <w:iCs w:val="0"/>
          <w:color w:val="auto"/>
          <w:sz w:val="24"/>
          <w:szCs w:val="24"/>
        </w:rPr>
        <w:t xml:space="preserve">classification of right and left breast, respectively. </w:t>
      </w:r>
      <w:r w:rsidRPr="00284754">
        <w:rPr>
          <w:rFonts w:cs="Arial"/>
          <w:i w:val="0"/>
          <w:iCs w:val="0"/>
          <w:color w:val="auto"/>
          <w:sz w:val="24"/>
          <w:szCs w:val="24"/>
        </w:rPr>
        <w:t>Legend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 xml:space="preserve">: </w:t>
      </w:r>
      <w:r>
        <w:rPr>
          <w:rFonts w:cs="Arial"/>
          <w:i w:val="0"/>
          <w:iCs w:val="0"/>
          <w:color w:val="auto"/>
          <w:sz w:val="24"/>
          <w:szCs w:val="24"/>
        </w:rPr>
        <w:t>ID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 xml:space="preserve">C (infiltrating ductal carcinoma); </w:t>
      </w:r>
      <w:r>
        <w:rPr>
          <w:rFonts w:cs="Arial"/>
          <w:i w:val="0"/>
          <w:iCs w:val="0"/>
          <w:color w:val="auto"/>
          <w:sz w:val="24"/>
          <w:szCs w:val="24"/>
        </w:rPr>
        <w:t>I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 xml:space="preserve">CDL (infiltrating ductal-lobular carcinoma); </w:t>
      </w:r>
      <w:r>
        <w:rPr>
          <w:rFonts w:cs="Arial"/>
          <w:i w:val="0"/>
          <w:iCs w:val="0"/>
          <w:color w:val="auto"/>
          <w:sz w:val="24"/>
          <w:szCs w:val="24"/>
        </w:rPr>
        <w:t>IM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>C</w:t>
      </w:r>
      <w:r>
        <w:rPr>
          <w:rFonts w:cs="Arial"/>
          <w:i w:val="0"/>
          <w:iCs w:val="0"/>
          <w:color w:val="auto"/>
          <w:sz w:val="24"/>
          <w:szCs w:val="24"/>
        </w:rPr>
        <w:t>C</w:t>
      </w:r>
      <w:r w:rsidRPr="004D51B7">
        <w:rPr>
          <w:rFonts w:cs="Arial"/>
          <w:i w:val="0"/>
          <w:iCs w:val="0"/>
          <w:color w:val="auto"/>
          <w:sz w:val="24"/>
          <w:szCs w:val="24"/>
        </w:rPr>
        <w:t xml:space="preserve"> (infiltrating </w:t>
      </w:r>
      <w:r w:rsidRPr="00B76C4F">
        <w:rPr>
          <w:rFonts w:cs="Arial"/>
          <w:i w:val="0"/>
          <w:iCs w:val="0"/>
          <w:color w:val="auto"/>
          <w:sz w:val="24"/>
          <w:szCs w:val="24"/>
        </w:rPr>
        <w:t>mucinous carcinoma - colloid); SOE (infiltrating carcinoma SOE).</w:t>
      </w:r>
    </w:p>
    <w:p w14:paraId="0FE103CE" w14:textId="77777777" w:rsidR="00F97DF1" w:rsidRDefault="00F97DF1" w:rsidP="00D92793">
      <w:pPr>
        <w:pStyle w:val="Normal1"/>
        <w:adjustRightInd w:val="0"/>
        <w:snapToGrid w:val="0"/>
        <w:spacing w:after="0" w:line="480" w:lineRule="auto"/>
        <w:rPr>
          <w:rFonts w:ascii="Arial" w:hAnsi="Arial" w:cs="Arial"/>
          <w:b/>
          <w:bCs/>
          <w:color w:val="auto"/>
          <w:sz w:val="24"/>
          <w:szCs w:val="24"/>
          <w:lang w:val="en-US"/>
        </w:rPr>
      </w:pPr>
    </w:p>
    <w:p w14:paraId="3754AA83" w14:textId="77777777" w:rsidR="00F97DF1" w:rsidRDefault="00F97DF1" w:rsidP="00D92793">
      <w:pPr>
        <w:pStyle w:val="Normal1"/>
        <w:adjustRightInd w:val="0"/>
        <w:snapToGrid w:val="0"/>
        <w:spacing w:after="0" w:line="480" w:lineRule="auto"/>
        <w:rPr>
          <w:rFonts w:ascii="Arial" w:hAnsi="Arial" w:cs="Arial"/>
          <w:b/>
          <w:bCs/>
          <w:color w:val="auto"/>
          <w:sz w:val="24"/>
          <w:szCs w:val="24"/>
          <w:lang w:val="en-US"/>
        </w:rPr>
      </w:pPr>
    </w:p>
    <w:p w14:paraId="75E39027" w14:textId="77777777" w:rsidR="00BF229F" w:rsidRDefault="00BF229F" w:rsidP="00D92793">
      <w:pPr>
        <w:pStyle w:val="Normal1"/>
        <w:adjustRightInd w:val="0"/>
        <w:snapToGrid w:val="0"/>
        <w:spacing w:after="0" w:line="480" w:lineRule="auto"/>
        <w:rPr>
          <w:rFonts w:ascii="Arial" w:hAnsi="Arial" w:cs="Arial"/>
          <w:b/>
          <w:bCs/>
          <w:color w:val="auto"/>
          <w:sz w:val="24"/>
          <w:szCs w:val="24"/>
          <w:lang w:val="en-US"/>
        </w:rPr>
      </w:pPr>
    </w:p>
    <w:p w14:paraId="7CF1D63C" w14:textId="77777777" w:rsidR="00894D56" w:rsidRDefault="00894D56" w:rsidP="00D92793">
      <w:pPr>
        <w:pStyle w:val="Normal1"/>
        <w:adjustRightInd w:val="0"/>
        <w:snapToGrid w:val="0"/>
        <w:spacing w:after="0" w:line="480" w:lineRule="auto"/>
        <w:rPr>
          <w:rFonts w:ascii="Arial" w:hAnsi="Arial" w:cs="Arial"/>
          <w:b/>
          <w:bCs/>
          <w:color w:val="auto"/>
          <w:sz w:val="24"/>
          <w:szCs w:val="24"/>
          <w:lang w:val="en-US"/>
        </w:rPr>
      </w:pPr>
    </w:p>
    <w:p w14:paraId="5EE052CF" w14:textId="4B32F51A" w:rsidR="00D92793" w:rsidRPr="000F50FF" w:rsidRDefault="00D92793" w:rsidP="00D92793">
      <w:pPr>
        <w:pStyle w:val="Normal1"/>
        <w:adjustRightInd w:val="0"/>
        <w:snapToGrid w:val="0"/>
        <w:spacing w:after="0" w:line="480" w:lineRule="auto"/>
        <w:rPr>
          <w:rFonts w:ascii="Arial" w:hAnsi="Arial" w:cs="Arial"/>
          <w:b/>
          <w:bCs/>
          <w:color w:val="auto"/>
          <w:sz w:val="24"/>
          <w:szCs w:val="24"/>
          <w:lang w:val="en-US"/>
        </w:rPr>
      </w:pPr>
      <w:r w:rsidRPr="000F50FF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Supplementary Table 1. Cross-tabulation of estrogen receptor and CYP1B1 expression.</w:t>
      </w:r>
    </w:p>
    <w:tbl>
      <w:tblPr>
        <w:tblStyle w:val="NormalTable0"/>
        <w:tblW w:w="842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82"/>
        <w:gridCol w:w="1445"/>
        <w:gridCol w:w="2129"/>
        <w:gridCol w:w="709"/>
        <w:gridCol w:w="851"/>
        <w:gridCol w:w="850"/>
        <w:gridCol w:w="807"/>
        <w:gridCol w:w="947"/>
      </w:tblGrid>
      <w:tr w:rsidR="00D92793" w:rsidRPr="000F50FF" w14:paraId="45529B59" w14:textId="77777777" w:rsidTr="00B17442">
        <w:trPr>
          <w:trHeight w:val="276"/>
        </w:trPr>
        <w:tc>
          <w:tcPr>
            <w:tcW w:w="842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ED5A61D" w14:textId="77777777" w:rsidR="00D92793" w:rsidRPr="00D92793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  <w:lang w:val="en-US"/>
              </w:rPr>
            </w:pPr>
            <w:r w:rsidRPr="00D92793">
              <w:rPr>
                <w:rFonts w:cs="Arial"/>
                <w:b/>
                <w:bCs/>
                <w:color w:val="000000" w:themeColor="text1"/>
                <w:szCs w:val="24"/>
                <w:lang w:val="en-US"/>
              </w:rPr>
              <w:t xml:space="preserve">Cross-tabulation of ER </w:t>
            </w:r>
            <w:r w:rsidRPr="000F50FF">
              <w:rPr>
                <w:rFonts w:cs="Arial"/>
                <w:b/>
                <w:bCs/>
                <w:color w:val="000000" w:themeColor="text1"/>
                <w:szCs w:val="24"/>
              </w:rPr>
              <w:sym w:font="Symbol" w:char="F0B4"/>
            </w:r>
            <w:r w:rsidRPr="00D92793">
              <w:rPr>
                <w:rFonts w:cs="Arial"/>
                <w:b/>
                <w:bCs/>
                <w:color w:val="000000" w:themeColor="text1"/>
                <w:szCs w:val="24"/>
                <w:lang w:val="en-US"/>
              </w:rPr>
              <w:t xml:space="preserve"> CYP1B1</w:t>
            </w:r>
          </w:p>
        </w:tc>
      </w:tr>
      <w:tr w:rsidR="00D92793" w:rsidRPr="000F50FF" w14:paraId="788499E8" w14:textId="77777777" w:rsidTr="00B17442">
        <w:trPr>
          <w:trHeight w:val="267"/>
        </w:trPr>
        <w:tc>
          <w:tcPr>
            <w:tcW w:w="4256" w:type="dxa"/>
            <w:gridSpan w:val="3"/>
            <w:vMerge w:val="restart"/>
            <w:tcBorders>
              <w:top w:val="single" w:sz="4" w:space="0" w:color="auto"/>
            </w:tcBorders>
          </w:tcPr>
          <w:p w14:paraId="0D1E85FE" w14:textId="77777777" w:rsidR="00D92793" w:rsidRPr="00D92793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  <w:lang w:val="en-US"/>
              </w:rPr>
            </w:pPr>
          </w:p>
        </w:tc>
        <w:tc>
          <w:tcPr>
            <w:tcW w:w="3217" w:type="dxa"/>
            <w:gridSpan w:val="4"/>
            <w:tcBorders>
              <w:top w:val="single" w:sz="4" w:space="0" w:color="auto"/>
            </w:tcBorders>
          </w:tcPr>
          <w:p w14:paraId="670720E3" w14:textId="77777777" w:rsidR="00D92793" w:rsidRPr="00602F37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602F37">
              <w:rPr>
                <w:rFonts w:cs="Arial"/>
                <w:b/>
                <w:bCs/>
                <w:color w:val="000000" w:themeColor="text1"/>
                <w:szCs w:val="24"/>
              </w:rPr>
              <w:t>CYP1B1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</w:tcBorders>
          </w:tcPr>
          <w:p w14:paraId="17858679" w14:textId="77777777" w:rsidR="00D92793" w:rsidRPr="00602F37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602F37">
              <w:rPr>
                <w:rFonts w:cs="Arial"/>
                <w:b/>
                <w:bCs/>
                <w:color w:val="000000" w:themeColor="text1"/>
                <w:szCs w:val="24"/>
              </w:rPr>
              <w:t>Total</w:t>
            </w:r>
          </w:p>
        </w:tc>
      </w:tr>
      <w:tr w:rsidR="00D92793" w:rsidRPr="000F50FF" w14:paraId="27096142" w14:textId="77777777" w:rsidTr="00B17442">
        <w:trPr>
          <w:trHeight w:val="123"/>
        </w:trPr>
        <w:tc>
          <w:tcPr>
            <w:tcW w:w="4256" w:type="dxa"/>
            <w:gridSpan w:val="3"/>
            <w:vMerge/>
          </w:tcPr>
          <w:p w14:paraId="12116434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709" w:type="dxa"/>
          </w:tcPr>
          <w:p w14:paraId="403DC960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9F064A">
              <w:rPr>
                <w:rFonts w:cs="Arial"/>
                <w:b/>
                <w:bCs/>
                <w:color w:val="000000" w:themeColor="text1"/>
                <w:szCs w:val="24"/>
              </w:rPr>
              <w:t>0.00</w:t>
            </w:r>
          </w:p>
        </w:tc>
        <w:tc>
          <w:tcPr>
            <w:tcW w:w="851" w:type="dxa"/>
          </w:tcPr>
          <w:p w14:paraId="1D634158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9F064A">
              <w:rPr>
                <w:rFonts w:cs="Arial"/>
                <w:b/>
                <w:bCs/>
                <w:color w:val="000000" w:themeColor="text1"/>
                <w:szCs w:val="24"/>
              </w:rPr>
              <w:t>1.00</w:t>
            </w:r>
          </w:p>
        </w:tc>
        <w:tc>
          <w:tcPr>
            <w:tcW w:w="850" w:type="dxa"/>
          </w:tcPr>
          <w:p w14:paraId="03CE7BCE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9F064A">
              <w:rPr>
                <w:rFonts w:cs="Arial"/>
                <w:b/>
                <w:bCs/>
                <w:color w:val="000000" w:themeColor="text1"/>
                <w:szCs w:val="24"/>
              </w:rPr>
              <w:t>2.00</w:t>
            </w:r>
          </w:p>
        </w:tc>
        <w:tc>
          <w:tcPr>
            <w:tcW w:w="807" w:type="dxa"/>
          </w:tcPr>
          <w:p w14:paraId="23702F1B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9F064A">
              <w:rPr>
                <w:rFonts w:cs="Arial"/>
                <w:b/>
                <w:bCs/>
                <w:color w:val="000000" w:themeColor="text1"/>
                <w:szCs w:val="24"/>
              </w:rPr>
              <w:t>3.00</w:t>
            </w:r>
          </w:p>
        </w:tc>
        <w:tc>
          <w:tcPr>
            <w:tcW w:w="947" w:type="dxa"/>
            <w:vMerge/>
          </w:tcPr>
          <w:p w14:paraId="21CBEB2A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</w:tr>
      <w:tr w:rsidR="00D92793" w:rsidRPr="000F50FF" w14:paraId="12C743D2" w14:textId="77777777" w:rsidTr="00B17442">
        <w:trPr>
          <w:trHeight w:val="276"/>
        </w:trPr>
        <w:tc>
          <w:tcPr>
            <w:tcW w:w="682" w:type="dxa"/>
            <w:vMerge w:val="restart"/>
          </w:tcPr>
          <w:p w14:paraId="2DE4E0E4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9F064A">
              <w:rPr>
                <w:rFonts w:cs="Arial"/>
                <w:b/>
                <w:bCs/>
                <w:color w:val="000000" w:themeColor="text1"/>
                <w:szCs w:val="24"/>
              </w:rPr>
              <w:t>ER</w:t>
            </w:r>
          </w:p>
        </w:tc>
        <w:tc>
          <w:tcPr>
            <w:tcW w:w="1445" w:type="dxa"/>
            <w:vMerge w:val="restart"/>
          </w:tcPr>
          <w:p w14:paraId="40946258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9F064A">
              <w:rPr>
                <w:rFonts w:cs="Arial"/>
                <w:b/>
                <w:bCs/>
                <w:color w:val="000000" w:themeColor="text1"/>
                <w:szCs w:val="24"/>
              </w:rPr>
              <w:t>Negative</w:t>
            </w:r>
          </w:p>
        </w:tc>
        <w:tc>
          <w:tcPr>
            <w:tcW w:w="2126" w:type="dxa"/>
          </w:tcPr>
          <w:p w14:paraId="178DA9CE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Count</w:t>
            </w:r>
          </w:p>
        </w:tc>
        <w:tc>
          <w:tcPr>
            <w:tcW w:w="709" w:type="dxa"/>
          </w:tcPr>
          <w:p w14:paraId="30B80387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2</w:t>
            </w:r>
          </w:p>
        </w:tc>
        <w:tc>
          <w:tcPr>
            <w:tcW w:w="851" w:type="dxa"/>
          </w:tcPr>
          <w:p w14:paraId="1E6C14A8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7</w:t>
            </w:r>
          </w:p>
        </w:tc>
        <w:tc>
          <w:tcPr>
            <w:tcW w:w="850" w:type="dxa"/>
          </w:tcPr>
          <w:p w14:paraId="336136DE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13</w:t>
            </w:r>
          </w:p>
        </w:tc>
        <w:tc>
          <w:tcPr>
            <w:tcW w:w="807" w:type="dxa"/>
          </w:tcPr>
          <w:p w14:paraId="3382A137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16</w:t>
            </w:r>
          </w:p>
        </w:tc>
        <w:tc>
          <w:tcPr>
            <w:tcW w:w="947" w:type="dxa"/>
          </w:tcPr>
          <w:p w14:paraId="356F8828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38</w:t>
            </w:r>
          </w:p>
        </w:tc>
      </w:tr>
      <w:tr w:rsidR="00D92793" w:rsidRPr="000F50FF" w14:paraId="0F674E74" w14:textId="77777777" w:rsidTr="00B17442">
        <w:trPr>
          <w:trHeight w:val="123"/>
        </w:trPr>
        <w:tc>
          <w:tcPr>
            <w:tcW w:w="682" w:type="dxa"/>
            <w:vMerge/>
          </w:tcPr>
          <w:p w14:paraId="0181883D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445" w:type="dxa"/>
            <w:vMerge/>
          </w:tcPr>
          <w:p w14:paraId="6154416F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126" w:type="dxa"/>
          </w:tcPr>
          <w:p w14:paraId="785F1EC8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 xml:space="preserve">Count </w:t>
            </w:r>
          </w:p>
        </w:tc>
        <w:tc>
          <w:tcPr>
            <w:tcW w:w="709" w:type="dxa"/>
          </w:tcPr>
          <w:p w14:paraId="742CD3B1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3.0</w:t>
            </w:r>
          </w:p>
        </w:tc>
        <w:tc>
          <w:tcPr>
            <w:tcW w:w="851" w:type="dxa"/>
          </w:tcPr>
          <w:p w14:paraId="76C22303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6.6</w:t>
            </w:r>
          </w:p>
        </w:tc>
        <w:tc>
          <w:tcPr>
            <w:tcW w:w="850" w:type="dxa"/>
          </w:tcPr>
          <w:p w14:paraId="10C611B8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18.3</w:t>
            </w:r>
          </w:p>
        </w:tc>
        <w:tc>
          <w:tcPr>
            <w:tcW w:w="807" w:type="dxa"/>
          </w:tcPr>
          <w:p w14:paraId="19A27B6A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10.1</w:t>
            </w:r>
          </w:p>
        </w:tc>
        <w:tc>
          <w:tcPr>
            <w:tcW w:w="947" w:type="dxa"/>
          </w:tcPr>
          <w:p w14:paraId="0965547F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38.0</w:t>
            </w:r>
          </w:p>
        </w:tc>
      </w:tr>
      <w:tr w:rsidR="00D92793" w:rsidRPr="000F50FF" w14:paraId="34994849" w14:textId="77777777" w:rsidTr="00B17442">
        <w:trPr>
          <w:trHeight w:val="123"/>
        </w:trPr>
        <w:tc>
          <w:tcPr>
            <w:tcW w:w="682" w:type="dxa"/>
            <w:vMerge/>
          </w:tcPr>
          <w:p w14:paraId="0939621B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445" w:type="dxa"/>
            <w:vMerge/>
          </w:tcPr>
          <w:p w14:paraId="79754E7E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126" w:type="dxa"/>
          </w:tcPr>
          <w:p w14:paraId="245129D1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Adjusted</w:t>
            </w:r>
            <w:proofErr w:type="spellEnd"/>
            <w:r w:rsidRPr="000F50F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standardized</w:t>
            </w:r>
            <w:proofErr w:type="spellEnd"/>
          </w:p>
        </w:tc>
        <w:tc>
          <w:tcPr>
            <w:tcW w:w="709" w:type="dxa"/>
          </w:tcPr>
          <w:p w14:paraId="58BDFC15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-0.7</w:t>
            </w:r>
          </w:p>
        </w:tc>
        <w:tc>
          <w:tcPr>
            <w:tcW w:w="851" w:type="dxa"/>
          </w:tcPr>
          <w:p w14:paraId="0B7CA493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0.2</w:t>
            </w:r>
          </w:p>
        </w:tc>
        <w:tc>
          <w:tcPr>
            <w:tcW w:w="850" w:type="dxa"/>
          </w:tcPr>
          <w:p w14:paraId="47C240F1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-2.0</w:t>
            </w:r>
          </w:p>
        </w:tc>
        <w:tc>
          <w:tcPr>
            <w:tcW w:w="807" w:type="dxa"/>
          </w:tcPr>
          <w:p w14:paraId="02423778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0F50FF">
              <w:rPr>
                <w:rFonts w:cs="Arial"/>
                <w:b/>
                <w:bCs/>
                <w:color w:val="000000" w:themeColor="text1"/>
                <w:szCs w:val="24"/>
              </w:rPr>
              <w:t>2.5</w:t>
            </w:r>
          </w:p>
        </w:tc>
        <w:tc>
          <w:tcPr>
            <w:tcW w:w="947" w:type="dxa"/>
          </w:tcPr>
          <w:p w14:paraId="4156A8DF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</w:tr>
      <w:tr w:rsidR="00D92793" w:rsidRPr="000F50FF" w14:paraId="0494E637" w14:textId="77777777" w:rsidTr="00B17442">
        <w:trPr>
          <w:trHeight w:val="123"/>
        </w:trPr>
        <w:tc>
          <w:tcPr>
            <w:tcW w:w="682" w:type="dxa"/>
            <w:vMerge/>
          </w:tcPr>
          <w:p w14:paraId="7776D7C2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445" w:type="dxa"/>
            <w:vMerge w:val="restart"/>
          </w:tcPr>
          <w:p w14:paraId="25401302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9F064A">
              <w:rPr>
                <w:rFonts w:cs="Arial"/>
                <w:b/>
                <w:bCs/>
                <w:color w:val="000000" w:themeColor="text1"/>
                <w:szCs w:val="24"/>
              </w:rPr>
              <w:t>Positive</w:t>
            </w:r>
          </w:p>
        </w:tc>
        <w:tc>
          <w:tcPr>
            <w:tcW w:w="2126" w:type="dxa"/>
          </w:tcPr>
          <w:p w14:paraId="2625EC00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Count</w:t>
            </w:r>
          </w:p>
        </w:tc>
        <w:tc>
          <w:tcPr>
            <w:tcW w:w="709" w:type="dxa"/>
          </w:tcPr>
          <w:p w14:paraId="17DB7F4A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9</w:t>
            </w:r>
          </w:p>
        </w:tc>
        <w:tc>
          <w:tcPr>
            <w:tcW w:w="851" w:type="dxa"/>
          </w:tcPr>
          <w:p w14:paraId="5AAEF1B4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12</w:t>
            </w:r>
          </w:p>
        </w:tc>
        <w:tc>
          <w:tcPr>
            <w:tcW w:w="850" w:type="dxa"/>
          </w:tcPr>
          <w:p w14:paraId="047B6C99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46</w:t>
            </w:r>
          </w:p>
        </w:tc>
        <w:tc>
          <w:tcPr>
            <w:tcW w:w="807" w:type="dxa"/>
          </w:tcPr>
          <w:p w14:paraId="0E01D3C5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19</w:t>
            </w:r>
          </w:p>
        </w:tc>
        <w:tc>
          <w:tcPr>
            <w:tcW w:w="947" w:type="dxa"/>
          </w:tcPr>
          <w:p w14:paraId="7725EA28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86</w:t>
            </w:r>
          </w:p>
        </w:tc>
      </w:tr>
      <w:tr w:rsidR="00D92793" w:rsidRPr="000F50FF" w14:paraId="56D255D8" w14:textId="77777777" w:rsidTr="00B17442">
        <w:trPr>
          <w:trHeight w:val="123"/>
        </w:trPr>
        <w:tc>
          <w:tcPr>
            <w:tcW w:w="682" w:type="dxa"/>
            <w:vMerge/>
          </w:tcPr>
          <w:p w14:paraId="5F506BD3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445" w:type="dxa"/>
            <w:vMerge/>
          </w:tcPr>
          <w:p w14:paraId="2B455F10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126" w:type="dxa"/>
          </w:tcPr>
          <w:p w14:paraId="1F5CA163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Expected</w:t>
            </w:r>
            <w:proofErr w:type="spellEnd"/>
            <w:r w:rsidRPr="000F50F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count</w:t>
            </w:r>
            <w:proofErr w:type="spellEnd"/>
          </w:p>
        </w:tc>
        <w:tc>
          <w:tcPr>
            <w:tcW w:w="709" w:type="dxa"/>
          </w:tcPr>
          <w:p w14:paraId="3FA80BC3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6.7</w:t>
            </w:r>
          </w:p>
        </w:tc>
        <w:tc>
          <w:tcPr>
            <w:tcW w:w="851" w:type="dxa"/>
          </w:tcPr>
          <w:p w14:paraId="2CD8058B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15.0</w:t>
            </w:r>
          </w:p>
        </w:tc>
        <w:tc>
          <w:tcPr>
            <w:tcW w:w="850" w:type="dxa"/>
          </w:tcPr>
          <w:p w14:paraId="765966D5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41.4</w:t>
            </w:r>
          </w:p>
        </w:tc>
        <w:tc>
          <w:tcPr>
            <w:tcW w:w="807" w:type="dxa"/>
          </w:tcPr>
          <w:p w14:paraId="5ECAE234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22.8</w:t>
            </w:r>
          </w:p>
        </w:tc>
        <w:tc>
          <w:tcPr>
            <w:tcW w:w="947" w:type="dxa"/>
          </w:tcPr>
          <w:p w14:paraId="2854C33A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86.0</w:t>
            </w:r>
          </w:p>
        </w:tc>
      </w:tr>
      <w:tr w:rsidR="00D92793" w:rsidRPr="000F50FF" w14:paraId="5E50656C" w14:textId="77777777" w:rsidTr="00B17442">
        <w:trPr>
          <w:trHeight w:val="123"/>
        </w:trPr>
        <w:tc>
          <w:tcPr>
            <w:tcW w:w="682" w:type="dxa"/>
            <w:vMerge/>
          </w:tcPr>
          <w:p w14:paraId="5E342E23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445" w:type="dxa"/>
            <w:vMerge/>
          </w:tcPr>
          <w:p w14:paraId="12DAD96C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126" w:type="dxa"/>
          </w:tcPr>
          <w:p w14:paraId="70D3BC81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Adjusted</w:t>
            </w:r>
            <w:proofErr w:type="spellEnd"/>
            <w:r w:rsidRPr="000F50F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standardized</w:t>
            </w:r>
            <w:proofErr w:type="spellEnd"/>
          </w:p>
        </w:tc>
        <w:tc>
          <w:tcPr>
            <w:tcW w:w="709" w:type="dxa"/>
          </w:tcPr>
          <w:p w14:paraId="05F38A84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1.3</w:t>
            </w:r>
          </w:p>
        </w:tc>
        <w:tc>
          <w:tcPr>
            <w:tcW w:w="851" w:type="dxa"/>
          </w:tcPr>
          <w:p w14:paraId="6B15A1EC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-1.2</w:t>
            </w:r>
          </w:p>
        </w:tc>
        <w:tc>
          <w:tcPr>
            <w:tcW w:w="850" w:type="dxa"/>
          </w:tcPr>
          <w:p w14:paraId="37F1CEE0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1.4</w:t>
            </w:r>
          </w:p>
        </w:tc>
        <w:tc>
          <w:tcPr>
            <w:tcW w:w="807" w:type="dxa"/>
          </w:tcPr>
          <w:p w14:paraId="529A2FD4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-1.3</w:t>
            </w:r>
          </w:p>
        </w:tc>
        <w:tc>
          <w:tcPr>
            <w:tcW w:w="947" w:type="dxa"/>
          </w:tcPr>
          <w:p w14:paraId="0029CAA9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</w:tr>
      <w:tr w:rsidR="00D92793" w:rsidRPr="000F50FF" w14:paraId="23BDE4EE" w14:textId="77777777" w:rsidTr="00B17442">
        <w:trPr>
          <w:trHeight w:val="123"/>
        </w:trPr>
        <w:tc>
          <w:tcPr>
            <w:tcW w:w="682" w:type="dxa"/>
            <w:vMerge/>
          </w:tcPr>
          <w:p w14:paraId="4D4FCAA2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445" w:type="dxa"/>
            <w:vMerge w:val="restart"/>
          </w:tcPr>
          <w:p w14:paraId="091D8E62" w14:textId="77777777" w:rsidR="00D92793" w:rsidRPr="009F064A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b/>
                <w:bCs/>
                <w:color w:val="000000" w:themeColor="text1"/>
                <w:szCs w:val="24"/>
              </w:rPr>
            </w:pPr>
            <w:proofErr w:type="spellStart"/>
            <w:r w:rsidRPr="009F064A">
              <w:rPr>
                <w:rFonts w:cs="Arial"/>
                <w:b/>
                <w:bCs/>
                <w:color w:val="000000" w:themeColor="text1"/>
                <w:szCs w:val="24"/>
              </w:rPr>
              <w:t>Unknown</w:t>
            </w:r>
            <w:proofErr w:type="spellEnd"/>
          </w:p>
        </w:tc>
        <w:tc>
          <w:tcPr>
            <w:tcW w:w="2126" w:type="dxa"/>
          </w:tcPr>
          <w:p w14:paraId="4DEBFDCC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Count</w:t>
            </w:r>
          </w:p>
        </w:tc>
        <w:tc>
          <w:tcPr>
            <w:tcW w:w="709" w:type="dxa"/>
          </w:tcPr>
          <w:p w14:paraId="71745DCA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2</w:t>
            </w:r>
          </w:p>
        </w:tc>
        <w:tc>
          <w:tcPr>
            <w:tcW w:w="851" w:type="dxa"/>
          </w:tcPr>
          <w:p w14:paraId="183EF0B1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10</w:t>
            </w:r>
          </w:p>
        </w:tc>
        <w:tc>
          <w:tcPr>
            <w:tcW w:w="850" w:type="dxa"/>
          </w:tcPr>
          <w:p w14:paraId="41A475C4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21</w:t>
            </w:r>
          </w:p>
        </w:tc>
        <w:tc>
          <w:tcPr>
            <w:tcW w:w="807" w:type="dxa"/>
          </w:tcPr>
          <w:p w14:paraId="5D46B445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9</w:t>
            </w:r>
          </w:p>
        </w:tc>
        <w:tc>
          <w:tcPr>
            <w:tcW w:w="947" w:type="dxa"/>
          </w:tcPr>
          <w:p w14:paraId="7C7EB39F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42</w:t>
            </w:r>
          </w:p>
        </w:tc>
      </w:tr>
      <w:tr w:rsidR="00D92793" w:rsidRPr="000F50FF" w14:paraId="1DE60262" w14:textId="77777777" w:rsidTr="00B17442">
        <w:trPr>
          <w:trHeight w:val="123"/>
        </w:trPr>
        <w:tc>
          <w:tcPr>
            <w:tcW w:w="682" w:type="dxa"/>
            <w:vMerge/>
          </w:tcPr>
          <w:p w14:paraId="47045634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1445" w:type="dxa"/>
            <w:vMerge/>
          </w:tcPr>
          <w:p w14:paraId="0C6BD745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2126" w:type="dxa"/>
          </w:tcPr>
          <w:p w14:paraId="202E2565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Expected</w:t>
            </w:r>
            <w:proofErr w:type="spellEnd"/>
            <w:r w:rsidRPr="000F50F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count</w:t>
            </w:r>
            <w:proofErr w:type="spellEnd"/>
          </w:p>
        </w:tc>
        <w:tc>
          <w:tcPr>
            <w:tcW w:w="709" w:type="dxa"/>
          </w:tcPr>
          <w:p w14:paraId="255D576E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3.3</w:t>
            </w:r>
          </w:p>
        </w:tc>
        <w:tc>
          <w:tcPr>
            <w:tcW w:w="851" w:type="dxa"/>
          </w:tcPr>
          <w:p w14:paraId="08EFD23C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7.3</w:t>
            </w:r>
          </w:p>
        </w:tc>
        <w:tc>
          <w:tcPr>
            <w:tcW w:w="850" w:type="dxa"/>
          </w:tcPr>
          <w:p w14:paraId="7360EEE8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20.2</w:t>
            </w:r>
          </w:p>
        </w:tc>
        <w:tc>
          <w:tcPr>
            <w:tcW w:w="807" w:type="dxa"/>
          </w:tcPr>
          <w:p w14:paraId="68BA3370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11.1</w:t>
            </w:r>
          </w:p>
        </w:tc>
        <w:tc>
          <w:tcPr>
            <w:tcW w:w="947" w:type="dxa"/>
          </w:tcPr>
          <w:p w14:paraId="4A5444F3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42.0</w:t>
            </w:r>
          </w:p>
        </w:tc>
      </w:tr>
      <w:tr w:rsidR="00D92793" w:rsidRPr="000F50FF" w14:paraId="62B7728C" w14:textId="77777777" w:rsidTr="00B17442">
        <w:trPr>
          <w:trHeight w:val="123"/>
        </w:trPr>
        <w:tc>
          <w:tcPr>
            <w:tcW w:w="682" w:type="dxa"/>
            <w:vMerge/>
            <w:tcBorders>
              <w:bottom w:val="single" w:sz="4" w:space="0" w:color="auto"/>
            </w:tcBorders>
          </w:tcPr>
          <w:p w14:paraId="1BF636DB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1445" w:type="dxa"/>
            <w:vMerge/>
            <w:tcBorders>
              <w:bottom w:val="single" w:sz="4" w:space="0" w:color="auto"/>
            </w:tcBorders>
          </w:tcPr>
          <w:p w14:paraId="4FA32D73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2136FF7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Adjusted</w:t>
            </w:r>
            <w:proofErr w:type="spellEnd"/>
            <w:r w:rsidRPr="000F50F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standardized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EBB32BD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-0.9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E967EF5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1.3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E91786A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0.3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4DC53447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-0.9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14:paraId="2173635C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</w:tr>
      <w:tr w:rsidR="00D92793" w:rsidRPr="000F50FF" w14:paraId="48E43E73" w14:textId="77777777" w:rsidTr="00B17442">
        <w:trPr>
          <w:trHeight w:val="276"/>
        </w:trPr>
        <w:tc>
          <w:tcPr>
            <w:tcW w:w="212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2B2528E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Total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E15E86D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Count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9828B72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02C52FC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F78345D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80</w:t>
            </w:r>
          </w:p>
        </w:tc>
        <w:tc>
          <w:tcPr>
            <w:tcW w:w="807" w:type="dxa"/>
            <w:tcBorders>
              <w:top w:val="single" w:sz="4" w:space="0" w:color="auto"/>
            </w:tcBorders>
          </w:tcPr>
          <w:p w14:paraId="117D8AB6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44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14:paraId="183F2111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166</w:t>
            </w:r>
          </w:p>
        </w:tc>
      </w:tr>
      <w:tr w:rsidR="00D92793" w:rsidRPr="000F50FF" w14:paraId="3F8D76E0" w14:textId="77777777" w:rsidTr="00B17442">
        <w:trPr>
          <w:trHeight w:val="123"/>
        </w:trPr>
        <w:tc>
          <w:tcPr>
            <w:tcW w:w="2127" w:type="dxa"/>
            <w:gridSpan w:val="2"/>
            <w:vMerge/>
            <w:tcBorders>
              <w:bottom w:val="single" w:sz="4" w:space="0" w:color="auto"/>
            </w:tcBorders>
          </w:tcPr>
          <w:p w14:paraId="773CA13C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C02645E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Expected</w:t>
            </w:r>
            <w:proofErr w:type="spellEnd"/>
            <w:r w:rsidRPr="000F50F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0F50FF">
              <w:rPr>
                <w:rFonts w:cs="Arial"/>
                <w:color w:val="000000" w:themeColor="text1"/>
                <w:szCs w:val="24"/>
              </w:rPr>
              <w:t>count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2D167CE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13.0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68814D7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29.0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D944F20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80.0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4DAC625B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44.0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14:paraId="69460DD4" w14:textId="77777777" w:rsidR="00D92793" w:rsidRPr="000F50FF" w:rsidRDefault="00D92793" w:rsidP="00B17442">
            <w:pPr>
              <w:widowControl/>
              <w:autoSpaceDE w:val="0"/>
              <w:autoSpaceDN w:val="0"/>
              <w:adjustRightInd w:val="0"/>
              <w:snapToGrid w:val="0"/>
              <w:spacing w:line="240" w:lineRule="auto"/>
              <w:ind w:left="60" w:right="60"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0F50FF">
              <w:rPr>
                <w:rFonts w:cs="Arial"/>
                <w:color w:val="000000" w:themeColor="text1"/>
                <w:szCs w:val="24"/>
              </w:rPr>
              <w:t>166.0</w:t>
            </w:r>
          </w:p>
        </w:tc>
      </w:tr>
    </w:tbl>
    <w:p w14:paraId="311648B1" w14:textId="77777777" w:rsidR="00D92793" w:rsidRPr="000F50FF" w:rsidRDefault="00D92793" w:rsidP="00D92793">
      <w:pPr>
        <w:widowControl/>
        <w:autoSpaceDE w:val="0"/>
        <w:autoSpaceDN w:val="0"/>
        <w:adjustRightInd w:val="0"/>
        <w:snapToGrid w:val="0"/>
        <w:spacing w:line="240" w:lineRule="auto"/>
        <w:ind w:firstLine="0"/>
        <w:jc w:val="left"/>
        <w:rPr>
          <w:rFonts w:cs="Arial"/>
          <w:szCs w:val="24"/>
        </w:rPr>
      </w:pPr>
      <w:r w:rsidRPr="000F50FF">
        <w:rPr>
          <w:rFonts w:cs="Arial"/>
          <w:color w:val="auto"/>
          <w:szCs w:val="24"/>
        </w:rPr>
        <w:t>The statistical analysis was performed using SPSS software.</w:t>
      </w:r>
      <w:r w:rsidRPr="000F50FF">
        <w:rPr>
          <w:rFonts w:cs="Arial"/>
          <w:b/>
          <w:bCs/>
          <w:color w:val="auto"/>
          <w:szCs w:val="24"/>
        </w:rPr>
        <w:t xml:space="preserve"> </w:t>
      </w:r>
      <w:bookmarkStart w:id="2" w:name="OLE_LINK5"/>
      <w:r w:rsidRPr="000F50FF">
        <w:rPr>
          <w:rFonts w:cs="Arial"/>
          <w:b/>
          <w:bCs/>
          <w:szCs w:val="24"/>
        </w:rPr>
        <w:t>Adjusted standardized</w:t>
      </w:r>
      <w:bookmarkEnd w:id="2"/>
      <w:r w:rsidRPr="000F50FF">
        <w:rPr>
          <w:rFonts w:cs="Arial"/>
          <w:szCs w:val="24"/>
        </w:rPr>
        <w:t xml:space="preserve">: If the value is </w:t>
      </w:r>
      <w:r>
        <w:rPr>
          <w:rFonts w:cs="Arial"/>
          <w:szCs w:val="24"/>
        </w:rPr>
        <w:t xml:space="preserve">&gt; </w:t>
      </w:r>
      <w:r w:rsidRPr="000F50FF">
        <w:rPr>
          <w:rFonts w:cs="Arial"/>
          <w:szCs w:val="24"/>
        </w:rPr>
        <w:t xml:space="preserve">1.96 or </w:t>
      </w:r>
      <w:r>
        <w:rPr>
          <w:rFonts w:cs="Arial"/>
          <w:szCs w:val="24"/>
        </w:rPr>
        <w:t xml:space="preserve">&lt; </w:t>
      </w:r>
      <w:r w:rsidRPr="000F50FF">
        <w:rPr>
          <w:rFonts w:cs="Arial"/>
          <w:szCs w:val="24"/>
        </w:rPr>
        <w:t>-1.96, then the observed count is significantly higher or lower than expected. Higher values indicate a higher likelihood that the column variable is associated with the row variable.</w:t>
      </w:r>
    </w:p>
    <w:bookmarkEnd w:id="0"/>
    <w:p w14:paraId="3EEF758F" w14:textId="77777777" w:rsidR="00D92793" w:rsidRPr="000F50FF" w:rsidRDefault="00D92793" w:rsidP="00D92793">
      <w:pPr>
        <w:pStyle w:val="Normal1"/>
        <w:adjustRightInd w:val="0"/>
        <w:snapToGrid w:val="0"/>
        <w:spacing w:after="0" w:line="480" w:lineRule="auto"/>
        <w:rPr>
          <w:rFonts w:ascii="Arial" w:eastAsia="Arial" w:hAnsi="Arial" w:cs="Arial"/>
          <w:sz w:val="24"/>
          <w:szCs w:val="24"/>
          <w:lang w:val="en-US"/>
        </w:rPr>
      </w:pPr>
    </w:p>
    <w:p w14:paraId="037DBED4" w14:textId="77777777" w:rsidR="00D92793" w:rsidRPr="000F50FF" w:rsidRDefault="00D92793" w:rsidP="00D92793">
      <w:pPr>
        <w:pStyle w:val="Normal1"/>
        <w:adjustRightInd w:val="0"/>
        <w:snapToGrid w:val="0"/>
        <w:spacing w:after="0" w:line="480" w:lineRule="auto"/>
        <w:rPr>
          <w:rFonts w:ascii="Arial" w:eastAsia="Arial" w:hAnsi="Arial" w:cs="Arial"/>
          <w:sz w:val="24"/>
          <w:szCs w:val="24"/>
          <w:lang w:val="en-US"/>
        </w:rPr>
      </w:pPr>
    </w:p>
    <w:p w14:paraId="4100CDD1" w14:textId="77777777" w:rsidR="001548F0" w:rsidRPr="00D92793" w:rsidRDefault="001548F0" w:rsidP="00D92793"/>
    <w:sectPr w:rsidR="001548F0" w:rsidRPr="00D92793" w:rsidSect="000274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19757" w14:textId="77777777" w:rsidR="005542F7" w:rsidRDefault="005542F7">
      <w:pPr>
        <w:spacing w:line="240" w:lineRule="auto"/>
      </w:pPr>
      <w:r>
        <w:separator/>
      </w:r>
    </w:p>
  </w:endnote>
  <w:endnote w:type="continuationSeparator" w:id="0">
    <w:p w14:paraId="4DE6E5BB" w14:textId="77777777" w:rsidR="005542F7" w:rsidRDefault="005542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D133E" w14:textId="77777777" w:rsidR="00D65D11" w:rsidRDefault="00D65D1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E4AC" w14:textId="77777777" w:rsidR="00D65D11" w:rsidRPr="00775761" w:rsidRDefault="00000000">
    <w:pPr>
      <w:pStyle w:val="Normal1"/>
      <w:spacing w:after="0" w:line="240" w:lineRule="auto"/>
      <w:jc w:val="right"/>
      <w:rPr>
        <w:sz w:val="20"/>
        <w:szCs w:val="20"/>
        <w:lang w:val="en-US"/>
      </w:rPr>
    </w:pPr>
    <w:r w:rsidRPr="00775761">
      <w:rPr>
        <w:lang w:val="en-US"/>
      </w:rPr>
      <w:fldChar w:fldCharType="begin"/>
    </w:r>
    <w:r w:rsidRPr="00775761">
      <w:rPr>
        <w:lang w:val="en-US"/>
      </w:rPr>
      <w:instrText>PAGE</w:instrText>
    </w:r>
    <w:r w:rsidRPr="00775761">
      <w:rPr>
        <w:lang w:val="en-US"/>
      </w:rPr>
      <w:fldChar w:fldCharType="separate"/>
    </w:r>
    <w:r w:rsidRPr="00775761">
      <w:rPr>
        <w:lang w:val="en-US"/>
      </w:rPr>
      <w:t>10</w:t>
    </w:r>
    <w:r w:rsidRPr="00775761">
      <w:rPr>
        <w:lang w:val="en-US"/>
      </w:rPr>
      <w:fldChar w:fldCharType="end"/>
    </w:r>
  </w:p>
  <w:p w14:paraId="1EC850A9" w14:textId="77777777" w:rsidR="00D65D11" w:rsidRPr="00775761" w:rsidRDefault="00D65D11">
    <w:pPr>
      <w:pStyle w:val="Normal1"/>
      <w:spacing w:after="709" w:line="240" w:lineRule="auto"/>
      <w:rPr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D9673" w14:textId="77777777" w:rsidR="00D65D11" w:rsidRPr="00775761" w:rsidRDefault="00000000">
    <w:pPr>
      <w:pStyle w:val="Normal1"/>
      <w:spacing w:after="709" w:line="240" w:lineRule="auto"/>
      <w:jc w:val="right"/>
      <w:rPr>
        <w:sz w:val="20"/>
        <w:szCs w:val="20"/>
        <w:lang w:val="en-US"/>
      </w:rPr>
    </w:pPr>
    <w:r w:rsidRPr="00775761">
      <w:rPr>
        <w:lang w:val="en-US"/>
      </w:rPr>
      <w:fldChar w:fldCharType="begin"/>
    </w:r>
    <w:r w:rsidRPr="00775761">
      <w:rPr>
        <w:lang w:val="en-US"/>
      </w:rPr>
      <w:instrText>PAGE</w:instrText>
    </w:r>
    <w:r w:rsidRPr="00775761">
      <w:rPr>
        <w:lang w:val="en-US"/>
      </w:rPr>
      <w:fldChar w:fldCharType="separate"/>
    </w:r>
    <w:r w:rsidRPr="00775761">
      <w:rPr>
        <w:lang w:val="en-US"/>
      </w:rPr>
      <w:t>1</w:t>
    </w:r>
    <w:r w:rsidRPr="00775761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A7C5" w14:textId="77777777" w:rsidR="005542F7" w:rsidRDefault="005542F7">
      <w:pPr>
        <w:spacing w:line="240" w:lineRule="auto"/>
      </w:pPr>
      <w:r>
        <w:separator/>
      </w:r>
    </w:p>
  </w:footnote>
  <w:footnote w:type="continuationSeparator" w:id="0">
    <w:p w14:paraId="4AD8448A" w14:textId="77777777" w:rsidR="005542F7" w:rsidRDefault="005542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7C0B" w14:textId="77777777" w:rsidR="00D65D11" w:rsidRDefault="00D65D1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617B3" w14:textId="77777777" w:rsidR="00D65D11" w:rsidRDefault="00D65D1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95C16" w14:textId="77777777" w:rsidR="00D65D11" w:rsidRPr="00775761" w:rsidRDefault="00000000">
    <w:pPr>
      <w:pStyle w:val="Normal1"/>
      <w:spacing w:before="709" w:line="360" w:lineRule="auto"/>
      <w:ind w:right="360"/>
      <w:jc w:val="center"/>
      <w:rPr>
        <w:lang w:val="en-US"/>
      </w:rPr>
    </w:pPr>
    <w:r w:rsidRPr="00775761">
      <w:rPr>
        <w:noProof/>
        <w:lang w:val="en-US"/>
      </w:rPr>
      <w:drawing>
        <wp:inline distT="0" distB="0" distL="114300" distR="114300" wp14:anchorId="70AF730F" wp14:editId="15DDE7EF">
          <wp:extent cx="752475" cy="809625"/>
          <wp:effectExtent l="0" t="0" r="0" b="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0EEB101" w14:textId="77777777" w:rsidR="00D65D11" w:rsidRPr="00960A12" w:rsidRDefault="00000000">
    <w:pPr>
      <w:pStyle w:val="Normal1"/>
      <w:spacing w:after="0" w:line="240" w:lineRule="auto"/>
      <w:jc w:val="center"/>
      <w:rPr>
        <w:rFonts w:ascii="Arial" w:eastAsia="Arial" w:hAnsi="Arial" w:cs="Arial"/>
      </w:rPr>
    </w:pPr>
    <w:r w:rsidRPr="00960A12">
      <w:rPr>
        <w:rFonts w:ascii="Arial" w:eastAsia="Arial" w:hAnsi="Arial" w:cs="Arial"/>
      </w:rPr>
      <w:t>Ministério da Educação</w:t>
    </w:r>
  </w:p>
  <w:p w14:paraId="50093440" w14:textId="77777777" w:rsidR="00D65D11" w:rsidRPr="00960A12" w:rsidRDefault="00000000">
    <w:pPr>
      <w:pStyle w:val="Normal1"/>
      <w:spacing w:after="0" w:line="240" w:lineRule="auto"/>
      <w:jc w:val="center"/>
      <w:rPr>
        <w:rFonts w:ascii="Arial" w:eastAsia="Arial" w:hAnsi="Arial" w:cs="Arial"/>
      </w:rPr>
    </w:pPr>
    <w:r w:rsidRPr="00960A12">
      <w:rPr>
        <w:rFonts w:ascii="Arial" w:eastAsia="Arial" w:hAnsi="Arial" w:cs="Arial"/>
      </w:rPr>
      <w:t>Secretaria de Educação Profissional e Tecnológica</w:t>
    </w:r>
  </w:p>
  <w:p w14:paraId="0C2660A2" w14:textId="77777777" w:rsidR="00D65D11" w:rsidRPr="00960A12" w:rsidRDefault="00000000">
    <w:pPr>
      <w:pStyle w:val="Normal1"/>
      <w:spacing w:after="0" w:line="240" w:lineRule="auto"/>
      <w:jc w:val="center"/>
      <w:rPr>
        <w:rFonts w:ascii="Arial" w:eastAsia="Arial" w:hAnsi="Arial" w:cs="Arial"/>
      </w:rPr>
    </w:pPr>
    <w:r w:rsidRPr="00960A12">
      <w:rPr>
        <w:rFonts w:ascii="Arial" w:eastAsia="Arial" w:hAnsi="Arial" w:cs="Arial"/>
      </w:rPr>
      <w:t>Instituto Federal de Educação, Ciência e Tecnologia do Rio Grande do Sul</w:t>
    </w:r>
  </w:p>
  <w:p w14:paraId="3755D11D" w14:textId="77777777" w:rsidR="00D65D11" w:rsidRPr="00960A12" w:rsidRDefault="00000000">
    <w:pPr>
      <w:pStyle w:val="Normal1"/>
      <w:spacing w:after="0" w:line="240" w:lineRule="auto"/>
      <w:jc w:val="center"/>
      <w:rPr>
        <w:rFonts w:ascii="Arial" w:eastAsia="Arial" w:hAnsi="Arial" w:cs="Arial"/>
      </w:rPr>
    </w:pPr>
    <w:proofErr w:type="spellStart"/>
    <w:r w:rsidRPr="00960A12">
      <w:rPr>
        <w:rFonts w:ascii="Arial" w:eastAsia="Arial" w:hAnsi="Arial" w:cs="Arial"/>
      </w:rPr>
      <w:t>Pró-reitoria</w:t>
    </w:r>
    <w:proofErr w:type="spellEnd"/>
    <w:r w:rsidRPr="00960A12">
      <w:rPr>
        <w:rFonts w:ascii="Arial" w:eastAsia="Arial" w:hAnsi="Arial" w:cs="Arial"/>
      </w:rPr>
      <w:t xml:space="preserve"> de Pesquisa, Pós-graduação e Inovação</w:t>
    </w:r>
  </w:p>
  <w:p w14:paraId="72440A18" w14:textId="77777777" w:rsidR="00D65D11" w:rsidRPr="00960A12" w:rsidRDefault="00D65D11">
    <w:pPr>
      <w:pStyle w:val="Normal1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B3"/>
    <w:rsid w:val="00027404"/>
    <w:rsid w:val="001548F0"/>
    <w:rsid w:val="00291C68"/>
    <w:rsid w:val="004F4F5D"/>
    <w:rsid w:val="005542F7"/>
    <w:rsid w:val="00815FA0"/>
    <w:rsid w:val="00894D56"/>
    <w:rsid w:val="009F2B66"/>
    <w:rsid w:val="00BF229F"/>
    <w:rsid w:val="00C0041D"/>
    <w:rsid w:val="00CC114F"/>
    <w:rsid w:val="00D51207"/>
    <w:rsid w:val="00D65D11"/>
    <w:rsid w:val="00D92793"/>
    <w:rsid w:val="00E31DB3"/>
    <w:rsid w:val="00F2067E"/>
    <w:rsid w:val="00F50084"/>
    <w:rsid w:val="00F97DF1"/>
    <w:rsid w:val="00FF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3C2A4"/>
  <w15:chartTrackingRefBased/>
  <w15:docId w15:val="{8893EAF5-E433-4443-B1B7-42D71E084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404"/>
    <w:pPr>
      <w:widowControl w:val="0"/>
      <w:spacing w:after="0" w:line="360" w:lineRule="auto"/>
      <w:ind w:firstLine="720"/>
      <w:jc w:val="both"/>
    </w:pPr>
    <w:rPr>
      <w:rFonts w:ascii="Arial" w:eastAsia="Calibri" w:hAnsi="Arial" w:cs="Calibri"/>
      <w:color w:val="000000"/>
      <w:kern w:val="0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31DB3"/>
    <w:pPr>
      <w:keepNext/>
      <w:keepLines/>
      <w:widowControl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31DB3"/>
    <w:pPr>
      <w:keepNext/>
      <w:keepLines/>
      <w:widowControl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1DB3"/>
    <w:pPr>
      <w:keepNext/>
      <w:keepLines/>
      <w:widowControl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31DB3"/>
    <w:pPr>
      <w:keepNext/>
      <w:keepLines/>
      <w:widowControl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31DB3"/>
    <w:pPr>
      <w:keepNext/>
      <w:keepLines/>
      <w:widowControl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31DB3"/>
    <w:pPr>
      <w:keepNext/>
      <w:keepLines/>
      <w:widowControl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31DB3"/>
    <w:pPr>
      <w:keepNext/>
      <w:keepLines/>
      <w:widowControl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31DB3"/>
    <w:pPr>
      <w:keepNext/>
      <w:keepLines/>
      <w:widowControl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31DB3"/>
    <w:pPr>
      <w:keepNext/>
      <w:keepLines/>
      <w:widowControl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31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31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31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31D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31DB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31D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31DB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31D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31D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31DB3"/>
    <w:pPr>
      <w:widowControl/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31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31DB3"/>
    <w:pPr>
      <w:widowControl/>
      <w:numPr>
        <w:ilvl w:val="1"/>
      </w:numPr>
      <w:spacing w:after="160" w:line="278" w:lineRule="auto"/>
      <w:ind w:firstLine="72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31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31DB3"/>
    <w:pPr>
      <w:widowControl/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31DB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31DB3"/>
    <w:pPr>
      <w:widowControl/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31DB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31DB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31DB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31DB3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027404"/>
    <w:pPr>
      <w:widowControl w:val="0"/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lang w:val="pt-BR" w:eastAsia="pt-BR"/>
      <w14:ligatures w14:val="none"/>
    </w:rPr>
  </w:style>
  <w:style w:type="table" w:customStyle="1" w:styleId="NormalTable0">
    <w:name w:val="Normal Table0"/>
    <w:rsid w:val="00027404"/>
    <w:pPr>
      <w:widowControl w:val="0"/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lang w:val="pt-BR"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2740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7404"/>
    <w:rPr>
      <w:rFonts w:ascii="Arial" w:eastAsia="Calibri" w:hAnsi="Arial" w:cs="Calibri"/>
      <w:color w:val="000000"/>
      <w:kern w:val="0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02740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7404"/>
    <w:rPr>
      <w:rFonts w:ascii="Arial" w:eastAsia="Calibri" w:hAnsi="Arial" w:cs="Calibri"/>
      <w:color w:val="000000"/>
      <w:kern w:val="0"/>
      <w:szCs w:val="22"/>
      <w:lang w:eastAsia="pt-BR"/>
      <w14:ligatures w14:val="none"/>
    </w:rPr>
  </w:style>
  <w:style w:type="paragraph" w:styleId="Legenda">
    <w:name w:val="caption"/>
    <w:basedOn w:val="Normal"/>
    <w:next w:val="Normal"/>
    <w:uiPriority w:val="35"/>
    <w:unhideWhenUsed/>
    <w:qFormat/>
    <w:rsid w:val="00F97DF1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Carolina Stipp</dc:creator>
  <cp:keywords/>
  <dc:description/>
  <cp:lastModifiedBy>Maria Carolina Stipp</cp:lastModifiedBy>
  <cp:revision>8</cp:revision>
  <dcterms:created xsi:type="dcterms:W3CDTF">2024-08-20T21:38:00Z</dcterms:created>
  <dcterms:modified xsi:type="dcterms:W3CDTF">2025-03-01T02:33:00Z</dcterms:modified>
</cp:coreProperties>
</file>