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7"/>
        <w:tblpPr w:leftFromText="180" w:rightFromText="180" w:vertAnchor="text" w:horzAnchor="page" w:tblpX="1807" w:tblpY="464"/>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5"/>
        <w:gridCol w:w="1642"/>
        <w:gridCol w:w="4540"/>
        <w:gridCol w:w="4120"/>
        <w:gridCol w:w="1272"/>
      </w:tblGrid>
      <w:tr w14:paraId="09E9B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69" w:type="dxa"/>
            <w:gridSpan w:val="5"/>
            <w:tcBorders>
              <w:top w:val="nil"/>
              <w:left w:val="nil"/>
              <w:bottom w:val="nil"/>
              <w:right w:val="nil"/>
              <w:tl2br w:val="nil"/>
            </w:tcBorders>
            <w:shd w:val="clear" w:color="auto" w:fill="FFFFFF"/>
            <w:noWrap w:val="0"/>
            <w:vAlign w:val="top"/>
          </w:tcPr>
          <w:p w14:paraId="5D0BE58C">
            <w:pPr>
              <w:keepNext/>
              <w:keepLines w:val="0"/>
              <w:pageBreakBefore w:val="0"/>
              <w:widowControl/>
              <w:kinsoku/>
              <w:wordWrap/>
              <w:overflowPunct/>
              <w:topLinePunct w:val="0"/>
              <w:autoSpaceDE/>
              <w:autoSpaceDN/>
              <w:bidi w:val="0"/>
              <w:adjustRightInd/>
              <w:snapToGrid/>
              <w:jc w:val="center"/>
              <w:textAlignment w:val="auto"/>
              <w:outlineLvl w:val="1"/>
              <w:rPr>
                <w:rFonts w:hint="eastAsia" w:ascii="Times New Roman" w:hAnsi="Times New Roman" w:eastAsia="宋体" w:cs="Times New Roman"/>
                <w:b w:val="0"/>
                <w:color w:val="000000"/>
                <w:sz w:val="21"/>
                <w:szCs w:val="21"/>
                <w:lang w:val="en-US" w:eastAsia="zh-CN" w:bidi="ar-SA"/>
              </w:rPr>
            </w:pPr>
            <w:r>
              <w:rPr>
                <w:rFonts w:ascii="Segoe UI" w:hAnsi="Segoe UI" w:eastAsia="Segoe UI" w:cs="Segoe UI"/>
                <w:i w:val="0"/>
                <w:iCs w:val="0"/>
                <w:caps w:val="0"/>
                <w:spacing w:val="0"/>
                <w:sz w:val="19"/>
                <w:szCs w:val="19"/>
                <w:shd w:val="clear" w:fill="FFFFFF"/>
              </w:rPr>
              <w:t xml:space="preserve">Appendix Table 1: </w:t>
            </w:r>
            <w:r>
              <w:rPr>
                <w:rFonts w:hint="eastAsia" w:ascii="Segoe UI" w:hAnsi="Segoe UI" w:eastAsia="Segoe UI" w:cs="Segoe UI"/>
                <w:i w:val="0"/>
                <w:iCs w:val="0"/>
                <w:caps w:val="0"/>
                <w:spacing w:val="0"/>
                <w:sz w:val="19"/>
                <w:szCs w:val="19"/>
                <w:shd w:val="clear" w:fill="FFFFFF"/>
              </w:rPr>
              <w:t>Correlation Table between Components and Activities</w:t>
            </w:r>
          </w:p>
        </w:tc>
      </w:tr>
      <w:tr w14:paraId="16858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5" w:type="dxa"/>
            <w:tcBorders>
              <w:top w:val="single" w:color="000000" w:sz="12" w:space="0"/>
              <w:left w:val="nil"/>
              <w:bottom w:val="single" w:color="000000" w:sz="4" w:space="0"/>
              <w:right w:val="nil"/>
              <w:tl2br w:val="nil"/>
            </w:tcBorders>
            <w:shd w:val="clear" w:color="auto" w:fill="FFFFFF"/>
            <w:noWrap w:val="0"/>
            <w:vAlign w:val="top"/>
          </w:tcPr>
          <w:p w14:paraId="03800142">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eastAsia" w:ascii="Times New Roman" w:hAnsi="Times New Roman" w:eastAsia="宋体" w:cs="Times New Roman"/>
                <w:b w:val="0"/>
                <w:color w:val="000000"/>
                <w:sz w:val="20"/>
                <w:szCs w:val="20"/>
                <w:lang w:val="en-US" w:eastAsia="zh-CN" w:bidi="ar-SA"/>
              </w:rPr>
            </w:pPr>
            <w:r>
              <w:rPr>
                <w:rFonts w:hint="eastAsia" w:ascii="Times New Roman" w:hAnsi="Times New Roman" w:eastAsia="宋体" w:cs="Times New Roman"/>
                <w:b w:val="0"/>
                <w:color w:val="000000"/>
                <w:sz w:val="20"/>
                <w:szCs w:val="20"/>
                <w:lang w:val="en-US" w:eastAsia="zh-CN" w:bidi="ar-SA"/>
              </w:rPr>
              <w:t>Active Ingredient</w:t>
            </w:r>
          </w:p>
        </w:tc>
        <w:tc>
          <w:tcPr>
            <w:tcW w:w="1642" w:type="dxa"/>
            <w:tcBorders>
              <w:top w:val="single" w:color="000000" w:sz="12" w:space="0"/>
              <w:left w:val="nil"/>
              <w:bottom w:val="single" w:color="000000" w:sz="4" w:space="0"/>
              <w:right w:val="nil"/>
            </w:tcBorders>
            <w:shd w:val="clear" w:color="auto" w:fill="FFFFFF"/>
            <w:noWrap w:val="0"/>
            <w:vAlign w:val="top"/>
          </w:tcPr>
          <w:p w14:paraId="7F7E1E53">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eastAsia" w:ascii="Times New Roman" w:hAnsi="Times New Roman" w:eastAsia="宋体" w:cs="Times New Roman"/>
                <w:b w:val="0"/>
                <w:color w:val="000000"/>
                <w:sz w:val="20"/>
                <w:szCs w:val="20"/>
                <w:lang w:val="en-US" w:eastAsia="zh-CN" w:bidi="ar-SA"/>
              </w:rPr>
            </w:pPr>
            <w:r>
              <w:rPr>
                <w:rFonts w:hint="eastAsia" w:ascii="Times New Roman" w:hAnsi="Times New Roman" w:eastAsia="宋体" w:cs="Times New Roman"/>
                <w:b w:val="0"/>
                <w:color w:val="000000"/>
                <w:sz w:val="20"/>
                <w:szCs w:val="20"/>
                <w:lang w:val="en-US" w:eastAsia="zh-CN" w:bidi="ar-SA"/>
              </w:rPr>
              <w:t>Core Function</w:t>
            </w:r>
          </w:p>
        </w:tc>
        <w:tc>
          <w:tcPr>
            <w:tcW w:w="4540" w:type="dxa"/>
            <w:tcBorders>
              <w:top w:val="single" w:color="000000" w:sz="12" w:space="0"/>
              <w:left w:val="nil"/>
              <w:bottom w:val="single" w:color="000000" w:sz="4" w:space="0"/>
              <w:right w:val="nil"/>
            </w:tcBorders>
            <w:shd w:val="clear" w:color="auto" w:fill="FFFFFF"/>
            <w:noWrap w:val="0"/>
            <w:vAlign w:val="top"/>
          </w:tcPr>
          <w:p w14:paraId="22D85459">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eastAsia" w:ascii="Times New Roman" w:hAnsi="Times New Roman" w:eastAsia="宋体" w:cs="Times New Roman"/>
                <w:b w:val="0"/>
                <w:color w:val="000000"/>
                <w:sz w:val="20"/>
                <w:szCs w:val="20"/>
                <w:lang w:val="en-US" w:eastAsia="zh-CN" w:bidi="ar-SA"/>
              </w:rPr>
            </w:pPr>
            <w:r>
              <w:rPr>
                <w:rFonts w:hint="eastAsia" w:ascii="Times New Roman" w:hAnsi="Times New Roman" w:eastAsia="宋体" w:cs="Times New Roman"/>
                <w:b w:val="0"/>
                <w:color w:val="000000"/>
                <w:sz w:val="20"/>
                <w:szCs w:val="20"/>
                <w:lang w:val="en-US" w:eastAsia="zh-CN" w:bidi="ar-SA"/>
              </w:rPr>
              <w:t>In Vivo / In Vitro Experimental Results (including activity data)</w:t>
            </w:r>
          </w:p>
        </w:tc>
        <w:tc>
          <w:tcPr>
            <w:tcW w:w="4120" w:type="dxa"/>
            <w:tcBorders>
              <w:top w:val="single" w:color="000000" w:sz="12" w:space="0"/>
              <w:left w:val="nil"/>
              <w:bottom w:val="single" w:color="000000" w:sz="4" w:space="0"/>
              <w:right w:val="nil"/>
            </w:tcBorders>
            <w:shd w:val="clear" w:color="auto" w:fill="FFFFFF"/>
            <w:noWrap w:val="0"/>
            <w:vAlign w:val="top"/>
          </w:tcPr>
          <w:p w14:paraId="361C60E0">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eastAsia" w:ascii="Times New Roman" w:hAnsi="Times New Roman" w:eastAsia="宋体" w:cs="Times New Roman"/>
                <w:b w:val="0"/>
                <w:color w:val="000000"/>
                <w:sz w:val="20"/>
                <w:szCs w:val="20"/>
                <w:lang w:val="en-US" w:eastAsia="zh-CN" w:bidi="ar-SA"/>
              </w:rPr>
            </w:pPr>
            <w:r>
              <w:rPr>
                <w:rFonts w:hint="eastAsia" w:ascii="Times New Roman" w:hAnsi="Times New Roman" w:eastAsia="宋体" w:cs="Times New Roman"/>
                <w:b w:val="0"/>
                <w:color w:val="000000"/>
                <w:sz w:val="20"/>
                <w:szCs w:val="20"/>
                <w:lang w:val="en-US" w:eastAsia="zh-CN" w:bidi="ar-SA"/>
              </w:rPr>
              <w:t>Key Action Pathway</w:t>
            </w:r>
          </w:p>
        </w:tc>
        <w:tc>
          <w:tcPr>
            <w:tcW w:w="1272" w:type="dxa"/>
            <w:tcBorders>
              <w:top w:val="single" w:color="000000" w:sz="12" w:space="0"/>
              <w:left w:val="nil"/>
              <w:bottom w:val="single" w:color="000000" w:sz="4" w:space="0"/>
              <w:right w:val="nil"/>
            </w:tcBorders>
            <w:shd w:val="clear" w:color="auto" w:fill="FFFFFF"/>
            <w:noWrap w:val="0"/>
            <w:vAlign w:val="top"/>
          </w:tcPr>
          <w:p w14:paraId="1B06050A">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eastAsia" w:ascii="Times New Roman" w:hAnsi="Times New Roman" w:eastAsia="宋体" w:cs="Times New Roman"/>
                <w:b w:val="0"/>
                <w:color w:val="000000"/>
                <w:sz w:val="20"/>
                <w:szCs w:val="20"/>
                <w:lang w:val="en-US" w:eastAsia="zh-CN" w:bidi="ar-SA"/>
              </w:rPr>
            </w:pPr>
            <w:r>
              <w:rPr>
                <w:rFonts w:hint="eastAsia" w:ascii="Times New Roman" w:hAnsi="Times New Roman" w:eastAsia="宋体" w:cs="Times New Roman"/>
                <w:b w:val="0"/>
                <w:color w:val="000000"/>
                <w:sz w:val="20"/>
                <w:szCs w:val="20"/>
                <w:lang w:val="en-US" w:eastAsia="zh-CN" w:bidi="ar-SA"/>
              </w:rPr>
              <w:t>References</w:t>
            </w:r>
          </w:p>
        </w:tc>
      </w:tr>
      <w:tr w14:paraId="1B28F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5" w:type="dxa"/>
            <w:tcBorders>
              <w:top w:val="single" w:color="000000" w:sz="4" w:space="0"/>
              <w:left w:val="nil"/>
              <w:bottom w:val="nil"/>
              <w:right w:val="nil"/>
            </w:tcBorders>
            <w:shd w:val="clear" w:color="auto" w:fill="FFFFFF"/>
            <w:noWrap w:val="0"/>
            <w:vAlign w:val="top"/>
          </w:tcPr>
          <w:p w14:paraId="26823E0F">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eastAsia" w:ascii="Segoe UI" w:hAnsi="Segoe UI" w:eastAsia="Segoe UI" w:cs="Segoe UI"/>
                <w:i w:val="0"/>
                <w:iCs w:val="0"/>
                <w:caps w:val="0"/>
                <w:spacing w:val="0"/>
                <w:sz w:val="19"/>
                <w:szCs w:val="19"/>
                <w:shd w:val="clear" w:fill="FFFFFF"/>
                <w:lang w:val="en-US" w:eastAsia="zh-CN"/>
              </w:rPr>
            </w:pPr>
            <w:r>
              <w:rPr>
                <w:rFonts w:hint="eastAsia" w:ascii="Segoe UI" w:hAnsi="Segoe UI" w:eastAsia="Segoe UI" w:cs="Segoe UI"/>
                <w:i w:val="0"/>
                <w:iCs w:val="0"/>
                <w:caps w:val="0"/>
                <w:spacing w:val="0"/>
                <w:sz w:val="19"/>
                <w:szCs w:val="19"/>
                <w:shd w:val="clear" w:fill="FFFFFF"/>
                <w:lang w:val="en-US" w:eastAsia="zh-CN"/>
              </w:rPr>
              <w:t>Polysaccharides</w:t>
            </w:r>
          </w:p>
        </w:tc>
        <w:tc>
          <w:tcPr>
            <w:tcW w:w="1642" w:type="dxa"/>
            <w:tcBorders>
              <w:top w:val="single" w:color="000000" w:sz="4" w:space="0"/>
              <w:left w:val="nil"/>
              <w:bottom w:val="nil"/>
              <w:right w:val="nil"/>
            </w:tcBorders>
            <w:shd w:val="clear" w:color="auto" w:fill="FFFFFF"/>
            <w:noWrap w:val="0"/>
            <w:vAlign w:val="top"/>
          </w:tcPr>
          <w:p w14:paraId="5570C4AD">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eastAsia" w:ascii="Segoe UI" w:hAnsi="Segoe UI" w:eastAsia="Segoe UI" w:cs="Segoe UI"/>
                <w:i w:val="0"/>
                <w:iCs w:val="0"/>
                <w:caps w:val="0"/>
                <w:spacing w:val="0"/>
                <w:sz w:val="19"/>
                <w:szCs w:val="19"/>
                <w:shd w:val="clear" w:fill="FFFFFF"/>
                <w:lang w:val="en-US" w:eastAsia="zh-CN"/>
              </w:rPr>
            </w:pPr>
            <w:r>
              <w:rPr>
                <w:rFonts w:hint="eastAsia" w:ascii="Segoe UI" w:hAnsi="Segoe UI" w:eastAsia="Segoe UI" w:cs="Segoe UI"/>
                <w:i w:val="0"/>
                <w:iCs w:val="0"/>
                <w:caps w:val="0"/>
                <w:spacing w:val="0"/>
                <w:sz w:val="19"/>
                <w:szCs w:val="19"/>
                <w:shd w:val="clear" w:fill="FFFFFF"/>
                <w:lang w:val="en-US" w:eastAsia="zh-CN"/>
              </w:rPr>
              <w:t>Antioxidant</w:t>
            </w:r>
          </w:p>
        </w:tc>
        <w:tc>
          <w:tcPr>
            <w:tcW w:w="4540" w:type="dxa"/>
            <w:tcBorders>
              <w:top w:val="single" w:color="000000" w:sz="4" w:space="0"/>
              <w:left w:val="nil"/>
              <w:bottom w:val="nil"/>
              <w:right w:val="nil"/>
            </w:tcBorders>
            <w:shd w:val="clear" w:color="auto" w:fill="FFFFFF"/>
            <w:noWrap w:val="0"/>
            <w:vAlign w:val="top"/>
          </w:tcPr>
          <w:p w14:paraId="33D5C7A9">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eastAsia" w:ascii="Segoe UI" w:hAnsi="Segoe UI" w:eastAsia="Segoe UI" w:cs="Segoe UI"/>
                <w:i w:val="0"/>
                <w:iCs w:val="0"/>
                <w:caps w:val="0"/>
                <w:spacing w:val="0"/>
                <w:sz w:val="19"/>
                <w:szCs w:val="19"/>
                <w:shd w:val="clear" w:fill="FFFFFF"/>
                <w:lang w:val="en-US" w:eastAsia="zh-CN"/>
              </w:rPr>
            </w:pPr>
            <w:r>
              <w:rPr>
                <w:rFonts w:hint="eastAsia" w:ascii="Segoe UI" w:hAnsi="Segoe UI" w:eastAsia="Segoe UI" w:cs="Segoe UI"/>
                <w:i w:val="0"/>
                <w:iCs w:val="0"/>
                <w:caps w:val="0"/>
                <w:spacing w:val="0"/>
                <w:sz w:val="19"/>
                <w:szCs w:val="19"/>
                <w:shd w:val="clear" w:fill="FFFFFF"/>
                <w:lang w:val="en-US" w:eastAsia="zh-CN"/>
              </w:rPr>
              <w:t>In vitro: Polysaccharides from H. multiflora can enhance the viability of MRC-5 cells damaged by H2O2, reduce oxidative damage, cell death rate, and SA-β-galactosidase activity, and show certain effects in scavenging DPPH free radicals, hydroxyl radicals, and superoxide anion radicals.</w:t>
            </w:r>
          </w:p>
        </w:tc>
        <w:tc>
          <w:tcPr>
            <w:tcW w:w="4120" w:type="dxa"/>
            <w:tcBorders>
              <w:top w:val="single" w:color="000000" w:sz="4" w:space="0"/>
              <w:left w:val="nil"/>
              <w:bottom w:val="nil"/>
              <w:right w:val="nil"/>
            </w:tcBorders>
            <w:shd w:val="clear" w:color="auto" w:fill="FFFFFF"/>
            <w:noWrap w:val="0"/>
            <w:vAlign w:val="top"/>
          </w:tcPr>
          <w:p w14:paraId="3F167AFC">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eastAsia" w:ascii="Segoe UI" w:hAnsi="Segoe UI" w:eastAsia="Segoe UI" w:cs="Segoe UI"/>
                <w:i w:val="0"/>
                <w:iCs w:val="0"/>
                <w:caps w:val="0"/>
                <w:spacing w:val="0"/>
                <w:sz w:val="19"/>
                <w:szCs w:val="19"/>
                <w:shd w:val="clear" w:fill="FFFFFF"/>
                <w:lang w:val="en-US" w:eastAsia="zh-CN"/>
              </w:rPr>
            </w:pPr>
            <w:r>
              <w:rPr>
                <w:rFonts w:hint="eastAsia" w:ascii="Segoe UI" w:hAnsi="Segoe UI" w:eastAsia="Segoe UI" w:cs="Segoe UI"/>
                <w:i w:val="0"/>
                <w:iCs w:val="0"/>
                <w:caps w:val="0"/>
                <w:spacing w:val="0"/>
                <w:sz w:val="19"/>
                <w:szCs w:val="19"/>
                <w:shd w:val="clear" w:fill="FFFFFF"/>
                <w:lang w:val="en-US" w:eastAsia="zh-CN"/>
              </w:rPr>
              <w:t>p16/p53 cellular senescence and apoptosis regulatory pathways.</w:t>
            </w:r>
          </w:p>
        </w:tc>
        <w:tc>
          <w:tcPr>
            <w:tcW w:w="1272" w:type="dxa"/>
            <w:tcBorders>
              <w:top w:val="single" w:color="000000" w:sz="4" w:space="0"/>
              <w:left w:val="nil"/>
              <w:bottom w:val="nil"/>
              <w:right w:val="nil"/>
            </w:tcBorders>
            <w:shd w:val="clear" w:color="auto" w:fill="FFFFFF"/>
            <w:noWrap w:val="0"/>
            <w:vAlign w:val="top"/>
          </w:tcPr>
          <w:p w14:paraId="26C6CFAF">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default" w:ascii="Times New Roman" w:hAnsi="Times New Roman" w:eastAsia="宋体" w:cs="Times New Roman"/>
                <w:b w:val="0"/>
                <w:color w:val="000000"/>
                <w:sz w:val="21"/>
                <w:szCs w:val="21"/>
                <w:lang w:val="en-US" w:eastAsia="zh-CN" w:bidi="ar-SA"/>
              </w:rPr>
            </w:pPr>
            <w:r>
              <w:rPr>
                <w:rFonts w:hint="eastAsia" w:cs="Times New Roman"/>
                <w:b w:val="0"/>
                <w:color w:val="000000"/>
                <w:sz w:val="21"/>
                <w:szCs w:val="21"/>
                <w:lang w:val="en-US" w:eastAsia="zh-CN" w:bidi="ar-SA"/>
              </w:rPr>
              <w:t>[43,45]</w:t>
            </w:r>
          </w:p>
        </w:tc>
      </w:tr>
      <w:tr w14:paraId="64BAC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5" w:type="dxa"/>
            <w:tcBorders>
              <w:top w:val="nil"/>
              <w:left w:val="nil"/>
              <w:bottom w:val="nil"/>
              <w:right w:val="nil"/>
            </w:tcBorders>
            <w:shd w:val="clear" w:color="auto" w:fill="FFFFFF"/>
            <w:noWrap w:val="0"/>
            <w:vAlign w:val="top"/>
          </w:tcPr>
          <w:p w14:paraId="0A6C18CF">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eastAsia" w:ascii="Segoe UI" w:hAnsi="Segoe UI" w:eastAsia="Segoe UI" w:cs="Segoe UI"/>
                <w:i w:val="0"/>
                <w:iCs w:val="0"/>
                <w:caps w:val="0"/>
                <w:spacing w:val="0"/>
                <w:sz w:val="19"/>
                <w:szCs w:val="19"/>
                <w:shd w:val="clear" w:fill="FFFFFF"/>
                <w:lang w:val="en-US" w:eastAsia="zh-CN"/>
              </w:rPr>
            </w:pPr>
          </w:p>
        </w:tc>
        <w:tc>
          <w:tcPr>
            <w:tcW w:w="1642" w:type="dxa"/>
            <w:tcBorders>
              <w:top w:val="nil"/>
              <w:left w:val="nil"/>
              <w:bottom w:val="nil"/>
              <w:right w:val="nil"/>
            </w:tcBorders>
            <w:shd w:val="clear" w:color="auto" w:fill="FFFFFF"/>
            <w:noWrap w:val="0"/>
            <w:vAlign w:val="top"/>
          </w:tcPr>
          <w:p w14:paraId="7C27836D">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eastAsia" w:ascii="Segoe UI" w:hAnsi="Segoe UI" w:eastAsia="Segoe UI" w:cs="Segoe UI"/>
                <w:i w:val="0"/>
                <w:iCs w:val="0"/>
                <w:caps w:val="0"/>
                <w:spacing w:val="0"/>
                <w:sz w:val="19"/>
                <w:szCs w:val="19"/>
                <w:shd w:val="clear" w:fill="FFFFFF"/>
                <w:lang w:val="en-US" w:eastAsia="zh-CN"/>
              </w:rPr>
            </w:pPr>
            <w:r>
              <w:rPr>
                <w:rFonts w:hint="eastAsia" w:ascii="Segoe UI" w:hAnsi="Segoe UI" w:eastAsia="Segoe UI" w:cs="Segoe UI"/>
                <w:i w:val="0"/>
                <w:iCs w:val="0"/>
                <w:caps w:val="0"/>
                <w:spacing w:val="0"/>
                <w:sz w:val="19"/>
                <w:szCs w:val="19"/>
                <w:shd w:val="clear" w:fill="FFFFFF"/>
                <w:lang w:val="en-US" w:eastAsia="zh-CN"/>
              </w:rPr>
              <w:t>Regulation of Glucose and Lipid Metabolism</w:t>
            </w:r>
          </w:p>
        </w:tc>
        <w:tc>
          <w:tcPr>
            <w:tcW w:w="4540" w:type="dxa"/>
            <w:tcBorders>
              <w:top w:val="nil"/>
              <w:left w:val="nil"/>
              <w:bottom w:val="nil"/>
              <w:right w:val="nil"/>
            </w:tcBorders>
            <w:shd w:val="clear" w:color="auto" w:fill="FFFFFF"/>
            <w:noWrap w:val="0"/>
            <w:vAlign w:val="top"/>
          </w:tcPr>
          <w:p w14:paraId="123F5D98">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eastAsia" w:ascii="Segoe UI" w:hAnsi="Segoe UI" w:eastAsia="Segoe UI" w:cs="Segoe UI"/>
                <w:i w:val="0"/>
                <w:iCs w:val="0"/>
                <w:caps w:val="0"/>
                <w:spacing w:val="0"/>
                <w:sz w:val="19"/>
                <w:szCs w:val="19"/>
                <w:shd w:val="clear" w:fill="FFFFFF"/>
                <w:lang w:val="en-US" w:eastAsia="zh-CN"/>
              </w:rPr>
            </w:pPr>
            <w:r>
              <w:rPr>
                <w:rFonts w:hint="eastAsia" w:ascii="Segoe UI" w:hAnsi="Segoe UI" w:eastAsia="Segoe UI" w:cs="Segoe UI"/>
                <w:i w:val="0"/>
                <w:iCs w:val="0"/>
                <w:caps w:val="0"/>
                <w:spacing w:val="0"/>
                <w:sz w:val="19"/>
                <w:szCs w:val="19"/>
                <w:shd w:val="clear" w:fill="FFFFFF"/>
                <w:lang w:val="en-US" w:eastAsia="zh-CN"/>
              </w:rPr>
              <w:t>In vivo: Polygonatum sibiricum polysaccharides (PSP1) reduced fasting blood glucose and glycated serum protein levels in rats, enhanced GLP-1 secretion, improved glucose tolerance and insulin sensitivity. They modulated hepatic SOD and GSH-Px activities, reduced MDA and HG levels, decreased TC, TG, ALT, and AST levels, upregulated Nrf2, HO-1, GCLC, and NQO1 protein expression, alleviated oxidative stress to regulate glucose/lipid metabolism. Additionally, PSP1 promoted wound healing in diabetic (DM) skin lesion rats, improved cardiac dysfunction in diabetes, attenuated myocardial fibrosis, and regulated myocardial enzyme levels. In vitro: For high glucose (HG)-stimulated cells, PSP1 reduced ROS generation and MDA content while increasing SOD and GPx activities.</w:t>
            </w:r>
          </w:p>
        </w:tc>
        <w:tc>
          <w:tcPr>
            <w:tcW w:w="4120" w:type="dxa"/>
            <w:tcBorders>
              <w:top w:val="nil"/>
              <w:left w:val="nil"/>
              <w:bottom w:val="nil"/>
              <w:right w:val="nil"/>
            </w:tcBorders>
            <w:shd w:val="clear" w:color="auto" w:fill="FFFFFF"/>
            <w:noWrap w:val="0"/>
            <w:vAlign w:val="top"/>
          </w:tcPr>
          <w:p w14:paraId="3C77F6B4">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eastAsia" w:ascii="Segoe UI" w:hAnsi="Segoe UI" w:eastAsia="Segoe UI" w:cs="Segoe UI"/>
                <w:i w:val="0"/>
                <w:iCs w:val="0"/>
                <w:caps w:val="0"/>
                <w:spacing w:val="0"/>
                <w:sz w:val="19"/>
                <w:szCs w:val="19"/>
                <w:shd w:val="clear" w:fill="FFFFFF"/>
                <w:lang w:val="en-US" w:eastAsia="zh-CN"/>
              </w:rPr>
            </w:pPr>
            <w:r>
              <w:rPr>
                <w:rFonts w:hint="eastAsia" w:ascii="Segoe UI" w:hAnsi="Segoe UI" w:eastAsia="Segoe UI" w:cs="Segoe UI"/>
                <w:i w:val="0"/>
                <w:iCs w:val="0"/>
                <w:caps w:val="0"/>
                <w:spacing w:val="0"/>
                <w:sz w:val="19"/>
                <w:szCs w:val="19"/>
                <w:shd w:val="clear" w:fill="FFFFFF"/>
                <w:lang w:val="en-US" w:eastAsia="zh-CN"/>
              </w:rPr>
              <w:t>Liver signaling pathways: IRS1-PI3K-PDK1-Akt, PI3K-Akt-GSK-3β-GYS, PI3K-Akt-PIP5K-GLUT2; Insulin-mediated pathway: PI3K-Akt-FoxO1/GSK3β; Oxidative stress regulation: Nrf2/HO-1 pathway; Hepatic pathway: Nrf2 signaling in liver tissue; Inflammation-related pathway: NLRP3-caspase-1 signaling.</w:t>
            </w:r>
          </w:p>
        </w:tc>
        <w:tc>
          <w:tcPr>
            <w:tcW w:w="1272" w:type="dxa"/>
            <w:tcBorders>
              <w:top w:val="nil"/>
              <w:left w:val="nil"/>
              <w:bottom w:val="nil"/>
              <w:right w:val="nil"/>
            </w:tcBorders>
            <w:shd w:val="clear" w:color="auto" w:fill="FFFFFF"/>
            <w:noWrap w:val="0"/>
            <w:vAlign w:val="top"/>
          </w:tcPr>
          <w:p w14:paraId="2088C979">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default" w:ascii="Times New Roman" w:hAnsi="Times New Roman" w:eastAsia="宋体" w:cs="Times New Roman"/>
                <w:b w:val="0"/>
                <w:color w:val="auto"/>
                <w:sz w:val="21"/>
                <w:szCs w:val="21"/>
                <w:lang w:val="en-US" w:eastAsia="zh-CN" w:bidi="ar-SA"/>
              </w:rPr>
            </w:pPr>
            <w:r>
              <w:rPr>
                <w:rFonts w:hint="eastAsia" w:cs="Times New Roman"/>
                <w:b w:val="0"/>
                <w:color w:val="auto"/>
                <w:sz w:val="21"/>
                <w:szCs w:val="21"/>
                <w:lang w:val="en-US" w:eastAsia="zh-CN" w:bidi="ar-SA"/>
              </w:rPr>
              <w:t>[54-60]</w:t>
            </w:r>
          </w:p>
        </w:tc>
      </w:tr>
      <w:tr w14:paraId="5361E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5" w:type="dxa"/>
            <w:tcBorders>
              <w:top w:val="nil"/>
              <w:left w:val="nil"/>
              <w:bottom w:val="nil"/>
              <w:right w:val="nil"/>
            </w:tcBorders>
            <w:shd w:val="clear" w:color="auto" w:fill="FFFFFF"/>
            <w:noWrap w:val="0"/>
            <w:vAlign w:val="top"/>
          </w:tcPr>
          <w:p w14:paraId="39CD3DC1">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eastAsia" w:ascii="Segoe UI" w:hAnsi="Segoe UI" w:eastAsia="Segoe UI" w:cs="Segoe UI"/>
                <w:i w:val="0"/>
                <w:iCs w:val="0"/>
                <w:caps w:val="0"/>
                <w:spacing w:val="0"/>
                <w:sz w:val="19"/>
                <w:szCs w:val="19"/>
                <w:shd w:val="clear" w:fill="FFFFFF"/>
                <w:lang w:val="en-US" w:eastAsia="zh-CN"/>
              </w:rPr>
            </w:pPr>
          </w:p>
        </w:tc>
        <w:tc>
          <w:tcPr>
            <w:tcW w:w="1642" w:type="dxa"/>
            <w:tcBorders>
              <w:top w:val="nil"/>
              <w:left w:val="nil"/>
              <w:bottom w:val="nil"/>
              <w:right w:val="nil"/>
            </w:tcBorders>
            <w:shd w:val="clear" w:color="auto" w:fill="FFFFFF"/>
            <w:noWrap w:val="0"/>
            <w:vAlign w:val="top"/>
          </w:tcPr>
          <w:p w14:paraId="3AFFE4D7">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eastAsia" w:ascii="Segoe UI" w:hAnsi="Segoe UI" w:eastAsia="Segoe UI" w:cs="Segoe UI"/>
                <w:i w:val="0"/>
                <w:iCs w:val="0"/>
                <w:caps w:val="0"/>
                <w:spacing w:val="0"/>
                <w:sz w:val="19"/>
                <w:szCs w:val="19"/>
                <w:shd w:val="clear" w:fill="FFFFFF"/>
                <w:lang w:val="en-US" w:eastAsia="zh-CN"/>
              </w:rPr>
            </w:pPr>
            <w:r>
              <w:rPr>
                <w:rFonts w:ascii="Segoe UI" w:hAnsi="Segoe UI" w:eastAsia="Segoe UI" w:cs="Segoe UI"/>
                <w:i w:val="0"/>
                <w:iCs w:val="0"/>
                <w:caps w:val="0"/>
                <w:spacing w:val="0"/>
                <w:sz w:val="19"/>
                <w:szCs w:val="19"/>
                <w:shd w:val="clear" w:fill="FFFFFF"/>
              </w:rPr>
              <w:t>Anti-fatigue</w:t>
            </w:r>
          </w:p>
        </w:tc>
        <w:tc>
          <w:tcPr>
            <w:tcW w:w="4540" w:type="dxa"/>
            <w:tcBorders>
              <w:top w:val="nil"/>
              <w:left w:val="nil"/>
              <w:bottom w:val="nil"/>
              <w:right w:val="nil"/>
            </w:tcBorders>
            <w:shd w:val="clear" w:color="auto" w:fill="FFFFFF"/>
            <w:noWrap w:val="0"/>
            <w:vAlign w:val="top"/>
          </w:tcPr>
          <w:p w14:paraId="7A70A85F">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eastAsia" w:ascii="Segoe UI" w:hAnsi="Segoe UI" w:eastAsia="Segoe UI" w:cs="Segoe UI"/>
                <w:i w:val="0"/>
                <w:iCs w:val="0"/>
                <w:caps w:val="0"/>
                <w:spacing w:val="0"/>
                <w:sz w:val="19"/>
                <w:szCs w:val="19"/>
                <w:shd w:val="clear" w:fill="FFFFFF"/>
                <w:lang w:val="en-US" w:eastAsia="zh-CN"/>
              </w:rPr>
            </w:pPr>
            <w:r>
              <w:rPr>
                <w:rFonts w:ascii="Segoe UI" w:hAnsi="Segoe UI" w:eastAsia="Segoe UI" w:cs="Segoe UI"/>
                <w:i w:val="0"/>
                <w:iCs w:val="0"/>
                <w:caps w:val="0"/>
                <w:spacing w:val="0"/>
                <w:sz w:val="19"/>
                <w:szCs w:val="19"/>
                <w:shd w:val="clear" w:fill="FFFFFF"/>
              </w:rPr>
              <w:t>In vivo</w:t>
            </w:r>
            <w:r>
              <w:rPr>
                <w:rFonts w:hint="default" w:ascii="Segoe UI" w:hAnsi="Segoe UI" w:eastAsia="Segoe UI" w:cs="Segoe UI"/>
                <w:i w:val="0"/>
                <w:iCs w:val="0"/>
                <w:caps w:val="0"/>
                <w:spacing w:val="0"/>
                <w:sz w:val="19"/>
                <w:szCs w:val="19"/>
                <w:shd w:val="clear" w:fill="FFFFFF"/>
              </w:rPr>
              <w:t>: Increases hepatic glycogen, muscle glycogen, and ATP reserves; reduces accumulation of lactic acid and blood urea nitrogen (BUN); decreases oxidative damage caused by lipid peroxidation product MDA</w:t>
            </w:r>
          </w:p>
        </w:tc>
        <w:tc>
          <w:tcPr>
            <w:tcW w:w="4120" w:type="dxa"/>
            <w:tcBorders>
              <w:top w:val="nil"/>
              <w:left w:val="nil"/>
              <w:bottom w:val="nil"/>
              <w:right w:val="nil"/>
            </w:tcBorders>
            <w:shd w:val="clear" w:color="auto" w:fill="FFFFFF"/>
            <w:noWrap w:val="0"/>
            <w:vAlign w:val="top"/>
          </w:tcPr>
          <w:p w14:paraId="61B6CA70">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eastAsia" w:ascii="Segoe UI" w:hAnsi="Segoe UI" w:eastAsia="Segoe UI" w:cs="Segoe UI"/>
                <w:i w:val="0"/>
                <w:iCs w:val="0"/>
                <w:caps w:val="0"/>
                <w:spacing w:val="0"/>
                <w:sz w:val="19"/>
                <w:szCs w:val="19"/>
                <w:shd w:val="clear" w:fill="FFFFFF"/>
                <w:lang w:val="en-US" w:eastAsia="zh-CN"/>
              </w:rPr>
            </w:pPr>
          </w:p>
        </w:tc>
        <w:tc>
          <w:tcPr>
            <w:tcW w:w="1272" w:type="dxa"/>
            <w:tcBorders>
              <w:top w:val="nil"/>
              <w:left w:val="nil"/>
              <w:bottom w:val="nil"/>
              <w:right w:val="nil"/>
            </w:tcBorders>
            <w:shd w:val="clear" w:color="auto" w:fill="FFFFFF"/>
            <w:noWrap w:val="0"/>
            <w:vAlign w:val="top"/>
          </w:tcPr>
          <w:p w14:paraId="16114988">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default" w:ascii="Times New Roman" w:hAnsi="Times New Roman" w:eastAsia="宋体" w:cs="Times New Roman"/>
                <w:b w:val="0"/>
                <w:color w:val="auto"/>
                <w:sz w:val="21"/>
                <w:szCs w:val="21"/>
                <w:lang w:val="en-US" w:eastAsia="zh-CN" w:bidi="ar-SA"/>
              </w:rPr>
            </w:pPr>
            <w:r>
              <w:rPr>
                <w:rFonts w:hint="eastAsia" w:cs="Times New Roman"/>
                <w:b w:val="0"/>
                <w:color w:val="auto"/>
                <w:sz w:val="21"/>
                <w:szCs w:val="21"/>
                <w:lang w:val="en-US" w:eastAsia="zh-CN" w:bidi="ar-SA"/>
              </w:rPr>
              <w:t>[61]</w:t>
            </w:r>
          </w:p>
        </w:tc>
      </w:tr>
      <w:tr w14:paraId="58DDB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5" w:type="dxa"/>
            <w:tcBorders>
              <w:top w:val="nil"/>
              <w:left w:val="nil"/>
              <w:bottom w:val="nil"/>
              <w:right w:val="nil"/>
            </w:tcBorders>
            <w:shd w:val="clear" w:color="auto" w:fill="FFFFFF"/>
            <w:noWrap w:val="0"/>
            <w:vAlign w:val="top"/>
          </w:tcPr>
          <w:p w14:paraId="35CB7E19">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default" w:ascii="Segoe UI" w:hAnsi="Segoe UI" w:eastAsia="Segoe UI" w:cs="Segoe UI"/>
                <w:i w:val="0"/>
                <w:iCs w:val="0"/>
                <w:caps w:val="0"/>
                <w:spacing w:val="0"/>
                <w:sz w:val="19"/>
                <w:szCs w:val="19"/>
                <w:shd w:val="clear" w:fill="FFFFFF"/>
                <w:lang w:val="en-US" w:eastAsia="zh-CN"/>
              </w:rPr>
            </w:pPr>
          </w:p>
        </w:tc>
        <w:tc>
          <w:tcPr>
            <w:tcW w:w="1642" w:type="dxa"/>
            <w:tcBorders>
              <w:top w:val="nil"/>
              <w:left w:val="nil"/>
              <w:bottom w:val="nil"/>
              <w:right w:val="nil"/>
            </w:tcBorders>
            <w:shd w:val="clear" w:color="auto" w:fill="FFFFFF"/>
            <w:noWrap w:val="0"/>
            <w:vAlign w:val="top"/>
          </w:tcPr>
          <w:p w14:paraId="168F0C43">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eastAsia" w:ascii="Segoe UI" w:hAnsi="Segoe UI" w:eastAsia="Segoe UI" w:cs="Segoe UI"/>
                <w:i w:val="0"/>
                <w:iCs w:val="0"/>
                <w:caps w:val="0"/>
                <w:spacing w:val="0"/>
                <w:sz w:val="19"/>
                <w:szCs w:val="19"/>
                <w:shd w:val="clear" w:fill="FFFFFF"/>
                <w:lang w:val="en-US" w:eastAsia="zh-CN"/>
              </w:rPr>
            </w:pPr>
            <w:r>
              <w:rPr>
                <w:rFonts w:ascii="Segoe UI" w:hAnsi="Segoe UI" w:eastAsia="Segoe UI" w:cs="Segoe UI"/>
                <w:i w:val="0"/>
                <w:iCs w:val="0"/>
                <w:caps w:val="0"/>
                <w:spacing w:val="0"/>
                <w:sz w:val="19"/>
                <w:szCs w:val="19"/>
                <w:shd w:val="clear" w:fill="FFFFFF"/>
              </w:rPr>
              <w:t>Anti-aging</w:t>
            </w:r>
          </w:p>
        </w:tc>
        <w:tc>
          <w:tcPr>
            <w:tcW w:w="4540" w:type="dxa"/>
            <w:tcBorders>
              <w:top w:val="nil"/>
              <w:left w:val="nil"/>
              <w:bottom w:val="nil"/>
              <w:right w:val="nil"/>
            </w:tcBorders>
            <w:shd w:val="clear" w:color="auto" w:fill="FFFFFF"/>
            <w:noWrap w:val="0"/>
            <w:vAlign w:val="top"/>
          </w:tcPr>
          <w:p w14:paraId="0861E6B5">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eastAsia" w:ascii="Segoe UI" w:hAnsi="Segoe UI" w:eastAsia="Segoe UI" w:cs="Segoe UI"/>
                <w:i w:val="0"/>
                <w:iCs w:val="0"/>
                <w:caps w:val="0"/>
                <w:spacing w:val="0"/>
                <w:sz w:val="19"/>
                <w:szCs w:val="19"/>
                <w:shd w:val="clear" w:fill="FFFFFF"/>
                <w:lang w:val="en-US" w:eastAsia="zh-CN"/>
              </w:rPr>
            </w:pPr>
            <w:r>
              <w:rPr>
                <w:rFonts w:ascii="Segoe UI" w:hAnsi="Segoe UI" w:eastAsia="Segoe UI" w:cs="Segoe UI"/>
                <w:i w:val="0"/>
                <w:iCs w:val="0"/>
                <w:caps w:val="0"/>
                <w:spacing w:val="0"/>
                <w:sz w:val="19"/>
                <w:szCs w:val="19"/>
                <w:shd w:val="clear" w:fill="FFFFFF"/>
              </w:rPr>
              <w:t>In vitro: Polysaccharides from H. multiflora (PCP) and P. multiflora (PFP) can effectively delay skin cell aging and exhibit good free radical scavenging ability. They can downregulate the expression of p21, p53, p16, MuRF1, and Atrogin-1, while upregulating the expression of MyoD, Myogenin, and MyHC, thereby enhancing the viability of C2C12 cells and promoting myotube differentiation. They can also improve oxidative stress and renal function, alleviating pathological damage to the kidneys and providing protective effects against D-galactose-induced renal aging.</w:t>
            </w:r>
          </w:p>
        </w:tc>
        <w:tc>
          <w:tcPr>
            <w:tcW w:w="4120" w:type="dxa"/>
            <w:tcBorders>
              <w:top w:val="nil"/>
              <w:left w:val="nil"/>
              <w:bottom w:val="nil"/>
              <w:right w:val="nil"/>
            </w:tcBorders>
            <w:shd w:val="clear" w:color="auto" w:fill="FFFFFF"/>
            <w:noWrap w:val="0"/>
            <w:vAlign w:val="top"/>
          </w:tcPr>
          <w:p w14:paraId="235C979B">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eastAsia" w:ascii="Segoe UI" w:hAnsi="Segoe UI" w:eastAsia="Segoe UI" w:cs="Segoe UI"/>
                <w:i w:val="0"/>
                <w:iCs w:val="0"/>
                <w:caps w:val="0"/>
                <w:spacing w:val="0"/>
                <w:sz w:val="19"/>
                <w:szCs w:val="19"/>
                <w:shd w:val="clear" w:fill="FFFFFF"/>
                <w:lang w:val="en-US" w:eastAsia="zh-CN"/>
              </w:rPr>
            </w:pPr>
            <w:r>
              <w:rPr>
                <w:rFonts w:ascii="Segoe UI" w:hAnsi="Segoe UI" w:eastAsia="Segoe UI" w:cs="Segoe UI"/>
                <w:i w:val="0"/>
                <w:iCs w:val="0"/>
                <w:caps w:val="0"/>
                <w:spacing w:val="0"/>
                <w:sz w:val="19"/>
                <w:szCs w:val="19"/>
                <w:shd w:val="clear" w:fill="FFFFFF"/>
              </w:rPr>
              <w:t>activate the PI3K/Akt/mTOR pathway and regulate the metabolic pathways of purines, sphingolipids, glycerophospholipids, tryptophan, and riboflavin.</w:t>
            </w:r>
          </w:p>
        </w:tc>
        <w:tc>
          <w:tcPr>
            <w:tcW w:w="1272" w:type="dxa"/>
            <w:tcBorders>
              <w:top w:val="nil"/>
              <w:left w:val="nil"/>
              <w:bottom w:val="nil"/>
              <w:right w:val="nil"/>
            </w:tcBorders>
            <w:shd w:val="clear" w:color="auto" w:fill="FFFFFF"/>
            <w:noWrap w:val="0"/>
            <w:vAlign w:val="top"/>
          </w:tcPr>
          <w:p w14:paraId="5FADC883">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default" w:ascii="Times New Roman" w:hAnsi="Times New Roman" w:eastAsia="宋体" w:cs="Times New Roman"/>
                <w:b w:val="0"/>
                <w:color w:val="auto"/>
                <w:sz w:val="21"/>
                <w:szCs w:val="21"/>
                <w:lang w:val="en-US" w:eastAsia="zh-CN" w:bidi="ar-SA"/>
              </w:rPr>
            </w:pPr>
            <w:r>
              <w:rPr>
                <w:rFonts w:hint="eastAsia" w:cs="Times New Roman"/>
                <w:b w:val="0"/>
                <w:color w:val="auto"/>
                <w:sz w:val="21"/>
                <w:szCs w:val="21"/>
                <w:lang w:val="en-US" w:eastAsia="zh-CN" w:bidi="ar-SA"/>
              </w:rPr>
              <w:t>[66,68-69]</w:t>
            </w:r>
          </w:p>
        </w:tc>
      </w:tr>
      <w:tr w14:paraId="2DF84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095" w:type="dxa"/>
            <w:tcBorders>
              <w:top w:val="nil"/>
              <w:left w:val="nil"/>
              <w:bottom w:val="nil"/>
              <w:right w:val="nil"/>
            </w:tcBorders>
            <w:shd w:val="clear" w:color="auto" w:fill="FFFFFF"/>
            <w:noWrap w:val="0"/>
            <w:vAlign w:val="top"/>
          </w:tcPr>
          <w:p w14:paraId="30C2E04C">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eastAsia" w:ascii="Segoe UI" w:hAnsi="Segoe UI" w:eastAsia="Segoe UI" w:cs="Segoe UI"/>
                <w:i w:val="0"/>
                <w:iCs w:val="0"/>
                <w:caps w:val="0"/>
                <w:spacing w:val="0"/>
                <w:sz w:val="19"/>
                <w:szCs w:val="19"/>
                <w:shd w:val="clear" w:fill="FFFFFF"/>
                <w:lang w:val="en-US" w:eastAsia="zh-CN"/>
              </w:rPr>
            </w:pPr>
          </w:p>
        </w:tc>
        <w:tc>
          <w:tcPr>
            <w:tcW w:w="1642" w:type="dxa"/>
            <w:tcBorders>
              <w:top w:val="nil"/>
              <w:left w:val="nil"/>
              <w:bottom w:val="nil"/>
              <w:right w:val="nil"/>
            </w:tcBorders>
            <w:shd w:val="clear" w:color="auto" w:fill="FFFFFF"/>
            <w:noWrap w:val="0"/>
            <w:vAlign w:val="top"/>
          </w:tcPr>
          <w:p w14:paraId="09CF8D1F">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eastAsia" w:ascii="Segoe UI" w:hAnsi="Segoe UI" w:eastAsia="Segoe UI" w:cs="Segoe UI"/>
                <w:i w:val="0"/>
                <w:iCs w:val="0"/>
                <w:caps w:val="0"/>
                <w:spacing w:val="0"/>
                <w:sz w:val="19"/>
                <w:szCs w:val="19"/>
                <w:shd w:val="clear" w:fill="FFFFFF"/>
                <w:lang w:val="en-US" w:eastAsia="zh-CN"/>
              </w:rPr>
            </w:pPr>
            <w:r>
              <w:rPr>
                <w:rFonts w:ascii="Segoe UI" w:hAnsi="Segoe UI" w:eastAsia="Segoe UI" w:cs="Segoe UI"/>
                <w:i w:val="0"/>
                <w:iCs w:val="0"/>
                <w:caps w:val="0"/>
                <w:spacing w:val="0"/>
                <w:sz w:val="19"/>
                <w:szCs w:val="19"/>
                <w:shd w:val="clear" w:fill="FFFFFF"/>
              </w:rPr>
              <w:t>Antidepressant</w:t>
            </w:r>
          </w:p>
        </w:tc>
        <w:tc>
          <w:tcPr>
            <w:tcW w:w="4540" w:type="dxa"/>
            <w:tcBorders>
              <w:top w:val="nil"/>
              <w:left w:val="nil"/>
              <w:bottom w:val="nil"/>
              <w:right w:val="nil"/>
            </w:tcBorders>
            <w:shd w:val="clear" w:color="auto" w:fill="FFFFFF"/>
            <w:noWrap w:val="0"/>
            <w:vAlign w:val="top"/>
          </w:tcPr>
          <w:p w14:paraId="2BBACC81">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default" w:ascii="Segoe UI" w:hAnsi="Segoe UI" w:eastAsia="Segoe UI" w:cs="Segoe UI"/>
                <w:i w:val="0"/>
                <w:iCs w:val="0"/>
                <w:caps w:val="0"/>
                <w:spacing w:val="0"/>
                <w:sz w:val="19"/>
                <w:szCs w:val="19"/>
                <w:shd w:val="clear" w:fill="FFFFFF"/>
                <w:lang w:val="en-US" w:eastAsia="zh-CN"/>
              </w:rPr>
            </w:pPr>
            <w:r>
              <w:rPr>
                <w:rFonts w:ascii="Segoe UI" w:hAnsi="Segoe UI" w:eastAsia="Segoe UI" w:cs="Segoe UI"/>
                <w:i w:val="0"/>
                <w:iCs w:val="0"/>
                <w:caps w:val="0"/>
                <w:spacing w:val="0"/>
                <w:sz w:val="19"/>
                <w:szCs w:val="19"/>
                <w:shd w:val="clear" w:fill="FFFFFF"/>
              </w:rPr>
              <w:t>It can improve the depression-like behavior induced by chronic unpredictable mild stress (CUMS) in zebrafish, repair neural damage, and alleviate neuronal lesions; combined exercise intervention can resist CORT-induced damage in PC12 cells, achieving neuroprotection; it can also improve gut microbiota dysbiosis, repair intestinal barrier function, and inhibit excessive activation of the HPA axis and abnormal activity of PVN neurons to improve depression-like behavior.</w:t>
            </w:r>
          </w:p>
        </w:tc>
        <w:tc>
          <w:tcPr>
            <w:tcW w:w="4120" w:type="dxa"/>
            <w:tcBorders>
              <w:top w:val="nil"/>
              <w:left w:val="nil"/>
              <w:bottom w:val="nil"/>
              <w:right w:val="nil"/>
            </w:tcBorders>
            <w:shd w:val="clear" w:color="auto" w:fill="FFFFFF"/>
            <w:noWrap w:val="0"/>
            <w:vAlign w:val="top"/>
          </w:tcPr>
          <w:p w14:paraId="75B08F33">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eastAsia" w:ascii="Segoe UI" w:hAnsi="Segoe UI" w:eastAsia="Segoe UI" w:cs="Segoe UI"/>
                <w:i w:val="0"/>
                <w:iCs w:val="0"/>
                <w:caps w:val="0"/>
                <w:spacing w:val="0"/>
                <w:sz w:val="19"/>
                <w:szCs w:val="19"/>
                <w:shd w:val="clear" w:fill="FFFFFF"/>
                <w:lang w:val="en-US" w:eastAsia="zh-CN"/>
              </w:rPr>
            </w:pPr>
            <w:r>
              <w:rPr>
                <w:rFonts w:ascii="Segoe UI" w:hAnsi="Segoe UI" w:eastAsia="Segoe UI" w:cs="Segoe UI"/>
                <w:i w:val="0"/>
                <w:iCs w:val="0"/>
                <w:caps w:val="0"/>
                <w:spacing w:val="0"/>
                <w:sz w:val="19"/>
                <w:szCs w:val="19"/>
                <w:shd w:val="clear" w:fill="FFFFFF"/>
              </w:rPr>
              <w:t>It reduces intracellular ROS levels, increases intracellular BDNF content, activates the Notch signaling pathway and the PI3K/AKT/GSK-3β signaling pathway; it regulates inflammatory factors, modulates microglial polarization, and regulates the gut microbiota - LPS-PVN signaling axis and tryptophan metabolism pathway, inhibiting hyperactivity of the hypothalamic-pituitary-adrenal (HPA) axis.</w:t>
            </w:r>
          </w:p>
        </w:tc>
        <w:tc>
          <w:tcPr>
            <w:tcW w:w="1272" w:type="dxa"/>
            <w:tcBorders>
              <w:top w:val="nil"/>
              <w:left w:val="nil"/>
              <w:bottom w:val="nil"/>
              <w:right w:val="nil"/>
            </w:tcBorders>
            <w:shd w:val="clear" w:color="auto" w:fill="FFFFFF"/>
            <w:noWrap w:val="0"/>
            <w:vAlign w:val="top"/>
          </w:tcPr>
          <w:p w14:paraId="44CACFAC">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default" w:ascii="Times New Roman" w:hAnsi="Times New Roman" w:eastAsia="宋体" w:cs="Times New Roman"/>
                <w:b w:val="0"/>
                <w:color w:val="auto"/>
                <w:sz w:val="21"/>
                <w:szCs w:val="21"/>
                <w:lang w:val="en-US" w:eastAsia="zh-CN" w:bidi="ar-SA"/>
              </w:rPr>
            </w:pPr>
            <w:r>
              <w:rPr>
                <w:rFonts w:hint="eastAsia" w:cs="Times New Roman"/>
                <w:b w:val="0"/>
                <w:color w:val="auto"/>
                <w:sz w:val="21"/>
                <w:szCs w:val="21"/>
                <w:lang w:val="en-US" w:eastAsia="zh-CN" w:bidi="ar-SA"/>
              </w:rPr>
              <w:t>[72-73, 75-77]</w:t>
            </w:r>
          </w:p>
        </w:tc>
      </w:tr>
      <w:tr w14:paraId="55BF5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trPr>
        <w:tc>
          <w:tcPr>
            <w:tcW w:w="2095" w:type="dxa"/>
            <w:tcBorders>
              <w:top w:val="nil"/>
              <w:left w:val="nil"/>
              <w:bottom w:val="nil"/>
              <w:right w:val="nil"/>
            </w:tcBorders>
            <w:shd w:val="clear" w:color="auto" w:fill="FFFFFF"/>
            <w:noWrap w:val="0"/>
            <w:vAlign w:val="top"/>
          </w:tcPr>
          <w:p w14:paraId="56A8E91A">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eastAsia" w:ascii="Segoe UI" w:hAnsi="Segoe UI" w:eastAsia="Segoe UI" w:cs="Segoe UI"/>
                <w:i w:val="0"/>
                <w:iCs w:val="0"/>
                <w:caps w:val="0"/>
                <w:spacing w:val="0"/>
                <w:sz w:val="19"/>
                <w:szCs w:val="19"/>
                <w:shd w:val="clear" w:fill="FFFFFF"/>
                <w:lang w:val="en-US" w:eastAsia="zh-CN"/>
              </w:rPr>
            </w:pPr>
          </w:p>
        </w:tc>
        <w:tc>
          <w:tcPr>
            <w:tcW w:w="1642" w:type="dxa"/>
            <w:tcBorders>
              <w:top w:val="nil"/>
              <w:left w:val="nil"/>
              <w:bottom w:val="nil"/>
              <w:right w:val="nil"/>
            </w:tcBorders>
            <w:shd w:val="clear" w:color="auto" w:fill="FFFFFF"/>
            <w:noWrap w:val="0"/>
            <w:vAlign w:val="top"/>
          </w:tcPr>
          <w:p w14:paraId="4F05A7BC">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default" w:ascii="Segoe UI" w:hAnsi="Segoe UI" w:eastAsia="Segoe UI" w:cs="Segoe UI"/>
                <w:i w:val="0"/>
                <w:iCs w:val="0"/>
                <w:caps w:val="0"/>
                <w:spacing w:val="0"/>
                <w:sz w:val="19"/>
                <w:szCs w:val="19"/>
                <w:shd w:val="clear" w:fill="FFFFFF"/>
                <w:lang w:val="en-US" w:eastAsia="zh-CN"/>
              </w:rPr>
            </w:pPr>
            <w:r>
              <w:rPr>
                <w:rFonts w:ascii="Segoe UI" w:hAnsi="Segoe UI" w:eastAsia="Segoe UI" w:cs="Segoe UI"/>
                <w:i w:val="0"/>
                <w:iCs w:val="0"/>
                <w:caps w:val="0"/>
                <w:spacing w:val="0"/>
                <w:sz w:val="19"/>
                <w:szCs w:val="19"/>
                <w:shd w:val="clear" w:fill="FFFFFF"/>
              </w:rPr>
              <w:t>Regulation of Intestinal Flora</w:t>
            </w:r>
          </w:p>
        </w:tc>
        <w:tc>
          <w:tcPr>
            <w:tcW w:w="4540" w:type="dxa"/>
            <w:tcBorders>
              <w:top w:val="nil"/>
              <w:left w:val="nil"/>
              <w:bottom w:val="nil"/>
              <w:right w:val="nil"/>
            </w:tcBorders>
            <w:shd w:val="clear" w:color="auto" w:fill="FFFFFF"/>
            <w:noWrap w:val="0"/>
            <w:vAlign w:val="top"/>
          </w:tcPr>
          <w:p w14:paraId="6C2E2ABD">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eastAsia" w:ascii="Segoe UI" w:hAnsi="Segoe UI" w:eastAsia="Segoe UI" w:cs="Segoe UI"/>
                <w:i w:val="0"/>
                <w:iCs w:val="0"/>
                <w:caps w:val="0"/>
                <w:spacing w:val="0"/>
                <w:sz w:val="19"/>
                <w:szCs w:val="19"/>
                <w:shd w:val="clear" w:fill="FFFFFF"/>
                <w:lang w:val="en-US" w:eastAsia="zh-CN"/>
              </w:rPr>
            </w:pPr>
            <w:r>
              <w:rPr>
                <w:rFonts w:ascii="Segoe UI" w:hAnsi="Segoe UI" w:eastAsia="Segoe UI" w:cs="Segoe UI"/>
                <w:i w:val="0"/>
                <w:iCs w:val="0"/>
                <w:caps w:val="0"/>
                <w:spacing w:val="0"/>
                <w:sz w:val="19"/>
                <w:szCs w:val="19"/>
                <w:shd w:val="clear" w:fill="FFFFFF"/>
              </w:rPr>
              <w:t>improve weight loss, colon shortening, imbalance of inflammatory factors and intestinal mucosal damage in mice with ulcerative colitis (UC). Polygonatum sibiricum total polysaccharides (PS) and high - molecular - weight polysaccharides (PSF) can increase the relative abundance of short - chain fatty acid (SCFA) - producing bacteria in the gut of high - fat diet (HFD) rats, inhibit fat accumulation, improve insulin sensitivity, enhance the intestinal barrier function and reduce the entry of endotoxins into the blood.</w:t>
            </w:r>
          </w:p>
        </w:tc>
        <w:tc>
          <w:tcPr>
            <w:tcW w:w="4120" w:type="dxa"/>
            <w:tcBorders>
              <w:top w:val="nil"/>
              <w:left w:val="nil"/>
              <w:bottom w:val="nil"/>
              <w:right w:val="nil"/>
            </w:tcBorders>
            <w:shd w:val="clear" w:color="auto" w:fill="FFFFFF"/>
            <w:noWrap w:val="0"/>
            <w:vAlign w:val="top"/>
          </w:tcPr>
          <w:p w14:paraId="68AEA5EF">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eastAsia" w:ascii="Segoe UI" w:hAnsi="Segoe UI" w:eastAsia="Segoe UI" w:cs="Segoe UI"/>
                <w:i w:val="0"/>
                <w:iCs w:val="0"/>
                <w:caps w:val="0"/>
                <w:spacing w:val="0"/>
                <w:sz w:val="19"/>
                <w:szCs w:val="19"/>
                <w:shd w:val="clear" w:fill="FFFFFF"/>
                <w:lang w:val="en-US" w:eastAsia="zh-CN"/>
              </w:rPr>
            </w:pPr>
          </w:p>
        </w:tc>
        <w:tc>
          <w:tcPr>
            <w:tcW w:w="1272" w:type="dxa"/>
            <w:tcBorders>
              <w:top w:val="nil"/>
              <w:left w:val="nil"/>
              <w:bottom w:val="nil"/>
              <w:right w:val="nil"/>
            </w:tcBorders>
            <w:shd w:val="clear" w:color="auto" w:fill="FFFFFF"/>
            <w:noWrap w:val="0"/>
            <w:vAlign w:val="top"/>
          </w:tcPr>
          <w:p w14:paraId="22625835">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default" w:ascii="Times New Roman" w:hAnsi="Times New Roman" w:eastAsia="宋体" w:cs="Times New Roman"/>
                <w:b w:val="0"/>
                <w:color w:val="auto"/>
                <w:sz w:val="21"/>
                <w:szCs w:val="21"/>
                <w:lang w:val="en-US" w:eastAsia="zh-CN" w:bidi="ar-SA"/>
              </w:rPr>
            </w:pPr>
            <w:r>
              <w:rPr>
                <w:rFonts w:hint="eastAsia" w:cs="Times New Roman"/>
                <w:b w:val="0"/>
                <w:color w:val="auto"/>
                <w:sz w:val="21"/>
                <w:szCs w:val="21"/>
                <w:lang w:val="en-US" w:eastAsia="zh-CN" w:bidi="ar-SA"/>
              </w:rPr>
              <w:t>[79-80]</w:t>
            </w:r>
          </w:p>
        </w:tc>
      </w:tr>
      <w:tr w14:paraId="45324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095" w:type="dxa"/>
            <w:tcBorders>
              <w:top w:val="nil"/>
              <w:left w:val="nil"/>
              <w:bottom w:val="nil"/>
              <w:right w:val="nil"/>
            </w:tcBorders>
            <w:shd w:val="clear" w:color="auto" w:fill="FFFFFF"/>
            <w:noWrap w:val="0"/>
            <w:vAlign w:val="top"/>
          </w:tcPr>
          <w:p w14:paraId="5D947C13">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eastAsia" w:ascii="Segoe UI" w:hAnsi="Segoe UI" w:eastAsia="Segoe UI" w:cs="Segoe UI"/>
                <w:i w:val="0"/>
                <w:iCs w:val="0"/>
                <w:caps w:val="0"/>
                <w:spacing w:val="0"/>
                <w:sz w:val="19"/>
                <w:szCs w:val="19"/>
                <w:shd w:val="clear" w:fill="FFFFFF"/>
                <w:lang w:val="en-US" w:eastAsia="zh-CN"/>
              </w:rPr>
            </w:pPr>
          </w:p>
        </w:tc>
        <w:tc>
          <w:tcPr>
            <w:tcW w:w="1642" w:type="dxa"/>
            <w:tcBorders>
              <w:top w:val="nil"/>
              <w:left w:val="nil"/>
              <w:bottom w:val="nil"/>
              <w:right w:val="nil"/>
            </w:tcBorders>
            <w:shd w:val="clear" w:color="auto" w:fill="FFFFFF"/>
            <w:noWrap w:val="0"/>
            <w:vAlign w:val="top"/>
          </w:tcPr>
          <w:p w14:paraId="4C99DC2F">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eastAsia" w:ascii="Segoe UI" w:hAnsi="Segoe UI" w:eastAsia="Segoe UI" w:cs="Segoe UI"/>
                <w:i w:val="0"/>
                <w:iCs w:val="0"/>
                <w:caps w:val="0"/>
                <w:spacing w:val="0"/>
                <w:sz w:val="19"/>
                <w:szCs w:val="19"/>
                <w:shd w:val="clear" w:fill="FFFFFF"/>
                <w:lang w:val="en-US" w:eastAsia="zh-CN"/>
              </w:rPr>
            </w:pPr>
            <w:r>
              <w:rPr>
                <w:rFonts w:ascii="Segoe UI" w:hAnsi="Segoe UI" w:eastAsia="Segoe UI" w:cs="Segoe UI"/>
                <w:i w:val="0"/>
                <w:iCs w:val="0"/>
                <w:caps w:val="0"/>
                <w:spacing w:val="0"/>
                <w:sz w:val="19"/>
                <w:szCs w:val="19"/>
                <w:shd w:val="clear" w:fill="FFFFFF"/>
              </w:rPr>
              <w:t>Anti</w:t>
            </w:r>
            <w:r>
              <w:rPr>
                <w:rFonts w:hint="eastAsia" w:ascii="Segoe UI" w:hAnsi="Segoe UI" w:cs="Segoe UI"/>
                <w:i w:val="0"/>
                <w:iCs w:val="0"/>
                <w:caps w:val="0"/>
                <w:spacing w:val="0"/>
                <w:sz w:val="19"/>
                <w:szCs w:val="19"/>
                <w:shd w:val="clear" w:fill="FFFFFF"/>
                <w:lang w:val="en-US" w:eastAsia="zh-CN"/>
              </w:rPr>
              <w:t>-</w:t>
            </w:r>
            <w:r>
              <w:rPr>
                <w:rFonts w:ascii="Segoe UI" w:hAnsi="Segoe UI" w:eastAsia="Segoe UI" w:cs="Segoe UI"/>
                <w:i w:val="0"/>
                <w:iCs w:val="0"/>
                <w:caps w:val="0"/>
                <w:spacing w:val="0"/>
                <w:sz w:val="19"/>
                <w:szCs w:val="19"/>
                <w:shd w:val="clear" w:fill="FFFFFF"/>
              </w:rPr>
              <w:t>tumor</w:t>
            </w:r>
          </w:p>
        </w:tc>
        <w:tc>
          <w:tcPr>
            <w:tcW w:w="4540" w:type="dxa"/>
            <w:tcBorders>
              <w:top w:val="nil"/>
              <w:left w:val="nil"/>
              <w:bottom w:val="nil"/>
              <w:right w:val="nil"/>
            </w:tcBorders>
            <w:shd w:val="clear" w:color="auto" w:fill="FFFFFF"/>
            <w:noWrap w:val="0"/>
            <w:vAlign w:val="top"/>
          </w:tcPr>
          <w:p w14:paraId="41634D9B">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eastAsia" w:ascii="Segoe UI" w:hAnsi="Segoe UI" w:eastAsia="Segoe UI" w:cs="Segoe UI"/>
                <w:i w:val="0"/>
                <w:iCs w:val="0"/>
                <w:caps w:val="0"/>
                <w:spacing w:val="0"/>
                <w:sz w:val="19"/>
                <w:szCs w:val="19"/>
                <w:shd w:val="clear" w:fill="FFFFFF"/>
                <w:lang w:val="en-US" w:eastAsia="zh-CN"/>
              </w:rPr>
            </w:pPr>
            <w:r>
              <w:rPr>
                <w:rFonts w:ascii="Segoe UI" w:hAnsi="Segoe UI" w:eastAsia="Segoe UI" w:cs="Segoe UI"/>
                <w:i w:val="0"/>
                <w:iCs w:val="0"/>
                <w:caps w:val="0"/>
                <w:spacing w:val="0"/>
                <w:sz w:val="19"/>
                <w:szCs w:val="19"/>
                <w:shd w:val="clear" w:fill="FFFFFF"/>
              </w:rPr>
              <w:t>regulate the expression of pro-apoptotic proteins Bax, Cleaved caspase-3, and Cleaved PARP, inhibiting the expression of P62 and Bcl-2 and the growth of endometrial cancer (EC) cells; it suppresses the proliferation, migration, invasion, and epithelial-mesenchymal transition (EMT) of HepG2 and Hep3B liver cancer cells, promotes their apoptosis, and can induce inflammatory responses in human dendritic cells; it also inhibits the proliferation, migration, and invasion of Eca109 cells and human prostate cancer PC-3 cells, causing the PC-3 cell cycle to arrest in the S phase by downregulating the expression of multidrug resistance gene (MDR-1) and P-glycoprotein (P-gp), and modulating the phosphorylation of P65, PI3K, and AKT signaling pathways; additionally, it can upregulate the expression of APL, p-PI3K, p-AKT, and p-mTOR proteins, promoting the formation of osteogenic mineralization nodules in multiple myeloma (MM) bone marrow mesenchymal stem cells (BMMSCs)</w:t>
            </w:r>
            <w:r>
              <w:rPr>
                <w:rFonts w:hint="eastAsia" w:ascii="Segoe UI" w:hAnsi="Segoe UI" w:eastAsia="Segoe UI" w:cs="Segoe UI"/>
                <w:i w:val="0"/>
                <w:iCs w:val="0"/>
                <w:caps w:val="0"/>
                <w:spacing w:val="0"/>
                <w:sz w:val="19"/>
                <w:szCs w:val="19"/>
                <w:shd w:val="clear" w:fill="FFFFFF"/>
                <w:lang w:val="en-US" w:eastAsia="zh-CN"/>
              </w:rPr>
              <w:t>​</w:t>
            </w:r>
          </w:p>
        </w:tc>
        <w:tc>
          <w:tcPr>
            <w:tcW w:w="4120" w:type="dxa"/>
            <w:tcBorders>
              <w:top w:val="nil"/>
              <w:left w:val="nil"/>
              <w:bottom w:val="nil"/>
              <w:right w:val="nil"/>
            </w:tcBorders>
            <w:shd w:val="clear" w:color="auto" w:fill="FFFFFF"/>
            <w:noWrap w:val="0"/>
            <w:vAlign w:val="top"/>
          </w:tcPr>
          <w:p w14:paraId="60486AB2">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eastAsia" w:ascii="Segoe UI" w:hAnsi="Segoe UI" w:eastAsia="Segoe UI" w:cs="Segoe UI"/>
                <w:i w:val="0"/>
                <w:iCs w:val="0"/>
                <w:caps w:val="0"/>
                <w:spacing w:val="0"/>
                <w:sz w:val="19"/>
                <w:szCs w:val="19"/>
                <w:shd w:val="clear" w:fill="FFFFFF"/>
                <w:lang w:val="en-US" w:eastAsia="zh-CN"/>
              </w:rPr>
            </w:pPr>
            <w:r>
              <w:rPr>
                <w:rFonts w:ascii="Segoe UI" w:hAnsi="Segoe UI" w:eastAsia="Segoe UI" w:cs="Segoe UI"/>
                <w:i w:val="0"/>
                <w:iCs w:val="0"/>
                <w:caps w:val="0"/>
                <w:spacing w:val="0"/>
                <w:sz w:val="19"/>
                <w:szCs w:val="19"/>
                <w:shd w:val="clear" w:fill="FFFFFF"/>
              </w:rPr>
              <w:t>regulate the expression of IL-6, IL-1β, and TNF-α in dendritic cells (DCs); downregulate the expression of IL-1, IL-6, TNF-α, and TGF-β in Eca109 cells while upregulating IL-10 expression, and reduce the expression of NF-κB signaling pathway proteins by inhibiting TLR4 protein; it is also related to the regulation of PI3K/AKT and NF-κB signaling pathways; it can activate the PI3K, AKT, and mTOR signaling pathways.</w:t>
            </w:r>
          </w:p>
        </w:tc>
        <w:tc>
          <w:tcPr>
            <w:tcW w:w="1272" w:type="dxa"/>
            <w:tcBorders>
              <w:top w:val="nil"/>
              <w:left w:val="nil"/>
              <w:bottom w:val="nil"/>
              <w:right w:val="nil"/>
            </w:tcBorders>
            <w:shd w:val="clear" w:color="auto" w:fill="FFFFFF"/>
            <w:noWrap w:val="0"/>
            <w:vAlign w:val="top"/>
          </w:tcPr>
          <w:p w14:paraId="1ED3BA4E">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default" w:ascii="Times New Roman" w:hAnsi="Times New Roman" w:eastAsia="宋体" w:cs="Times New Roman"/>
                <w:b w:val="0"/>
                <w:color w:val="auto"/>
                <w:sz w:val="21"/>
                <w:szCs w:val="21"/>
                <w:lang w:val="en-US" w:eastAsia="zh-CN" w:bidi="ar-SA"/>
              </w:rPr>
            </w:pPr>
            <w:r>
              <w:rPr>
                <w:rFonts w:hint="eastAsia" w:cs="Times New Roman"/>
                <w:b w:val="0"/>
                <w:color w:val="auto"/>
                <w:sz w:val="21"/>
                <w:szCs w:val="21"/>
                <w:lang w:val="en-US" w:eastAsia="zh-CN" w:bidi="ar-SA"/>
              </w:rPr>
              <w:t>[3,86-89]</w:t>
            </w:r>
          </w:p>
        </w:tc>
      </w:tr>
      <w:tr w14:paraId="69DE4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5" w:type="dxa"/>
            <w:tcBorders>
              <w:top w:val="nil"/>
              <w:left w:val="nil"/>
              <w:bottom w:val="nil"/>
              <w:right w:val="nil"/>
            </w:tcBorders>
            <w:shd w:val="clear" w:color="auto" w:fill="FFFFFF"/>
            <w:noWrap w:val="0"/>
            <w:vAlign w:val="top"/>
          </w:tcPr>
          <w:p w14:paraId="43F3C8BA">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eastAsia" w:ascii="Segoe UI" w:hAnsi="Segoe UI" w:eastAsia="Segoe UI" w:cs="Segoe UI"/>
                <w:i w:val="0"/>
                <w:iCs w:val="0"/>
                <w:caps w:val="0"/>
                <w:spacing w:val="0"/>
                <w:sz w:val="19"/>
                <w:szCs w:val="19"/>
                <w:shd w:val="clear" w:fill="FFFFFF"/>
                <w:lang w:val="en-US" w:eastAsia="zh-CN"/>
              </w:rPr>
            </w:pPr>
          </w:p>
        </w:tc>
        <w:tc>
          <w:tcPr>
            <w:tcW w:w="1642" w:type="dxa"/>
            <w:tcBorders>
              <w:top w:val="nil"/>
              <w:left w:val="nil"/>
              <w:bottom w:val="nil"/>
              <w:right w:val="nil"/>
            </w:tcBorders>
            <w:shd w:val="clear" w:color="auto" w:fill="FFFFFF"/>
            <w:noWrap w:val="0"/>
            <w:vAlign w:val="top"/>
          </w:tcPr>
          <w:p w14:paraId="789BDB7F">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eastAsia" w:ascii="Segoe UI" w:hAnsi="Segoe UI" w:eastAsia="Segoe UI" w:cs="Segoe UI"/>
                <w:i w:val="0"/>
                <w:iCs w:val="0"/>
                <w:caps w:val="0"/>
                <w:spacing w:val="0"/>
                <w:sz w:val="19"/>
                <w:szCs w:val="19"/>
                <w:shd w:val="clear" w:fill="FFFFFF"/>
                <w:lang w:val="en-US" w:eastAsia="zh-CN"/>
              </w:rPr>
            </w:pPr>
            <w:r>
              <w:rPr>
                <w:rFonts w:ascii="Segoe UI" w:hAnsi="Segoe UI" w:eastAsia="Segoe UI" w:cs="Segoe UI"/>
                <w:i w:val="0"/>
                <w:iCs w:val="0"/>
                <w:caps w:val="0"/>
                <w:spacing w:val="0"/>
                <w:sz w:val="19"/>
                <w:szCs w:val="19"/>
                <w:shd w:val="clear" w:fill="FFFFFF"/>
              </w:rPr>
              <w:t>Improvement of Osteoporosis</w:t>
            </w:r>
          </w:p>
        </w:tc>
        <w:tc>
          <w:tcPr>
            <w:tcW w:w="4540" w:type="dxa"/>
            <w:tcBorders>
              <w:top w:val="nil"/>
              <w:left w:val="nil"/>
              <w:bottom w:val="nil"/>
              <w:right w:val="nil"/>
            </w:tcBorders>
            <w:shd w:val="clear" w:color="auto" w:fill="FFFFFF"/>
            <w:noWrap w:val="0"/>
            <w:vAlign w:val="top"/>
          </w:tcPr>
          <w:p w14:paraId="201B504B">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eastAsia" w:ascii="Segoe UI" w:hAnsi="Segoe UI" w:eastAsia="Segoe UI" w:cs="Segoe UI"/>
                <w:i w:val="0"/>
                <w:iCs w:val="0"/>
                <w:caps w:val="0"/>
                <w:spacing w:val="0"/>
                <w:sz w:val="19"/>
                <w:szCs w:val="19"/>
                <w:shd w:val="clear" w:fill="FFFFFF"/>
                <w:lang w:val="en-US" w:eastAsia="zh-CN"/>
              </w:rPr>
            </w:pPr>
            <w:r>
              <w:rPr>
                <w:rFonts w:ascii="Segoe UI" w:hAnsi="Segoe UI" w:eastAsia="Segoe UI" w:cs="Segoe UI"/>
                <w:i w:val="0"/>
                <w:iCs w:val="0"/>
                <w:caps w:val="0"/>
                <w:spacing w:val="0"/>
                <w:sz w:val="19"/>
                <w:szCs w:val="19"/>
                <w:shd w:val="clear" w:fill="FFFFFF"/>
              </w:rPr>
              <w:t>High - dose polygonatum polysaccharide can reduce bone loss and the decline of bone mineral density in rats and improve the morphology of bone microstructure.</w:t>
            </w:r>
          </w:p>
        </w:tc>
        <w:tc>
          <w:tcPr>
            <w:tcW w:w="4120" w:type="dxa"/>
            <w:tcBorders>
              <w:top w:val="nil"/>
              <w:left w:val="nil"/>
              <w:bottom w:val="nil"/>
              <w:right w:val="nil"/>
            </w:tcBorders>
            <w:shd w:val="clear" w:color="auto" w:fill="FFFFFF"/>
            <w:noWrap w:val="0"/>
            <w:vAlign w:val="top"/>
          </w:tcPr>
          <w:p w14:paraId="7F26EADB">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eastAsia" w:ascii="Segoe UI" w:hAnsi="Segoe UI" w:eastAsia="Segoe UI" w:cs="Segoe UI"/>
                <w:i w:val="0"/>
                <w:iCs w:val="0"/>
                <w:caps w:val="0"/>
                <w:spacing w:val="0"/>
                <w:sz w:val="19"/>
                <w:szCs w:val="19"/>
                <w:shd w:val="clear" w:fill="FFFFFF"/>
                <w:lang w:val="en-US" w:eastAsia="zh-CN"/>
              </w:rPr>
            </w:pPr>
            <w:r>
              <w:rPr>
                <w:rFonts w:ascii="Segoe UI" w:hAnsi="Segoe UI" w:eastAsia="Segoe UI" w:cs="Segoe UI"/>
                <w:i w:val="0"/>
                <w:iCs w:val="0"/>
                <w:caps w:val="0"/>
                <w:spacing w:val="0"/>
                <w:sz w:val="19"/>
                <w:szCs w:val="19"/>
                <w:shd w:val="clear" w:fill="FFFFFF"/>
              </w:rPr>
              <w:t>related to the effects of regulating the expression of osteogenic genes (alkaline phosphatase, RUNX2, Col1a1, osteocalcin) and inhibiting the expression of osteoclastic genes ACP5 and CTSK.</w:t>
            </w:r>
          </w:p>
        </w:tc>
        <w:tc>
          <w:tcPr>
            <w:tcW w:w="1272" w:type="dxa"/>
            <w:tcBorders>
              <w:top w:val="nil"/>
              <w:left w:val="nil"/>
              <w:bottom w:val="nil"/>
              <w:right w:val="nil"/>
            </w:tcBorders>
            <w:shd w:val="clear" w:color="auto" w:fill="FFFFFF"/>
            <w:noWrap w:val="0"/>
            <w:vAlign w:val="top"/>
          </w:tcPr>
          <w:p w14:paraId="67D3B088">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default" w:ascii="Times New Roman" w:hAnsi="Times New Roman" w:eastAsia="宋体" w:cs="Times New Roman"/>
                <w:b w:val="0"/>
                <w:color w:val="auto"/>
                <w:sz w:val="21"/>
                <w:szCs w:val="21"/>
                <w:lang w:val="en-US" w:eastAsia="zh-CN" w:bidi="ar-SA"/>
              </w:rPr>
            </w:pPr>
            <w:r>
              <w:rPr>
                <w:rFonts w:hint="eastAsia" w:cs="Times New Roman"/>
                <w:b w:val="0"/>
                <w:color w:val="auto"/>
                <w:sz w:val="21"/>
                <w:szCs w:val="21"/>
                <w:lang w:val="en-US" w:eastAsia="zh-CN" w:bidi="ar-SA"/>
              </w:rPr>
              <w:t>[95]</w:t>
            </w:r>
          </w:p>
        </w:tc>
      </w:tr>
      <w:tr w14:paraId="0920A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5" w:type="dxa"/>
            <w:tcBorders>
              <w:top w:val="nil"/>
              <w:left w:val="nil"/>
              <w:bottom w:val="nil"/>
              <w:right w:val="nil"/>
            </w:tcBorders>
            <w:shd w:val="clear" w:color="auto" w:fill="FFFFFF"/>
            <w:noWrap w:val="0"/>
            <w:vAlign w:val="top"/>
          </w:tcPr>
          <w:p w14:paraId="17E9A017">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default" w:ascii="Segoe UI" w:hAnsi="Segoe UI" w:eastAsia="Segoe UI" w:cs="Segoe UI"/>
                <w:i w:val="0"/>
                <w:iCs w:val="0"/>
                <w:caps w:val="0"/>
                <w:spacing w:val="0"/>
                <w:sz w:val="19"/>
                <w:szCs w:val="19"/>
                <w:shd w:val="clear" w:fill="FFFFFF"/>
                <w:lang w:val="en-US" w:eastAsia="zh-CN"/>
              </w:rPr>
            </w:pPr>
            <w:r>
              <w:rPr>
                <w:rFonts w:hint="default" w:ascii="Segoe UI" w:hAnsi="Segoe UI" w:eastAsia="Segoe UI" w:cs="Segoe UI"/>
                <w:i w:val="0"/>
                <w:iCs w:val="0"/>
                <w:caps w:val="0"/>
                <w:spacing w:val="0"/>
                <w:sz w:val="19"/>
                <w:szCs w:val="19"/>
                <w:shd w:val="clear" w:fill="FFFFFF"/>
                <w:lang w:val="en-US" w:eastAsia="zh-CN"/>
              </w:rPr>
              <w:t>Saponins</w:t>
            </w:r>
          </w:p>
        </w:tc>
        <w:tc>
          <w:tcPr>
            <w:tcW w:w="1642" w:type="dxa"/>
            <w:tcBorders>
              <w:top w:val="nil"/>
              <w:left w:val="nil"/>
              <w:bottom w:val="nil"/>
              <w:right w:val="nil"/>
            </w:tcBorders>
            <w:shd w:val="clear" w:color="auto" w:fill="FFFFFF"/>
            <w:noWrap w:val="0"/>
            <w:vAlign w:val="top"/>
          </w:tcPr>
          <w:p w14:paraId="1A964A7F">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default" w:ascii="Segoe UI" w:hAnsi="Segoe UI" w:eastAsia="Segoe UI" w:cs="Segoe UI"/>
                <w:i w:val="0"/>
                <w:iCs w:val="0"/>
                <w:caps w:val="0"/>
                <w:spacing w:val="0"/>
                <w:sz w:val="19"/>
                <w:szCs w:val="19"/>
                <w:shd w:val="clear" w:fill="FFFFFF"/>
                <w:lang w:val="en-US" w:eastAsia="zh-CN"/>
              </w:rPr>
            </w:pPr>
            <w:r>
              <w:rPr>
                <w:rFonts w:hint="eastAsia" w:ascii="Segoe UI" w:hAnsi="Segoe UI" w:eastAsia="Segoe UI" w:cs="Segoe UI"/>
                <w:i w:val="0"/>
                <w:iCs w:val="0"/>
                <w:caps w:val="0"/>
                <w:spacing w:val="0"/>
                <w:sz w:val="19"/>
                <w:szCs w:val="19"/>
                <w:shd w:val="clear" w:fill="FFFFFF"/>
                <w:lang w:val="en-US" w:eastAsia="zh-CN"/>
              </w:rPr>
              <w:t>Anti-aging</w:t>
            </w:r>
          </w:p>
        </w:tc>
        <w:tc>
          <w:tcPr>
            <w:tcW w:w="4540" w:type="dxa"/>
            <w:tcBorders>
              <w:top w:val="nil"/>
              <w:left w:val="nil"/>
              <w:bottom w:val="nil"/>
              <w:right w:val="nil"/>
            </w:tcBorders>
            <w:shd w:val="clear" w:color="auto" w:fill="FFFFFF"/>
            <w:noWrap w:val="0"/>
            <w:vAlign w:val="top"/>
          </w:tcPr>
          <w:p w14:paraId="4074EB78">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eastAsia" w:ascii="Segoe UI" w:hAnsi="Segoe UI" w:eastAsia="Segoe UI" w:cs="Segoe UI"/>
                <w:i w:val="0"/>
                <w:iCs w:val="0"/>
                <w:caps w:val="0"/>
                <w:spacing w:val="0"/>
                <w:sz w:val="19"/>
                <w:szCs w:val="19"/>
                <w:shd w:val="clear" w:fill="FFFFFF"/>
                <w:lang w:val="en-US" w:eastAsia="zh-CN"/>
              </w:rPr>
            </w:pPr>
            <w:r>
              <w:rPr>
                <w:rFonts w:ascii="Segoe UI" w:hAnsi="Segoe UI" w:eastAsia="Segoe UI" w:cs="Segoe UI"/>
                <w:i w:val="0"/>
                <w:iCs w:val="0"/>
                <w:caps w:val="0"/>
                <w:spacing w:val="0"/>
                <w:sz w:val="19"/>
                <w:szCs w:val="19"/>
                <w:shd w:val="clear" w:fill="FFFFFF"/>
              </w:rPr>
              <w:t>promote the localization of SKN - 1 into the nucleus, increase the expression of antioxidant genes gst - 4 and sod - 3, reduce the level of intracellular reactive oxygen species (ROS), and prolong the lifespan of Caenorhabditis elegans.</w:t>
            </w:r>
          </w:p>
        </w:tc>
        <w:tc>
          <w:tcPr>
            <w:tcW w:w="4120" w:type="dxa"/>
            <w:tcBorders>
              <w:top w:val="nil"/>
              <w:left w:val="nil"/>
              <w:bottom w:val="nil"/>
              <w:right w:val="nil"/>
            </w:tcBorders>
            <w:shd w:val="clear" w:color="auto" w:fill="FFFFFF"/>
            <w:noWrap w:val="0"/>
            <w:vAlign w:val="top"/>
          </w:tcPr>
          <w:p w14:paraId="24DFDF57">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eastAsia" w:ascii="Segoe UI" w:hAnsi="Segoe UI" w:eastAsia="Segoe UI" w:cs="Segoe UI"/>
                <w:i w:val="0"/>
                <w:iCs w:val="0"/>
                <w:caps w:val="0"/>
                <w:spacing w:val="0"/>
                <w:sz w:val="19"/>
                <w:szCs w:val="19"/>
                <w:shd w:val="clear" w:fill="FFFFFF"/>
                <w:lang w:val="en-US" w:eastAsia="zh-CN"/>
              </w:rPr>
            </w:pPr>
            <w:r>
              <w:rPr>
                <w:rFonts w:ascii="Segoe UI" w:hAnsi="Segoe UI" w:eastAsia="Segoe UI" w:cs="Segoe UI"/>
                <w:i w:val="0"/>
                <w:iCs w:val="0"/>
                <w:caps w:val="0"/>
                <w:spacing w:val="0"/>
                <w:sz w:val="19"/>
                <w:szCs w:val="19"/>
                <w:shd w:val="clear" w:fill="FFFFFF"/>
              </w:rPr>
              <w:t>Activation of the SKN - 1 signaling pathway</w:t>
            </w:r>
          </w:p>
        </w:tc>
        <w:tc>
          <w:tcPr>
            <w:tcW w:w="1272" w:type="dxa"/>
            <w:tcBorders>
              <w:top w:val="nil"/>
              <w:left w:val="nil"/>
              <w:bottom w:val="nil"/>
              <w:right w:val="nil"/>
            </w:tcBorders>
            <w:shd w:val="clear" w:color="auto" w:fill="FFFFFF"/>
            <w:noWrap w:val="0"/>
            <w:vAlign w:val="top"/>
          </w:tcPr>
          <w:p w14:paraId="7A70AF15">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default" w:ascii="Times New Roman" w:hAnsi="Times New Roman" w:eastAsia="宋体" w:cs="Times New Roman"/>
                <w:b w:val="0"/>
                <w:color w:val="auto"/>
                <w:sz w:val="21"/>
                <w:szCs w:val="21"/>
                <w:lang w:val="en-US" w:eastAsia="zh-CN" w:bidi="ar-SA"/>
              </w:rPr>
            </w:pPr>
            <w:r>
              <w:rPr>
                <w:rFonts w:hint="eastAsia" w:cs="Times New Roman"/>
                <w:b w:val="0"/>
                <w:color w:val="auto"/>
                <w:sz w:val="21"/>
                <w:szCs w:val="21"/>
                <w:lang w:val="en-US" w:eastAsia="zh-CN" w:bidi="ar-SA"/>
              </w:rPr>
              <w:t>[71]</w:t>
            </w:r>
          </w:p>
        </w:tc>
      </w:tr>
      <w:tr w14:paraId="0F456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5" w:type="dxa"/>
            <w:tcBorders>
              <w:top w:val="nil"/>
              <w:left w:val="nil"/>
              <w:bottom w:val="nil"/>
              <w:right w:val="nil"/>
            </w:tcBorders>
            <w:shd w:val="clear" w:color="auto" w:fill="FFFFFF"/>
            <w:noWrap w:val="0"/>
            <w:vAlign w:val="top"/>
          </w:tcPr>
          <w:p w14:paraId="570C0B24">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eastAsia" w:ascii="Segoe UI" w:hAnsi="Segoe UI" w:eastAsia="Segoe UI" w:cs="Segoe UI"/>
                <w:i w:val="0"/>
                <w:iCs w:val="0"/>
                <w:caps w:val="0"/>
                <w:spacing w:val="0"/>
                <w:sz w:val="19"/>
                <w:szCs w:val="19"/>
                <w:shd w:val="clear" w:fill="FFFFFF"/>
                <w:lang w:val="en-US" w:eastAsia="zh-CN"/>
              </w:rPr>
            </w:pPr>
          </w:p>
        </w:tc>
        <w:tc>
          <w:tcPr>
            <w:tcW w:w="1642" w:type="dxa"/>
            <w:tcBorders>
              <w:top w:val="nil"/>
              <w:left w:val="nil"/>
              <w:bottom w:val="nil"/>
              <w:right w:val="nil"/>
            </w:tcBorders>
            <w:shd w:val="clear" w:color="auto" w:fill="FFFFFF"/>
            <w:noWrap w:val="0"/>
            <w:vAlign w:val="top"/>
          </w:tcPr>
          <w:p w14:paraId="36A457F8">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default" w:ascii="Segoe UI" w:hAnsi="Segoe UI" w:eastAsia="Segoe UI" w:cs="Segoe UI"/>
                <w:i w:val="0"/>
                <w:iCs w:val="0"/>
                <w:caps w:val="0"/>
                <w:spacing w:val="0"/>
                <w:sz w:val="19"/>
                <w:szCs w:val="19"/>
                <w:shd w:val="clear" w:fill="FFFFFF"/>
                <w:lang w:val="en-US" w:eastAsia="zh-CN"/>
              </w:rPr>
            </w:pPr>
            <w:r>
              <w:rPr>
                <w:rFonts w:hint="default" w:ascii="Segoe UI" w:hAnsi="Segoe UI" w:eastAsia="Segoe UI" w:cs="Segoe UI"/>
                <w:i w:val="0"/>
                <w:iCs w:val="0"/>
                <w:caps w:val="0"/>
                <w:spacing w:val="0"/>
                <w:sz w:val="19"/>
                <w:szCs w:val="19"/>
                <w:shd w:val="clear" w:fill="FFFFFF"/>
                <w:lang w:val="en-US" w:eastAsia="zh-CN"/>
              </w:rPr>
              <w:t>Anti</w:t>
            </w:r>
            <w:r>
              <w:rPr>
                <w:rFonts w:hint="eastAsia" w:ascii="Segoe UI" w:hAnsi="Segoe UI" w:eastAsia="Segoe UI" w:cs="Segoe UI"/>
                <w:i w:val="0"/>
                <w:iCs w:val="0"/>
                <w:caps w:val="0"/>
                <w:spacing w:val="0"/>
                <w:sz w:val="19"/>
                <w:szCs w:val="19"/>
                <w:shd w:val="clear" w:fill="FFFFFF"/>
                <w:lang w:val="en-US" w:eastAsia="zh-CN"/>
              </w:rPr>
              <w:t>-</w:t>
            </w:r>
            <w:r>
              <w:rPr>
                <w:rFonts w:hint="default" w:ascii="Segoe UI" w:hAnsi="Segoe UI" w:eastAsia="Segoe UI" w:cs="Segoe UI"/>
                <w:i w:val="0"/>
                <w:iCs w:val="0"/>
                <w:caps w:val="0"/>
                <w:spacing w:val="0"/>
                <w:sz w:val="19"/>
                <w:szCs w:val="19"/>
                <w:shd w:val="clear" w:fill="FFFFFF"/>
                <w:lang w:val="en-US" w:eastAsia="zh-CN"/>
              </w:rPr>
              <w:t>tumor</w:t>
            </w:r>
          </w:p>
        </w:tc>
        <w:tc>
          <w:tcPr>
            <w:tcW w:w="4540" w:type="dxa"/>
            <w:tcBorders>
              <w:top w:val="nil"/>
              <w:left w:val="nil"/>
              <w:bottom w:val="nil"/>
              <w:right w:val="nil"/>
            </w:tcBorders>
            <w:shd w:val="clear" w:color="auto" w:fill="FFFFFF"/>
            <w:noWrap w:val="0"/>
            <w:vAlign w:val="top"/>
          </w:tcPr>
          <w:p w14:paraId="14ABF1C4">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eastAsia" w:ascii="Segoe UI" w:hAnsi="Segoe UI" w:eastAsia="Segoe UI" w:cs="Segoe UI"/>
                <w:i w:val="0"/>
                <w:iCs w:val="0"/>
                <w:caps w:val="0"/>
                <w:spacing w:val="0"/>
                <w:sz w:val="19"/>
                <w:szCs w:val="19"/>
                <w:shd w:val="clear" w:fill="FFFFFF"/>
                <w:lang w:val="en-US" w:eastAsia="zh-CN"/>
              </w:rPr>
            </w:pPr>
            <w:r>
              <w:rPr>
                <w:rFonts w:ascii="Segoe UI" w:hAnsi="Segoe UI" w:eastAsia="Segoe UI" w:cs="Segoe UI"/>
                <w:i w:val="0"/>
                <w:iCs w:val="0"/>
                <w:caps w:val="0"/>
                <w:spacing w:val="0"/>
                <w:sz w:val="19"/>
                <w:szCs w:val="19"/>
                <w:shd w:val="clear" w:fill="FFFFFF"/>
              </w:rPr>
              <w:t>The IC50 values of total Polygonatum saponins and dioscin against breast cancer MCF - 7 cells are 405.2 µg/mL and 1.52 µg/mL respectively</w:t>
            </w:r>
            <w:r>
              <w:rPr>
                <w:rFonts w:hint="eastAsia" w:ascii="Segoe UI" w:hAnsi="Segoe UI" w:cs="Segoe UI"/>
                <w:i w:val="0"/>
                <w:iCs w:val="0"/>
                <w:caps w:val="0"/>
                <w:spacing w:val="0"/>
                <w:sz w:val="19"/>
                <w:szCs w:val="19"/>
                <w:shd w:val="clear" w:fill="FFFFFF"/>
                <w:lang w:val="en-US" w:eastAsia="zh-CN"/>
              </w:rPr>
              <w:t xml:space="preserve"> (Positive control drug: Hydroxycamptothecin)</w:t>
            </w:r>
            <w:r>
              <w:rPr>
                <w:rFonts w:ascii="Segoe UI" w:hAnsi="Segoe UI" w:eastAsia="Segoe UI" w:cs="Segoe UI"/>
                <w:i w:val="0"/>
                <w:iCs w:val="0"/>
                <w:caps w:val="0"/>
                <w:spacing w:val="0"/>
                <w:sz w:val="19"/>
                <w:szCs w:val="19"/>
                <w:shd w:val="clear" w:fill="FFFFFF"/>
              </w:rPr>
              <w:t>.</w:t>
            </w:r>
          </w:p>
        </w:tc>
        <w:tc>
          <w:tcPr>
            <w:tcW w:w="4120" w:type="dxa"/>
            <w:tcBorders>
              <w:top w:val="nil"/>
              <w:left w:val="nil"/>
              <w:bottom w:val="nil"/>
              <w:right w:val="nil"/>
            </w:tcBorders>
            <w:shd w:val="clear" w:color="auto" w:fill="FFFFFF"/>
            <w:noWrap w:val="0"/>
            <w:vAlign w:val="top"/>
          </w:tcPr>
          <w:p w14:paraId="5084DEB7">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eastAsia" w:ascii="Segoe UI" w:hAnsi="Segoe UI" w:eastAsia="Segoe UI" w:cs="Segoe UI"/>
                <w:i w:val="0"/>
                <w:iCs w:val="0"/>
                <w:caps w:val="0"/>
                <w:spacing w:val="0"/>
                <w:sz w:val="19"/>
                <w:szCs w:val="19"/>
                <w:shd w:val="clear" w:fill="FFFFFF"/>
                <w:lang w:val="en-US" w:eastAsia="zh-CN"/>
              </w:rPr>
            </w:pPr>
            <w:r>
              <w:rPr>
                <w:rFonts w:ascii="Segoe UI" w:hAnsi="Segoe UI" w:eastAsia="Segoe UI" w:cs="Segoe UI"/>
                <w:i w:val="0"/>
                <w:iCs w:val="0"/>
                <w:caps w:val="0"/>
                <w:spacing w:val="0"/>
                <w:sz w:val="19"/>
                <w:szCs w:val="19"/>
                <w:shd w:val="clear" w:fill="FFFFFF"/>
              </w:rPr>
              <w:t>related to the regulation of the expression of Bax, Bcl - 2, Caspase - 3, Caspase - 9, and P53 proteins.</w:t>
            </w:r>
          </w:p>
        </w:tc>
        <w:tc>
          <w:tcPr>
            <w:tcW w:w="1272" w:type="dxa"/>
            <w:tcBorders>
              <w:top w:val="nil"/>
              <w:left w:val="nil"/>
              <w:bottom w:val="nil"/>
              <w:right w:val="nil"/>
            </w:tcBorders>
            <w:shd w:val="clear" w:color="auto" w:fill="FFFFFF"/>
            <w:noWrap w:val="0"/>
            <w:vAlign w:val="top"/>
          </w:tcPr>
          <w:p w14:paraId="450D492B">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default" w:ascii="Times New Roman" w:hAnsi="Times New Roman" w:eastAsia="宋体" w:cs="Times New Roman"/>
                <w:b w:val="0"/>
                <w:color w:val="auto"/>
                <w:sz w:val="21"/>
                <w:szCs w:val="21"/>
                <w:lang w:val="en-US" w:eastAsia="zh-CN" w:bidi="ar-SA"/>
              </w:rPr>
            </w:pPr>
            <w:r>
              <w:rPr>
                <w:rFonts w:hint="eastAsia" w:cs="Times New Roman"/>
                <w:b w:val="0"/>
                <w:color w:val="auto"/>
                <w:sz w:val="21"/>
                <w:szCs w:val="21"/>
                <w:lang w:val="en-US" w:eastAsia="zh-CN" w:bidi="ar-SA"/>
              </w:rPr>
              <w:t>[84]</w:t>
            </w:r>
          </w:p>
        </w:tc>
      </w:tr>
      <w:tr w14:paraId="0CFD8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5" w:type="dxa"/>
            <w:tcBorders>
              <w:top w:val="nil"/>
              <w:left w:val="nil"/>
              <w:bottom w:val="nil"/>
              <w:right w:val="nil"/>
            </w:tcBorders>
            <w:shd w:val="clear" w:color="auto" w:fill="FFFFFF"/>
            <w:noWrap w:val="0"/>
            <w:vAlign w:val="top"/>
          </w:tcPr>
          <w:p w14:paraId="61B4241A">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eastAsia" w:ascii="Segoe UI" w:hAnsi="Segoe UI" w:eastAsia="Segoe UI" w:cs="Segoe UI"/>
                <w:i w:val="0"/>
                <w:iCs w:val="0"/>
                <w:caps w:val="0"/>
                <w:spacing w:val="0"/>
                <w:sz w:val="19"/>
                <w:szCs w:val="19"/>
                <w:shd w:val="clear" w:fill="FFFFFF"/>
                <w:lang w:val="en-US" w:eastAsia="zh-CN"/>
              </w:rPr>
            </w:pPr>
            <w:r>
              <w:rPr>
                <w:rFonts w:ascii="Segoe UI" w:hAnsi="Segoe UI" w:eastAsia="Segoe UI" w:cs="Segoe UI"/>
                <w:i w:val="0"/>
                <w:iCs w:val="0"/>
                <w:caps w:val="0"/>
                <w:spacing w:val="0"/>
                <w:sz w:val="19"/>
                <w:szCs w:val="19"/>
                <w:shd w:val="clear" w:fill="FFFFFF"/>
              </w:rPr>
              <w:t>Flavonoids</w:t>
            </w:r>
          </w:p>
        </w:tc>
        <w:tc>
          <w:tcPr>
            <w:tcW w:w="1642" w:type="dxa"/>
            <w:tcBorders>
              <w:top w:val="nil"/>
              <w:left w:val="nil"/>
              <w:bottom w:val="nil"/>
              <w:right w:val="nil"/>
            </w:tcBorders>
            <w:shd w:val="clear" w:color="auto" w:fill="FFFFFF"/>
            <w:noWrap w:val="0"/>
            <w:vAlign w:val="top"/>
          </w:tcPr>
          <w:p w14:paraId="2B8ADC0E">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eastAsia" w:ascii="Segoe UI" w:hAnsi="Segoe UI" w:eastAsia="Segoe UI" w:cs="Segoe UI"/>
                <w:i w:val="0"/>
                <w:iCs w:val="0"/>
                <w:caps w:val="0"/>
                <w:spacing w:val="0"/>
                <w:sz w:val="19"/>
                <w:szCs w:val="19"/>
                <w:shd w:val="clear" w:fill="FFFFFF"/>
                <w:lang w:val="en-US" w:eastAsia="zh-CN"/>
              </w:rPr>
            </w:pPr>
            <w:r>
              <w:rPr>
                <w:rFonts w:ascii="Segoe UI" w:hAnsi="Segoe UI" w:eastAsia="Segoe UI" w:cs="Segoe UI"/>
                <w:i w:val="0"/>
                <w:iCs w:val="0"/>
                <w:caps w:val="0"/>
                <w:spacing w:val="0"/>
                <w:sz w:val="19"/>
                <w:szCs w:val="19"/>
                <w:shd w:val="clear" w:fill="FFFFFF"/>
              </w:rPr>
              <w:t>Antioxidant</w:t>
            </w:r>
          </w:p>
        </w:tc>
        <w:tc>
          <w:tcPr>
            <w:tcW w:w="4540" w:type="dxa"/>
            <w:tcBorders>
              <w:top w:val="nil"/>
              <w:left w:val="nil"/>
              <w:bottom w:val="nil"/>
              <w:right w:val="nil"/>
            </w:tcBorders>
            <w:shd w:val="clear" w:color="auto" w:fill="FFFFFF"/>
            <w:noWrap w:val="0"/>
            <w:vAlign w:val="top"/>
          </w:tcPr>
          <w:p w14:paraId="440715E7">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eastAsia" w:ascii="Segoe UI" w:hAnsi="Segoe UI" w:eastAsia="Segoe UI" w:cs="Segoe UI"/>
                <w:i w:val="0"/>
                <w:iCs w:val="0"/>
                <w:caps w:val="0"/>
                <w:spacing w:val="0"/>
                <w:sz w:val="19"/>
                <w:szCs w:val="19"/>
                <w:shd w:val="clear" w:fill="FFFFFF"/>
                <w:lang w:val="en-US" w:eastAsia="zh-CN"/>
              </w:rPr>
            </w:pPr>
            <w:r>
              <w:rPr>
                <w:rFonts w:ascii="Segoe UI" w:hAnsi="Segoe UI" w:eastAsia="Segoe UI" w:cs="Segoe UI"/>
                <w:i w:val="0"/>
                <w:iCs w:val="0"/>
                <w:caps w:val="0"/>
                <w:spacing w:val="0"/>
                <w:sz w:val="19"/>
                <w:szCs w:val="19"/>
                <w:shd w:val="clear" w:fill="FFFFFF"/>
              </w:rPr>
              <w:t>In vitro: The EC50 values of total flavonoids from Houttuynia cordata for DPPH free radicals, hydroxyl radicals, and ABTS are 11.20 µg/mL, 57.88 µg/mL, and 23.75 µg/mL</w:t>
            </w:r>
            <w:r>
              <w:rPr>
                <w:rFonts w:hint="eastAsia" w:ascii="Segoe UI" w:hAnsi="Segoe UI" w:cs="Segoe UI"/>
                <w:i w:val="0"/>
                <w:iCs w:val="0"/>
                <w:caps w:val="0"/>
                <w:spacing w:val="0"/>
                <w:sz w:val="19"/>
                <w:szCs w:val="19"/>
                <w:shd w:val="clear" w:fill="FFFFFF"/>
                <w:lang w:val="en-US" w:eastAsia="zh-CN"/>
              </w:rPr>
              <w:t xml:space="preserve"> </w:t>
            </w:r>
            <w:r>
              <w:rPr>
                <w:rFonts w:hint="eastAsia" w:ascii="Segoe UI" w:hAnsi="Segoe UI" w:eastAsia="Segoe UI" w:cs="Segoe UI"/>
                <w:i w:val="0"/>
                <w:iCs w:val="0"/>
                <w:caps w:val="0"/>
                <w:spacing w:val="0"/>
                <w:sz w:val="19"/>
                <w:szCs w:val="19"/>
                <w:shd w:val="clear" w:fill="FFFFFF"/>
              </w:rPr>
              <w:t>(positive control drug: vitamin C)</w:t>
            </w:r>
          </w:p>
        </w:tc>
        <w:tc>
          <w:tcPr>
            <w:tcW w:w="4120" w:type="dxa"/>
            <w:tcBorders>
              <w:top w:val="nil"/>
              <w:left w:val="nil"/>
              <w:bottom w:val="nil"/>
              <w:right w:val="nil"/>
            </w:tcBorders>
            <w:shd w:val="clear" w:color="auto" w:fill="FFFFFF"/>
            <w:noWrap w:val="0"/>
            <w:vAlign w:val="top"/>
          </w:tcPr>
          <w:p w14:paraId="28EE814A">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eastAsia" w:ascii="Segoe UI" w:hAnsi="Segoe UI" w:eastAsia="Segoe UI" w:cs="Segoe UI"/>
                <w:i w:val="0"/>
                <w:iCs w:val="0"/>
                <w:caps w:val="0"/>
                <w:spacing w:val="0"/>
                <w:sz w:val="19"/>
                <w:szCs w:val="19"/>
                <w:shd w:val="clear" w:fill="FFFFFF"/>
                <w:lang w:val="en-US" w:eastAsia="zh-CN"/>
              </w:rPr>
            </w:pPr>
            <w:bookmarkStart w:id="0" w:name="_GoBack"/>
            <w:bookmarkEnd w:id="0"/>
          </w:p>
        </w:tc>
        <w:tc>
          <w:tcPr>
            <w:tcW w:w="1272" w:type="dxa"/>
            <w:tcBorders>
              <w:top w:val="nil"/>
              <w:left w:val="nil"/>
              <w:bottom w:val="nil"/>
              <w:right w:val="nil"/>
            </w:tcBorders>
            <w:shd w:val="clear" w:color="auto" w:fill="FFFFFF"/>
            <w:noWrap w:val="0"/>
            <w:vAlign w:val="top"/>
          </w:tcPr>
          <w:p w14:paraId="23166047">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default" w:ascii="Times New Roman" w:hAnsi="Times New Roman" w:eastAsia="宋体" w:cs="Times New Roman"/>
                <w:b w:val="0"/>
                <w:color w:val="auto"/>
                <w:sz w:val="21"/>
                <w:szCs w:val="21"/>
                <w:lang w:val="en-US" w:eastAsia="zh-CN" w:bidi="ar-SA"/>
              </w:rPr>
            </w:pPr>
            <w:r>
              <w:rPr>
                <w:rFonts w:hint="eastAsia" w:cs="Times New Roman"/>
                <w:b w:val="0"/>
                <w:color w:val="auto"/>
                <w:sz w:val="21"/>
                <w:szCs w:val="21"/>
                <w:lang w:val="en-US" w:eastAsia="zh-CN" w:bidi="ar-SA"/>
              </w:rPr>
              <w:t>[47]</w:t>
            </w:r>
          </w:p>
        </w:tc>
      </w:tr>
      <w:tr w14:paraId="33A63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5" w:type="dxa"/>
            <w:tcBorders>
              <w:top w:val="nil"/>
              <w:left w:val="nil"/>
              <w:bottom w:val="nil"/>
              <w:right w:val="nil"/>
            </w:tcBorders>
            <w:shd w:val="clear" w:color="auto" w:fill="FFFFFF"/>
            <w:noWrap w:val="0"/>
            <w:vAlign w:val="top"/>
          </w:tcPr>
          <w:p w14:paraId="1FAD9DC9">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eastAsia" w:ascii="Segoe UI" w:hAnsi="Segoe UI" w:eastAsia="Segoe UI" w:cs="Segoe UI"/>
                <w:i w:val="0"/>
                <w:iCs w:val="0"/>
                <w:caps w:val="0"/>
                <w:spacing w:val="0"/>
                <w:sz w:val="19"/>
                <w:szCs w:val="19"/>
                <w:shd w:val="clear" w:fill="FFFFFF"/>
                <w:lang w:val="en-US" w:eastAsia="zh-CN"/>
              </w:rPr>
            </w:pPr>
          </w:p>
        </w:tc>
        <w:tc>
          <w:tcPr>
            <w:tcW w:w="1642" w:type="dxa"/>
            <w:tcBorders>
              <w:top w:val="nil"/>
              <w:left w:val="nil"/>
              <w:bottom w:val="nil"/>
              <w:right w:val="nil"/>
            </w:tcBorders>
            <w:shd w:val="clear" w:color="auto" w:fill="FFFFFF"/>
            <w:noWrap w:val="0"/>
            <w:vAlign w:val="top"/>
          </w:tcPr>
          <w:p w14:paraId="3BB27DE8">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eastAsia" w:ascii="Segoe UI" w:hAnsi="Segoe UI" w:eastAsia="Segoe UI" w:cs="Segoe UI"/>
                <w:i w:val="0"/>
                <w:iCs w:val="0"/>
                <w:caps w:val="0"/>
                <w:spacing w:val="0"/>
                <w:sz w:val="19"/>
                <w:szCs w:val="19"/>
                <w:shd w:val="clear" w:fill="FFFFFF"/>
                <w:lang w:val="en-US" w:eastAsia="zh-CN"/>
              </w:rPr>
            </w:pPr>
            <w:r>
              <w:rPr>
                <w:rFonts w:ascii="Segoe UI" w:hAnsi="Segoe UI" w:eastAsia="Segoe UI" w:cs="Segoe UI"/>
                <w:i w:val="0"/>
                <w:iCs w:val="0"/>
                <w:caps w:val="0"/>
                <w:spacing w:val="0"/>
                <w:sz w:val="19"/>
                <w:szCs w:val="19"/>
                <w:shd w:val="clear" w:fill="FFFFFF"/>
              </w:rPr>
              <w:t>Anti-fatigue</w:t>
            </w:r>
          </w:p>
        </w:tc>
        <w:tc>
          <w:tcPr>
            <w:tcW w:w="4540" w:type="dxa"/>
            <w:tcBorders>
              <w:top w:val="nil"/>
              <w:left w:val="nil"/>
              <w:bottom w:val="nil"/>
              <w:right w:val="nil"/>
            </w:tcBorders>
            <w:shd w:val="clear" w:color="auto" w:fill="FFFFFF"/>
            <w:noWrap w:val="0"/>
            <w:vAlign w:val="top"/>
          </w:tcPr>
          <w:p w14:paraId="481E3726">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eastAsia" w:ascii="Segoe UI" w:hAnsi="Segoe UI" w:eastAsia="Segoe UI" w:cs="Segoe UI"/>
                <w:i w:val="0"/>
                <w:iCs w:val="0"/>
                <w:caps w:val="0"/>
                <w:spacing w:val="0"/>
                <w:sz w:val="19"/>
                <w:szCs w:val="19"/>
                <w:shd w:val="clear" w:fill="FFFFFF"/>
                <w:lang w:val="en-US" w:eastAsia="zh-CN"/>
              </w:rPr>
            </w:pPr>
            <w:r>
              <w:rPr>
                <w:rFonts w:ascii="Segoe UI" w:hAnsi="Segoe UI" w:eastAsia="Segoe UI" w:cs="Segoe UI"/>
                <w:i w:val="0"/>
                <w:iCs w:val="0"/>
                <w:caps w:val="0"/>
                <w:spacing w:val="0"/>
                <w:sz w:val="19"/>
                <w:szCs w:val="19"/>
                <w:shd w:val="clear" w:fill="FFFFFF"/>
              </w:rPr>
              <w:t>In vivo: Promotes the recovery of lactic acid to normal levels in a short time, protects against lipid peroxidation, and alleviates lipid peroxidation damage.</w:t>
            </w:r>
          </w:p>
        </w:tc>
        <w:tc>
          <w:tcPr>
            <w:tcW w:w="4120" w:type="dxa"/>
            <w:tcBorders>
              <w:top w:val="nil"/>
              <w:left w:val="nil"/>
              <w:bottom w:val="nil"/>
              <w:right w:val="nil"/>
            </w:tcBorders>
            <w:shd w:val="clear" w:color="auto" w:fill="FFFFFF"/>
            <w:noWrap w:val="0"/>
            <w:vAlign w:val="top"/>
          </w:tcPr>
          <w:p w14:paraId="0CD260AC">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eastAsia" w:ascii="Segoe UI" w:hAnsi="Segoe UI" w:eastAsia="Segoe UI" w:cs="Segoe UI"/>
                <w:i w:val="0"/>
                <w:iCs w:val="0"/>
                <w:caps w:val="0"/>
                <w:spacing w:val="0"/>
                <w:sz w:val="19"/>
                <w:szCs w:val="19"/>
                <w:shd w:val="clear" w:fill="FFFFFF"/>
                <w:lang w:val="en-US" w:eastAsia="zh-CN"/>
              </w:rPr>
            </w:pPr>
          </w:p>
        </w:tc>
        <w:tc>
          <w:tcPr>
            <w:tcW w:w="1272" w:type="dxa"/>
            <w:tcBorders>
              <w:top w:val="nil"/>
              <w:left w:val="nil"/>
              <w:bottom w:val="nil"/>
              <w:right w:val="nil"/>
            </w:tcBorders>
            <w:shd w:val="clear" w:color="auto" w:fill="FFFFFF"/>
            <w:noWrap w:val="0"/>
            <w:vAlign w:val="top"/>
          </w:tcPr>
          <w:p w14:paraId="757FC48C">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default" w:ascii="Times New Roman" w:hAnsi="Times New Roman" w:eastAsia="宋体" w:cs="Times New Roman"/>
                <w:b w:val="0"/>
                <w:color w:val="auto"/>
                <w:sz w:val="21"/>
                <w:szCs w:val="21"/>
                <w:lang w:val="en-US" w:eastAsia="zh-CN" w:bidi="ar-SA"/>
              </w:rPr>
            </w:pPr>
            <w:r>
              <w:rPr>
                <w:rFonts w:hint="eastAsia" w:cs="Times New Roman"/>
                <w:b w:val="0"/>
                <w:color w:val="auto"/>
                <w:sz w:val="21"/>
                <w:szCs w:val="21"/>
                <w:lang w:val="en-US" w:eastAsia="zh-CN" w:bidi="ar-SA"/>
              </w:rPr>
              <w:t>[65]</w:t>
            </w:r>
          </w:p>
        </w:tc>
      </w:tr>
      <w:tr w14:paraId="16BC8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5" w:type="dxa"/>
            <w:tcBorders>
              <w:top w:val="nil"/>
              <w:left w:val="nil"/>
              <w:bottom w:val="nil"/>
              <w:right w:val="nil"/>
            </w:tcBorders>
            <w:shd w:val="clear" w:color="auto" w:fill="FFFFFF"/>
            <w:noWrap w:val="0"/>
            <w:vAlign w:val="top"/>
          </w:tcPr>
          <w:p w14:paraId="0DD0EBD9">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default" w:ascii="Segoe UI" w:hAnsi="Segoe UI" w:eastAsia="Segoe UI" w:cs="Segoe UI"/>
                <w:i w:val="0"/>
                <w:iCs w:val="0"/>
                <w:caps w:val="0"/>
                <w:spacing w:val="0"/>
                <w:sz w:val="19"/>
                <w:szCs w:val="19"/>
                <w:shd w:val="clear" w:fill="FFFFFF"/>
                <w:lang w:val="en-US" w:eastAsia="zh-CN"/>
              </w:rPr>
            </w:pPr>
            <w:r>
              <w:rPr>
                <w:rFonts w:hint="default" w:ascii="Segoe UI" w:hAnsi="Segoe UI" w:eastAsia="Segoe UI" w:cs="Segoe UI"/>
                <w:i w:val="0"/>
                <w:iCs w:val="0"/>
                <w:caps w:val="0"/>
                <w:spacing w:val="0"/>
                <w:sz w:val="19"/>
                <w:szCs w:val="19"/>
                <w:shd w:val="clear" w:fill="FFFFFF"/>
                <w:lang w:val="en-US" w:eastAsia="zh-CN"/>
              </w:rPr>
              <w:t>Processed Polygonati Rhizoma</w:t>
            </w:r>
          </w:p>
        </w:tc>
        <w:tc>
          <w:tcPr>
            <w:tcW w:w="1642" w:type="dxa"/>
            <w:tcBorders>
              <w:top w:val="nil"/>
              <w:left w:val="nil"/>
              <w:bottom w:val="nil"/>
              <w:right w:val="nil"/>
            </w:tcBorders>
            <w:shd w:val="clear" w:color="auto" w:fill="FFFFFF"/>
            <w:noWrap w:val="0"/>
            <w:vAlign w:val="top"/>
          </w:tcPr>
          <w:p w14:paraId="33BEDB9F">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default" w:ascii="Segoe UI" w:hAnsi="Segoe UI" w:eastAsia="Segoe UI" w:cs="Segoe UI"/>
                <w:i w:val="0"/>
                <w:iCs w:val="0"/>
                <w:caps w:val="0"/>
                <w:spacing w:val="0"/>
                <w:sz w:val="19"/>
                <w:szCs w:val="19"/>
                <w:shd w:val="clear" w:fill="FFFFFF"/>
                <w:lang w:val="en-US" w:eastAsia="zh-CN"/>
              </w:rPr>
            </w:pPr>
            <w:r>
              <w:rPr>
                <w:rFonts w:hint="default" w:ascii="Segoe UI" w:hAnsi="Segoe UI" w:eastAsia="Segoe UI" w:cs="Segoe UI"/>
                <w:i w:val="0"/>
                <w:iCs w:val="0"/>
                <w:caps w:val="0"/>
                <w:spacing w:val="0"/>
                <w:sz w:val="19"/>
                <w:szCs w:val="19"/>
                <w:shd w:val="clear" w:fill="FFFFFF"/>
                <w:lang w:val="en-US" w:eastAsia="zh-CN"/>
              </w:rPr>
              <w:t xml:space="preserve">Antioxidant </w:t>
            </w:r>
          </w:p>
        </w:tc>
        <w:tc>
          <w:tcPr>
            <w:tcW w:w="4540" w:type="dxa"/>
            <w:tcBorders>
              <w:top w:val="nil"/>
              <w:left w:val="nil"/>
              <w:bottom w:val="nil"/>
              <w:right w:val="nil"/>
            </w:tcBorders>
            <w:shd w:val="clear" w:color="auto" w:fill="FFFFFF"/>
            <w:noWrap w:val="0"/>
            <w:vAlign w:val="top"/>
          </w:tcPr>
          <w:p w14:paraId="2BDA2EE1">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eastAsia" w:ascii="Segoe UI" w:hAnsi="Segoe UI" w:eastAsia="Segoe UI" w:cs="Segoe UI"/>
                <w:i w:val="0"/>
                <w:iCs w:val="0"/>
                <w:caps w:val="0"/>
                <w:spacing w:val="0"/>
                <w:sz w:val="19"/>
                <w:szCs w:val="19"/>
                <w:shd w:val="clear" w:fill="FFFFFF"/>
                <w:lang w:val="en-US" w:eastAsia="zh-CN"/>
              </w:rPr>
            </w:pPr>
            <w:r>
              <w:rPr>
                <w:rFonts w:ascii="Segoe UI" w:hAnsi="Segoe UI" w:eastAsia="Segoe UI" w:cs="Segoe UI"/>
                <w:i w:val="0"/>
                <w:iCs w:val="0"/>
                <w:caps w:val="0"/>
                <w:spacing w:val="0"/>
                <w:sz w:val="19"/>
                <w:szCs w:val="19"/>
                <w:shd w:val="clear" w:fill="FFFFFF"/>
              </w:rPr>
              <w:t>In in - vitro and in - vivo experiments, after the wine - processing of Polygonati Rhizoma, the antioxidant activity of its oligosaccharides is enhanced. For Polygonati Cyrtonematis Rhizoma, with the increase in the number of steaming and sun - drying times during the processing, the scavenging ability against DPPH and ABTS free radicals is improved. After the solid - state fermentation of Polygonati Rhizoma polysaccharides, their in - vitro antioxidant activity is higher than that of the non - fermented ones.</w:t>
            </w:r>
          </w:p>
        </w:tc>
        <w:tc>
          <w:tcPr>
            <w:tcW w:w="4120" w:type="dxa"/>
            <w:tcBorders>
              <w:top w:val="nil"/>
              <w:left w:val="nil"/>
              <w:bottom w:val="nil"/>
              <w:right w:val="nil"/>
            </w:tcBorders>
            <w:shd w:val="clear" w:color="auto" w:fill="FFFFFF"/>
            <w:noWrap w:val="0"/>
            <w:vAlign w:val="top"/>
          </w:tcPr>
          <w:p w14:paraId="35772797">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eastAsia" w:ascii="Segoe UI" w:hAnsi="Segoe UI" w:eastAsia="Segoe UI" w:cs="Segoe UI"/>
                <w:i w:val="0"/>
                <w:iCs w:val="0"/>
                <w:caps w:val="0"/>
                <w:spacing w:val="0"/>
                <w:sz w:val="19"/>
                <w:szCs w:val="19"/>
                <w:shd w:val="clear" w:fill="FFFFFF"/>
                <w:lang w:val="en-US" w:eastAsia="zh-CN"/>
              </w:rPr>
            </w:pPr>
          </w:p>
        </w:tc>
        <w:tc>
          <w:tcPr>
            <w:tcW w:w="1272" w:type="dxa"/>
            <w:tcBorders>
              <w:top w:val="nil"/>
              <w:left w:val="nil"/>
              <w:bottom w:val="nil"/>
              <w:right w:val="nil"/>
            </w:tcBorders>
            <w:shd w:val="clear" w:color="auto" w:fill="FFFFFF"/>
            <w:noWrap w:val="0"/>
            <w:vAlign w:val="top"/>
          </w:tcPr>
          <w:p w14:paraId="6F05EE12">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default" w:ascii="Times New Roman" w:hAnsi="Times New Roman" w:eastAsia="宋体" w:cs="Times New Roman"/>
                <w:b w:val="0"/>
                <w:color w:val="auto"/>
                <w:sz w:val="21"/>
                <w:szCs w:val="21"/>
                <w:lang w:val="en-US" w:eastAsia="zh-CN" w:bidi="ar-SA"/>
              </w:rPr>
            </w:pPr>
            <w:r>
              <w:rPr>
                <w:rFonts w:hint="eastAsia" w:cs="Times New Roman"/>
                <w:b w:val="0"/>
                <w:color w:val="auto"/>
                <w:sz w:val="21"/>
                <w:szCs w:val="21"/>
                <w:lang w:val="en-US" w:eastAsia="zh-CN" w:bidi="ar-SA"/>
              </w:rPr>
              <w:t>[48-50]</w:t>
            </w:r>
          </w:p>
        </w:tc>
      </w:tr>
      <w:tr w14:paraId="1408A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5" w:type="dxa"/>
            <w:tcBorders>
              <w:top w:val="nil"/>
              <w:left w:val="nil"/>
              <w:bottom w:val="nil"/>
              <w:right w:val="nil"/>
            </w:tcBorders>
            <w:shd w:val="clear" w:color="auto" w:fill="FFFFFF"/>
            <w:noWrap w:val="0"/>
            <w:vAlign w:val="top"/>
          </w:tcPr>
          <w:p w14:paraId="54C971C0">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eastAsia" w:ascii="Segoe UI" w:hAnsi="Segoe UI" w:eastAsia="Segoe UI" w:cs="Segoe UI"/>
                <w:i w:val="0"/>
                <w:iCs w:val="0"/>
                <w:caps w:val="0"/>
                <w:spacing w:val="0"/>
                <w:sz w:val="19"/>
                <w:szCs w:val="19"/>
                <w:shd w:val="clear" w:fill="FFFFFF"/>
                <w:lang w:val="en-US" w:eastAsia="zh-CN"/>
              </w:rPr>
            </w:pPr>
          </w:p>
        </w:tc>
        <w:tc>
          <w:tcPr>
            <w:tcW w:w="1642" w:type="dxa"/>
            <w:tcBorders>
              <w:top w:val="nil"/>
              <w:left w:val="nil"/>
              <w:bottom w:val="nil"/>
              <w:right w:val="nil"/>
            </w:tcBorders>
            <w:shd w:val="clear" w:color="auto" w:fill="FFFFFF"/>
            <w:noWrap w:val="0"/>
            <w:vAlign w:val="top"/>
          </w:tcPr>
          <w:p w14:paraId="56E077D2">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ascii="Segoe UI" w:hAnsi="Segoe UI" w:eastAsia="Segoe UI" w:cs="Segoe UI"/>
                <w:i w:val="0"/>
                <w:iCs w:val="0"/>
                <w:caps w:val="0"/>
                <w:spacing w:val="0"/>
                <w:sz w:val="19"/>
                <w:szCs w:val="19"/>
                <w:shd w:val="clear" w:fill="FFFFFF"/>
              </w:rPr>
            </w:pPr>
            <w:r>
              <w:rPr>
                <w:rFonts w:hint="default" w:ascii="Segoe UI" w:hAnsi="Segoe UI" w:eastAsia="Segoe UI" w:cs="Segoe UI"/>
                <w:i w:val="0"/>
                <w:iCs w:val="0"/>
                <w:caps w:val="0"/>
                <w:spacing w:val="0"/>
                <w:sz w:val="19"/>
                <w:szCs w:val="19"/>
                <w:shd w:val="clear" w:fill="FFFFFF"/>
              </w:rPr>
              <w:t>Anti</w:t>
            </w:r>
            <w:r>
              <w:rPr>
                <w:rFonts w:hint="eastAsia" w:ascii="Segoe UI" w:hAnsi="Segoe UI" w:cs="Segoe UI"/>
                <w:i w:val="0"/>
                <w:iCs w:val="0"/>
                <w:caps w:val="0"/>
                <w:spacing w:val="0"/>
                <w:sz w:val="19"/>
                <w:szCs w:val="19"/>
                <w:shd w:val="clear" w:fill="FFFFFF"/>
                <w:lang w:val="en-US" w:eastAsia="zh-CN"/>
              </w:rPr>
              <w:t>-</w:t>
            </w:r>
            <w:r>
              <w:rPr>
                <w:rFonts w:hint="default" w:ascii="Segoe UI" w:hAnsi="Segoe UI" w:eastAsia="Segoe UI" w:cs="Segoe UI"/>
                <w:i w:val="0"/>
                <w:iCs w:val="0"/>
                <w:caps w:val="0"/>
                <w:spacing w:val="0"/>
                <w:sz w:val="19"/>
                <w:szCs w:val="19"/>
                <w:shd w:val="clear" w:fill="FFFFFF"/>
              </w:rPr>
              <w:t>aging</w:t>
            </w:r>
          </w:p>
          <w:p w14:paraId="2E35F88B">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default" w:ascii="Segoe UI" w:hAnsi="Segoe UI" w:eastAsia="Segoe UI" w:cs="Segoe UI"/>
                <w:i w:val="0"/>
                <w:iCs w:val="0"/>
                <w:caps w:val="0"/>
                <w:spacing w:val="0"/>
                <w:sz w:val="19"/>
                <w:szCs w:val="19"/>
                <w:shd w:val="clear" w:fill="FFFFFF"/>
                <w:lang w:val="en-US" w:eastAsia="zh-CN"/>
              </w:rPr>
            </w:pPr>
          </w:p>
        </w:tc>
        <w:tc>
          <w:tcPr>
            <w:tcW w:w="4540" w:type="dxa"/>
            <w:tcBorders>
              <w:top w:val="nil"/>
              <w:left w:val="nil"/>
              <w:bottom w:val="nil"/>
              <w:right w:val="nil"/>
            </w:tcBorders>
            <w:shd w:val="clear" w:color="auto" w:fill="FFFFFF"/>
            <w:noWrap w:val="0"/>
            <w:vAlign w:val="top"/>
          </w:tcPr>
          <w:p w14:paraId="3C649601">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eastAsia" w:ascii="Segoe UI" w:hAnsi="Segoe UI" w:eastAsia="Segoe UI" w:cs="Segoe UI"/>
                <w:i w:val="0"/>
                <w:iCs w:val="0"/>
                <w:caps w:val="0"/>
                <w:spacing w:val="0"/>
                <w:sz w:val="19"/>
                <w:szCs w:val="19"/>
                <w:shd w:val="clear" w:fill="FFFFFF"/>
                <w:lang w:val="en-US" w:eastAsia="zh-CN"/>
              </w:rPr>
            </w:pPr>
            <w:r>
              <w:rPr>
                <w:rFonts w:ascii="Segoe UI" w:hAnsi="Segoe UI" w:eastAsia="Segoe UI" w:cs="Segoe UI"/>
                <w:i w:val="0"/>
                <w:iCs w:val="0"/>
                <w:caps w:val="0"/>
                <w:spacing w:val="0"/>
                <w:sz w:val="19"/>
                <w:szCs w:val="19"/>
                <w:shd w:val="clear" w:fill="FFFFFF"/>
              </w:rPr>
              <w:t>he water decoction of wine - processed Polygonati Rhizoma can increase the average lifespan of Caenorhabditis elegans</w:t>
            </w:r>
          </w:p>
        </w:tc>
        <w:tc>
          <w:tcPr>
            <w:tcW w:w="4120" w:type="dxa"/>
            <w:tcBorders>
              <w:top w:val="nil"/>
              <w:left w:val="nil"/>
              <w:bottom w:val="nil"/>
              <w:right w:val="nil"/>
            </w:tcBorders>
            <w:shd w:val="clear" w:color="auto" w:fill="FFFFFF"/>
            <w:noWrap w:val="0"/>
            <w:vAlign w:val="top"/>
          </w:tcPr>
          <w:p w14:paraId="3C4B390B">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eastAsia" w:ascii="Segoe UI" w:hAnsi="Segoe UI" w:eastAsia="Segoe UI" w:cs="Segoe UI"/>
                <w:i w:val="0"/>
                <w:iCs w:val="0"/>
                <w:caps w:val="0"/>
                <w:spacing w:val="0"/>
                <w:sz w:val="19"/>
                <w:szCs w:val="19"/>
                <w:shd w:val="clear" w:fill="FFFFFF"/>
                <w:lang w:val="en-US" w:eastAsia="zh-CN"/>
              </w:rPr>
            </w:pPr>
            <w:r>
              <w:rPr>
                <w:rFonts w:ascii="Segoe UI" w:hAnsi="Segoe UI" w:eastAsia="Segoe UI" w:cs="Segoe UI"/>
                <w:i w:val="0"/>
                <w:iCs w:val="0"/>
                <w:caps w:val="0"/>
                <w:spacing w:val="0"/>
                <w:sz w:val="19"/>
                <w:szCs w:val="19"/>
                <w:shd w:val="clear" w:fill="FFFFFF"/>
              </w:rPr>
              <w:t>reducing the level of reactive oxygen species (ROS) in the nematodes and promoting the nuclear expression of daf - 16.</w:t>
            </w:r>
          </w:p>
        </w:tc>
        <w:tc>
          <w:tcPr>
            <w:tcW w:w="1272" w:type="dxa"/>
            <w:tcBorders>
              <w:top w:val="nil"/>
              <w:left w:val="nil"/>
              <w:bottom w:val="nil"/>
              <w:right w:val="nil"/>
            </w:tcBorders>
            <w:shd w:val="clear" w:color="auto" w:fill="FFFFFF"/>
            <w:noWrap w:val="0"/>
            <w:vAlign w:val="top"/>
          </w:tcPr>
          <w:p w14:paraId="67E94C17">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default" w:ascii="Times New Roman" w:hAnsi="Times New Roman" w:eastAsia="宋体" w:cs="Times New Roman"/>
                <w:b w:val="0"/>
                <w:color w:val="auto"/>
                <w:sz w:val="21"/>
                <w:szCs w:val="21"/>
                <w:lang w:val="en-US" w:eastAsia="zh-CN" w:bidi="ar-SA"/>
              </w:rPr>
            </w:pPr>
            <w:r>
              <w:rPr>
                <w:rFonts w:hint="eastAsia" w:cs="Times New Roman"/>
                <w:b w:val="0"/>
                <w:color w:val="auto"/>
                <w:sz w:val="21"/>
                <w:szCs w:val="21"/>
                <w:lang w:val="en-US" w:eastAsia="zh-CN" w:bidi="ar-SA"/>
              </w:rPr>
              <w:t>[70]</w:t>
            </w:r>
          </w:p>
        </w:tc>
      </w:tr>
      <w:tr w14:paraId="16BA9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5" w:type="dxa"/>
            <w:tcBorders>
              <w:top w:val="nil"/>
              <w:left w:val="nil"/>
              <w:bottom w:val="nil"/>
              <w:right w:val="nil"/>
            </w:tcBorders>
            <w:shd w:val="clear" w:color="auto" w:fill="FFFFFF"/>
            <w:noWrap w:val="0"/>
            <w:vAlign w:val="top"/>
          </w:tcPr>
          <w:p w14:paraId="2AEBDFC7">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eastAsia" w:ascii="Segoe UI" w:hAnsi="Segoe UI" w:eastAsia="Segoe UI" w:cs="Segoe UI"/>
                <w:i w:val="0"/>
                <w:iCs w:val="0"/>
                <w:caps w:val="0"/>
                <w:spacing w:val="0"/>
                <w:sz w:val="19"/>
                <w:szCs w:val="19"/>
                <w:shd w:val="clear" w:fill="FFFFFF"/>
                <w:lang w:val="en-US" w:eastAsia="zh-CN"/>
              </w:rPr>
            </w:pPr>
          </w:p>
        </w:tc>
        <w:tc>
          <w:tcPr>
            <w:tcW w:w="1642" w:type="dxa"/>
            <w:tcBorders>
              <w:top w:val="nil"/>
              <w:left w:val="nil"/>
              <w:bottom w:val="nil"/>
              <w:right w:val="nil"/>
            </w:tcBorders>
            <w:shd w:val="clear" w:color="auto" w:fill="FFFFFF"/>
            <w:noWrap w:val="0"/>
            <w:vAlign w:val="top"/>
          </w:tcPr>
          <w:p w14:paraId="2737A04C">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default" w:ascii="Segoe UI" w:hAnsi="Segoe UI" w:eastAsia="Segoe UI" w:cs="Segoe UI"/>
                <w:i w:val="0"/>
                <w:iCs w:val="0"/>
                <w:caps w:val="0"/>
                <w:spacing w:val="0"/>
                <w:sz w:val="19"/>
                <w:szCs w:val="19"/>
                <w:shd w:val="clear" w:fill="FFFFFF"/>
                <w:lang w:val="en-US" w:eastAsia="zh-CN"/>
              </w:rPr>
            </w:pPr>
            <w:r>
              <w:rPr>
                <w:rFonts w:ascii="Segoe UI" w:hAnsi="Segoe UI" w:eastAsia="Segoe UI" w:cs="Segoe UI"/>
                <w:i w:val="0"/>
                <w:iCs w:val="0"/>
                <w:caps w:val="0"/>
                <w:spacing w:val="0"/>
                <w:sz w:val="19"/>
                <w:szCs w:val="19"/>
                <w:shd w:val="clear" w:fill="FFFFFF"/>
              </w:rPr>
              <w:t>Antidepressant</w:t>
            </w:r>
          </w:p>
        </w:tc>
        <w:tc>
          <w:tcPr>
            <w:tcW w:w="4540" w:type="dxa"/>
            <w:tcBorders>
              <w:top w:val="nil"/>
              <w:left w:val="nil"/>
              <w:bottom w:val="nil"/>
              <w:right w:val="nil"/>
            </w:tcBorders>
            <w:shd w:val="clear" w:color="auto" w:fill="FFFFFF"/>
            <w:noWrap w:val="0"/>
            <w:vAlign w:val="top"/>
          </w:tcPr>
          <w:p w14:paraId="17C5D569">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eastAsia" w:ascii="Segoe UI" w:hAnsi="Segoe UI" w:eastAsia="Segoe UI" w:cs="Segoe UI"/>
                <w:i w:val="0"/>
                <w:iCs w:val="0"/>
                <w:caps w:val="0"/>
                <w:spacing w:val="0"/>
                <w:sz w:val="19"/>
                <w:szCs w:val="19"/>
                <w:shd w:val="clear" w:fill="FFFFFF"/>
                <w:lang w:val="en-US" w:eastAsia="zh-CN"/>
              </w:rPr>
            </w:pPr>
            <w:r>
              <w:rPr>
                <w:rFonts w:ascii="Segoe UI" w:hAnsi="Segoe UI" w:eastAsia="Segoe UI" w:cs="Segoe UI"/>
                <w:i w:val="0"/>
                <w:iCs w:val="0"/>
                <w:caps w:val="0"/>
                <w:spacing w:val="0"/>
                <w:sz w:val="19"/>
                <w:szCs w:val="19"/>
                <w:shd w:val="clear" w:fill="FFFFFF"/>
              </w:rPr>
              <w:t>High - dose (10 g/kg) processed Polygonati Rhizoma can improve the depressive behavior of postpartum depression (PPD) rats and repair the neuronal damage in the CA1 region of the hippocampus.</w:t>
            </w:r>
          </w:p>
        </w:tc>
        <w:tc>
          <w:tcPr>
            <w:tcW w:w="4120" w:type="dxa"/>
            <w:tcBorders>
              <w:top w:val="nil"/>
              <w:left w:val="nil"/>
              <w:bottom w:val="nil"/>
              <w:right w:val="nil"/>
            </w:tcBorders>
            <w:shd w:val="clear" w:color="auto" w:fill="FFFFFF"/>
            <w:noWrap w:val="0"/>
            <w:vAlign w:val="top"/>
          </w:tcPr>
          <w:p w14:paraId="49DEDEDD">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eastAsia" w:ascii="Segoe UI" w:hAnsi="Segoe UI" w:eastAsia="Segoe UI" w:cs="Segoe UI"/>
                <w:i w:val="0"/>
                <w:iCs w:val="0"/>
                <w:caps w:val="0"/>
                <w:spacing w:val="0"/>
                <w:sz w:val="19"/>
                <w:szCs w:val="19"/>
                <w:shd w:val="clear" w:fill="FFFFFF"/>
                <w:lang w:val="en-US" w:eastAsia="zh-CN"/>
              </w:rPr>
            </w:pPr>
            <w:r>
              <w:rPr>
                <w:rFonts w:ascii="Segoe UI" w:hAnsi="Segoe UI" w:eastAsia="Segoe UI" w:cs="Segoe UI"/>
                <w:i w:val="0"/>
                <w:iCs w:val="0"/>
                <w:caps w:val="0"/>
                <w:spacing w:val="0"/>
                <w:sz w:val="19"/>
                <w:szCs w:val="19"/>
                <w:shd w:val="clear" w:fill="FFFFFF"/>
              </w:rPr>
              <w:t>increase the levels of monoamine neurotransmitters such as 5 - hydroxytryptamine (5 - HT), dopamine (DA), and norepinephrine (NE), reduce the levels of hormones in the hypothalamic - pituitary - adrenal (HPA) axis, including adrenocorticotropic hormone (ACTH), corticosterone (CORT), and corticotropin - releasing hormone (CRH), and increase the concentration of estrogen E2 and the expression of hippocampal receptors ERα/β.</w:t>
            </w:r>
          </w:p>
        </w:tc>
        <w:tc>
          <w:tcPr>
            <w:tcW w:w="1272" w:type="dxa"/>
            <w:tcBorders>
              <w:top w:val="nil"/>
              <w:left w:val="nil"/>
              <w:bottom w:val="nil"/>
              <w:right w:val="nil"/>
            </w:tcBorders>
            <w:shd w:val="clear" w:color="auto" w:fill="FFFFFF"/>
            <w:noWrap w:val="0"/>
            <w:vAlign w:val="top"/>
          </w:tcPr>
          <w:p w14:paraId="41A25EC8">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default" w:ascii="Times New Roman" w:hAnsi="Times New Roman" w:eastAsia="宋体" w:cs="Times New Roman"/>
                <w:b w:val="0"/>
                <w:color w:val="auto"/>
                <w:sz w:val="21"/>
                <w:szCs w:val="21"/>
                <w:lang w:val="en-US" w:eastAsia="zh-CN" w:bidi="ar-SA"/>
              </w:rPr>
            </w:pPr>
            <w:r>
              <w:rPr>
                <w:rFonts w:hint="eastAsia" w:cs="Times New Roman"/>
                <w:b w:val="0"/>
                <w:color w:val="auto"/>
                <w:sz w:val="21"/>
                <w:szCs w:val="21"/>
                <w:lang w:val="en-US" w:eastAsia="zh-CN" w:bidi="ar-SA"/>
              </w:rPr>
              <w:t>[73]</w:t>
            </w:r>
          </w:p>
        </w:tc>
      </w:tr>
      <w:tr w14:paraId="4E906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5" w:type="dxa"/>
            <w:tcBorders>
              <w:top w:val="nil"/>
              <w:left w:val="nil"/>
              <w:bottom w:val="nil"/>
              <w:right w:val="nil"/>
            </w:tcBorders>
            <w:shd w:val="clear" w:color="auto" w:fill="FFFFFF"/>
            <w:noWrap w:val="0"/>
            <w:vAlign w:val="top"/>
          </w:tcPr>
          <w:p w14:paraId="62B17053">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eastAsia" w:ascii="Segoe UI" w:hAnsi="Segoe UI" w:eastAsia="Segoe UI" w:cs="Segoe UI"/>
                <w:i w:val="0"/>
                <w:iCs w:val="0"/>
                <w:caps w:val="0"/>
                <w:spacing w:val="0"/>
                <w:sz w:val="19"/>
                <w:szCs w:val="19"/>
                <w:shd w:val="clear" w:fill="FFFFFF"/>
                <w:lang w:val="en-US" w:eastAsia="zh-CN"/>
              </w:rPr>
            </w:pPr>
          </w:p>
        </w:tc>
        <w:tc>
          <w:tcPr>
            <w:tcW w:w="1642" w:type="dxa"/>
            <w:tcBorders>
              <w:top w:val="nil"/>
              <w:left w:val="nil"/>
              <w:bottom w:val="nil"/>
              <w:right w:val="nil"/>
            </w:tcBorders>
            <w:shd w:val="clear" w:color="auto" w:fill="FFFFFF"/>
            <w:noWrap w:val="0"/>
            <w:vAlign w:val="top"/>
          </w:tcPr>
          <w:p w14:paraId="367C922F">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eastAsia" w:ascii="Segoe UI" w:hAnsi="Segoe UI" w:eastAsia="Segoe UI" w:cs="Segoe UI"/>
                <w:i w:val="0"/>
                <w:iCs w:val="0"/>
                <w:caps w:val="0"/>
                <w:spacing w:val="0"/>
                <w:sz w:val="19"/>
                <w:szCs w:val="19"/>
                <w:shd w:val="clear" w:fill="FFFFFF"/>
                <w:lang w:val="en-US" w:eastAsia="zh-CN"/>
              </w:rPr>
            </w:pPr>
            <w:r>
              <w:rPr>
                <w:rFonts w:ascii="Segoe UI" w:hAnsi="Segoe UI" w:eastAsia="Segoe UI" w:cs="Segoe UI"/>
                <w:i w:val="0"/>
                <w:iCs w:val="0"/>
                <w:caps w:val="0"/>
                <w:spacing w:val="0"/>
                <w:sz w:val="19"/>
                <w:szCs w:val="19"/>
                <w:shd w:val="clear" w:fill="FFFFFF"/>
              </w:rPr>
              <w:t>Regulation of Intestinal Flora</w:t>
            </w:r>
          </w:p>
        </w:tc>
        <w:tc>
          <w:tcPr>
            <w:tcW w:w="4540" w:type="dxa"/>
            <w:tcBorders>
              <w:top w:val="nil"/>
              <w:left w:val="nil"/>
              <w:bottom w:val="nil"/>
              <w:right w:val="nil"/>
            </w:tcBorders>
            <w:shd w:val="clear" w:color="auto" w:fill="FFFFFF"/>
            <w:noWrap w:val="0"/>
            <w:vAlign w:val="top"/>
          </w:tcPr>
          <w:p w14:paraId="5E19EA6C">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eastAsia" w:ascii="Segoe UI" w:hAnsi="Segoe UI" w:eastAsia="Segoe UI" w:cs="Segoe UI"/>
                <w:i w:val="0"/>
                <w:iCs w:val="0"/>
                <w:caps w:val="0"/>
                <w:spacing w:val="0"/>
                <w:sz w:val="19"/>
                <w:szCs w:val="19"/>
                <w:shd w:val="clear" w:fill="FFFFFF"/>
                <w:lang w:val="en-US" w:eastAsia="zh-CN"/>
              </w:rPr>
            </w:pPr>
            <w:r>
              <w:rPr>
                <w:rFonts w:ascii="Segoe UI" w:hAnsi="Segoe UI" w:eastAsia="Segoe UI" w:cs="Segoe UI"/>
                <w:i w:val="0"/>
                <w:iCs w:val="0"/>
                <w:caps w:val="0"/>
                <w:spacing w:val="0"/>
                <w:sz w:val="19"/>
                <w:szCs w:val="19"/>
                <w:shd w:val="clear" w:fill="FFFFFF"/>
              </w:rPr>
              <w:t>he polysaccharides from steamed Polygonati Rhizoma can promote the metabolism of beneficial bacteria such as Parabacteroides and Bifidobacterium, increase the production of short - chain fatty acids (SCFAs) and long - chain fatty acids (LCFAs), inhibit harmful bacteria such as Shigella, and regulate gut homeostasis.</w:t>
            </w:r>
          </w:p>
        </w:tc>
        <w:tc>
          <w:tcPr>
            <w:tcW w:w="4120" w:type="dxa"/>
            <w:tcBorders>
              <w:top w:val="nil"/>
              <w:left w:val="nil"/>
              <w:bottom w:val="nil"/>
              <w:right w:val="nil"/>
            </w:tcBorders>
            <w:shd w:val="clear" w:color="auto" w:fill="FFFFFF"/>
            <w:noWrap w:val="0"/>
            <w:vAlign w:val="top"/>
          </w:tcPr>
          <w:p w14:paraId="78A87360">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eastAsia" w:ascii="Segoe UI" w:hAnsi="Segoe UI" w:eastAsia="Segoe UI" w:cs="Segoe UI"/>
                <w:i w:val="0"/>
                <w:iCs w:val="0"/>
                <w:caps w:val="0"/>
                <w:spacing w:val="0"/>
                <w:sz w:val="19"/>
                <w:szCs w:val="19"/>
                <w:shd w:val="clear" w:fill="FFFFFF"/>
                <w:lang w:val="en-US" w:eastAsia="zh-CN"/>
              </w:rPr>
            </w:pPr>
          </w:p>
        </w:tc>
        <w:tc>
          <w:tcPr>
            <w:tcW w:w="1272" w:type="dxa"/>
            <w:tcBorders>
              <w:top w:val="nil"/>
              <w:left w:val="nil"/>
              <w:bottom w:val="nil"/>
              <w:right w:val="nil"/>
            </w:tcBorders>
            <w:shd w:val="clear" w:color="auto" w:fill="FFFFFF"/>
            <w:noWrap w:val="0"/>
            <w:vAlign w:val="top"/>
          </w:tcPr>
          <w:p w14:paraId="5004315C">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default" w:ascii="Times New Roman" w:hAnsi="Times New Roman" w:eastAsia="宋体" w:cs="Times New Roman"/>
                <w:b w:val="0"/>
                <w:color w:val="auto"/>
                <w:sz w:val="21"/>
                <w:szCs w:val="21"/>
                <w:lang w:val="en-US" w:eastAsia="zh-CN" w:bidi="ar-SA"/>
              </w:rPr>
            </w:pPr>
            <w:r>
              <w:rPr>
                <w:rFonts w:hint="eastAsia" w:cs="Times New Roman"/>
                <w:b w:val="0"/>
                <w:color w:val="auto"/>
                <w:sz w:val="21"/>
                <w:szCs w:val="21"/>
                <w:lang w:val="en-US" w:eastAsia="zh-CN" w:bidi="ar-SA"/>
              </w:rPr>
              <w:t>[78]</w:t>
            </w:r>
          </w:p>
        </w:tc>
      </w:tr>
      <w:tr w14:paraId="38E44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 w:hRule="atLeast"/>
        </w:trPr>
        <w:tc>
          <w:tcPr>
            <w:tcW w:w="2095" w:type="dxa"/>
            <w:tcBorders>
              <w:top w:val="nil"/>
              <w:left w:val="nil"/>
              <w:bottom w:val="nil"/>
              <w:right w:val="nil"/>
            </w:tcBorders>
            <w:shd w:val="clear" w:color="auto" w:fill="FFFFFF"/>
            <w:noWrap w:val="0"/>
            <w:vAlign w:val="top"/>
          </w:tcPr>
          <w:p w14:paraId="69429556">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eastAsia" w:ascii="Segoe UI" w:hAnsi="Segoe UI" w:eastAsia="Segoe UI" w:cs="Segoe UI"/>
                <w:i w:val="0"/>
                <w:iCs w:val="0"/>
                <w:caps w:val="0"/>
                <w:spacing w:val="0"/>
                <w:sz w:val="19"/>
                <w:szCs w:val="19"/>
                <w:shd w:val="clear" w:fill="FFFFFF"/>
                <w:lang w:val="en-US" w:eastAsia="zh-CN"/>
              </w:rPr>
            </w:pPr>
          </w:p>
        </w:tc>
        <w:tc>
          <w:tcPr>
            <w:tcW w:w="1642" w:type="dxa"/>
            <w:tcBorders>
              <w:top w:val="nil"/>
              <w:left w:val="nil"/>
              <w:bottom w:val="nil"/>
              <w:right w:val="nil"/>
            </w:tcBorders>
            <w:shd w:val="clear" w:color="auto" w:fill="FFFFFF"/>
            <w:noWrap w:val="0"/>
            <w:vAlign w:val="top"/>
          </w:tcPr>
          <w:p w14:paraId="27FD1B33">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eastAsia" w:ascii="Segoe UI" w:hAnsi="Segoe UI" w:eastAsia="Segoe UI" w:cs="Segoe UI"/>
                <w:i w:val="0"/>
                <w:iCs w:val="0"/>
                <w:caps w:val="0"/>
                <w:spacing w:val="0"/>
                <w:sz w:val="19"/>
                <w:szCs w:val="19"/>
                <w:shd w:val="clear" w:fill="FFFFFF"/>
                <w:lang w:val="en-US" w:eastAsia="zh-CN"/>
              </w:rPr>
            </w:pPr>
          </w:p>
        </w:tc>
        <w:tc>
          <w:tcPr>
            <w:tcW w:w="4540" w:type="dxa"/>
            <w:tcBorders>
              <w:top w:val="nil"/>
              <w:left w:val="nil"/>
              <w:bottom w:val="nil"/>
              <w:right w:val="nil"/>
            </w:tcBorders>
            <w:shd w:val="clear" w:color="auto" w:fill="FFFFFF"/>
            <w:noWrap w:val="0"/>
            <w:vAlign w:val="top"/>
          </w:tcPr>
          <w:p w14:paraId="5E79C8A6">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eastAsia" w:ascii="Segoe UI" w:hAnsi="Segoe UI" w:eastAsia="Segoe UI" w:cs="Segoe UI"/>
                <w:i w:val="0"/>
                <w:iCs w:val="0"/>
                <w:caps w:val="0"/>
                <w:spacing w:val="0"/>
                <w:sz w:val="19"/>
                <w:szCs w:val="19"/>
                <w:shd w:val="clear" w:fill="FFFFFF"/>
                <w:lang w:val="en-US" w:eastAsia="zh-CN"/>
              </w:rPr>
            </w:pPr>
            <w:r>
              <w:rPr>
                <w:rFonts w:ascii="Segoe UI" w:hAnsi="Segoe UI" w:eastAsia="Segoe UI" w:cs="Segoe UI"/>
                <w:i w:val="0"/>
                <w:iCs w:val="0"/>
                <w:caps w:val="0"/>
                <w:spacing w:val="0"/>
                <w:sz w:val="19"/>
                <w:szCs w:val="19"/>
                <w:shd w:val="clear" w:fill="FFFFFF"/>
              </w:rPr>
              <w:t>The polysaccharides of Polygonati Rhizoma processed with yellow rice wine can regulate the composition and diversity of gut microbiota, reduce the abundance of harmful bacteria, and promote the production of short-chain fatty acids (SCFAs)</w:t>
            </w:r>
          </w:p>
        </w:tc>
        <w:tc>
          <w:tcPr>
            <w:tcW w:w="4120" w:type="dxa"/>
            <w:tcBorders>
              <w:top w:val="nil"/>
              <w:left w:val="nil"/>
              <w:bottom w:val="nil"/>
              <w:right w:val="nil"/>
            </w:tcBorders>
            <w:shd w:val="clear" w:color="auto" w:fill="FFFFFF"/>
            <w:noWrap w:val="0"/>
            <w:vAlign w:val="top"/>
          </w:tcPr>
          <w:p w14:paraId="10DE950B">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eastAsia" w:ascii="Segoe UI" w:hAnsi="Segoe UI" w:eastAsia="Segoe UI" w:cs="Segoe UI"/>
                <w:i w:val="0"/>
                <w:iCs w:val="0"/>
                <w:caps w:val="0"/>
                <w:spacing w:val="0"/>
                <w:sz w:val="19"/>
                <w:szCs w:val="19"/>
                <w:shd w:val="clear" w:fill="FFFFFF"/>
                <w:lang w:val="en-US" w:eastAsia="zh-CN"/>
              </w:rPr>
            </w:pPr>
            <w:r>
              <w:rPr>
                <w:rFonts w:ascii="Segoe UI" w:hAnsi="Segoe UI" w:eastAsia="Segoe UI" w:cs="Segoe UI"/>
                <w:i w:val="0"/>
                <w:iCs w:val="0"/>
                <w:caps w:val="0"/>
                <w:spacing w:val="0"/>
                <w:sz w:val="19"/>
                <w:szCs w:val="19"/>
                <w:shd w:val="clear" w:fill="FFFFFF"/>
              </w:rPr>
              <w:t>regulate the gut microbiota and the metabolite SCFAs</w:t>
            </w:r>
          </w:p>
        </w:tc>
        <w:tc>
          <w:tcPr>
            <w:tcW w:w="1272" w:type="dxa"/>
            <w:tcBorders>
              <w:top w:val="nil"/>
              <w:left w:val="nil"/>
              <w:bottom w:val="nil"/>
              <w:right w:val="nil"/>
            </w:tcBorders>
            <w:shd w:val="clear" w:color="auto" w:fill="FFFFFF"/>
            <w:noWrap w:val="0"/>
            <w:vAlign w:val="top"/>
          </w:tcPr>
          <w:p w14:paraId="0387F862">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default" w:ascii="Times New Roman" w:hAnsi="Times New Roman" w:eastAsia="宋体" w:cs="Times New Roman"/>
                <w:b w:val="0"/>
                <w:color w:val="auto"/>
                <w:sz w:val="21"/>
                <w:szCs w:val="21"/>
                <w:lang w:val="en-US" w:eastAsia="zh-CN" w:bidi="ar-SA"/>
              </w:rPr>
            </w:pPr>
            <w:r>
              <w:rPr>
                <w:rFonts w:hint="eastAsia" w:cs="Times New Roman"/>
                <w:b w:val="0"/>
                <w:color w:val="auto"/>
                <w:sz w:val="21"/>
                <w:szCs w:val="21"/>
                <w:lang w:val="en-US" w:eastAsia="zh-CN" w:bidi="ar-SA"/>
              </w:rPr>
              <w:t>[81]</w:t>
            </w:r>
          </w:p>
        </w:tc>
      </w:tr>
      <w:tr w14:paraId="0AB65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5" w:type="dxa"/>
            <w:tcBorders>
              <w:top w:val="nil"/>
              <w:left w:val="nil"/>
              <w:bottom w:val="nil"/>
              <w:right w:val="nil"/>
            </w:tcBorders>
            <w:shd w:val="clear" w:color="auto" w:fill="FFFFFF"/>
            <w:noWrap w:val="0"/>
            <w:vAlign w:val="top"/>
          </w:tcPr>
          <w:p w14:paraId="1FF67B3F">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eastAsia" w:ascii="Times New Roman" w:hAnsi="Times New Roman" w:eastAsia="宋体" w:cs="Times New Roman"/>
                <w:b w:val="0"/>
                <w:color w:val="000000"/>
                <w:sz w:val="21"/>
                <w:szCs w:val="21"/>
                <w:lang w:val="en-US" w:eastAsia="zh-CN" w:bidi="ar-SA"/>
              </w:rPr>
            </w:pPr>
            <w:r>
              <w:rPr>
                <w:rFonts w:ascii="Segoe UI" w:hAnsi="Segoe UI" w:eastAsia="Segoe UI" w:cs="Segoe UI"/>
                <w:i w:val="0"/>
                <w:iCs w:val="0"/>
                <w:caps w:val="0"/>
                <w:spacing w:val="0"/>
                <w:sz w:val="19"/>
                <w:szCs w:val="19"/>
                <w:shd w:val="clear" w:fill="FFFFFF"/>
              </w:rPr>
              <w:t>Polygonatum sibiricum Instant Powder</w:t>
            </w:r>
          </w:p>
        </w:tc>
        <w:tc>
          <w:tcPr>
            <w:tcW w:w="1642" w:type="dxa"/>
            <w:tcBorders>
              <w:top w:val="nil"/>
              <w:left w:val="nil"/>
              <w:bottom w:val="nil"/>
              <w:right w:val="nil"/>
            </w:tcBorders>
            <w:shd w:val="clear" w:color="auto" w:fill="FFFFFF"/>
            <w:noWrap w:val="0"/>
            <w:vAlign w:val="top"/>
          </w:tcPr>
          <w:p w14:paraId="51439B25">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default" w:ascii="Times New Roman" w:hAnsi="Times New Roman" w:eastAsia="宋体" w:cs="Times New Roman"/>
                <w:b w:val="0"/>
                <w:color w:val="000000"/>
                <w:sz w:val="21"/>
                <w:szCs w:val="21"/>
                <w:lang w:val="en-US" w:eastAsia="zh-CN" w:bidi="ar-SA"/>
              </w:rPr>
            </w:pPr>
            <w:r>
              <w:rPr>
                <w:rFonts w:ascii="Segoe UI" w:hAnsi="Segoe UI" w:eastAsia="Segoe UI" w:cs="Segoe UI"/>
                <w:i w:val="0"/>
                <w:iCs w:val="0"/>
                <w:caps w:val="0"/>
                <w:spacing w:val="0"/>
                <w:sz w:val="19"/>
                <w:szCs w:val="19"/>
                <w:shd w:val="clear" w:fill="FFFFFF"/>
              </w:rPr>
              <w:t>Antioxidant</w:t>
            </w:r>
          </w:p>
        </w:tc>
        <w:tc>
          <w:tcPr>
            <w:tcW w:w="4540" w:type="dxa"/>
            <w:tcBorders>
              <w:top w:val="nil"/>
              <w:left w:val="nil"/>
              <w:bottom w:val="nil"/>
              <w:right w:val="nil"/>
            </w:tcBorders>
            <w:shd w:val="clear" w:color="auto" w:fill="FFFFFF"/>
            <w:noWrap w:val="0"/>
            <w:vAlign w:val="top"/>
          </w:tcPr>
          <w:p w14:paraId="10E83BE6">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default" w:ascii="Times New Roman" w:hAnsi="Times New Roman" w:eastAsia="宋体" w:cs="Times New Roman"/>
                <w:b w:val="0"/>
                <w:color w:val="000000"/>
                <w:sz w:val="21"/>
                <w:szCs w:val="21"/>
                <w:lang w:val="en-US" w:eastAsia="zh-CN" w:bidi="ar-SA"/>
              </w:rPr>
            </w:pPr>
            <w:r>
              <w:rPr>
                <w:rFonts w:ascii="Segoe UI" w:hAnsi="Segoe UI" w:eastAsia="Segoe UI" w:cs="Segoe UI"/>
                <w:i w:val="0"/>
                <w:iCs w:val="0"/>
                <w:caps w:val="0"/>
                <w:spacing w:val="0"/>
                <w:sz w:val="19"/>
                <w:szCs w:val="19"/>
                <w:shd w:val="clear" w:fill="FFFFFF"/>
              </w:rPr>
              <w:t>In vitro: The IC50 values of Polygonatum sibiricum Instant Powder against superoxide anion radical and hydroxyl radical were 34.8 mg/mL and 20.65 mg/mL, respectively.</w:t>
            </w:r>
          </w:p>
        </w:tc>
        <w:tc>
          <w:tcPr>
            <w:tcW w:w="4120" w:type="dxa"/>
            <w:tcBorders>
              <w:top w:val="nil"/>
              <w:left w:val="nil"/>
              <w:bottom w:val="nil"/>
              <w:right w:val="nil"/>
            </w:tcBorders>
            <w:shd w:val="clear" w:color="auto" w:fill="FFFFFF"/>
            <w:noWrap w:val="0"/>
            <w:vAlign w:val="top"/>
          </w:tcPr>
          <w:p w14:paraId="4206450A">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eastAsia" w:ascii="Times New Roman" w:hAnsi="Times New Roman" w:eastAsia="宋体" w:cs="Times New Roman"/>
                <w:b w:val="0"/>
                <w:color w:val="000000"/>
                <w:sz w:val="21"/>
                <w:szCs w:val="21"/>
                <w:lang w:val="en-US" w:eastAsia="zh-CN" w:bidi="ar-SA"/>
              </w:rPr>
            </w:pPr>
          </w:p>
        </w:tc>
        <w:tc>
          <w:tcPr>
            <w:tcW w:w="1272" w:type="dxa"/>
            <w:tcBorders>
              <w:top w:val="nil"/>
              <w:left w:val="nil"/>
              <w:bottom w:val="nil"/>
              <w:right w:val="nil"/>
            </w:tcBorders>
            <w:shd w:val="clear" w:color="auto" w:fill="FFFFFF"/>
            <w:noWrap w:val="0"/>
            <w:vAlign w:val="top"/>
          </w:tcPr>
          <w:p w14:paraId="5DD5A6BD">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default" w:ascii="Times New Roman" w:hAnsi="Times New Roman" w:eastAsia="宋体" w:cs="Times New Roman"/>
                <w:b w:val="0"/>
                <w:color w:val="auto"/>
                <w:sz w:val="21"/>
                <w:szCs w:val="21"/>
                <w:lang w:val="en-US" w:eastAsia="zh-CN" w:bidi="ar-SA"/>
              </w:rPr>
            </w:pPr>
            <w:r>
              <w:rPr>
                <w:rFonts w:hint="eastAsia" w:cs="Times New Roman"/>
                <w:b w:val="0"/>
                <w:color w:val="auto"/>
                <w:sz w:val="21"/>
                <w:szCs w:val="21"/>
                <w:lang w:val="en-US" w:eastAsia="zh-CN" w:bidi="ar-SA"/>
              </w:rPr>
              <w:t>[46]</w:t>
            </w:r>
          </w:p>
        </w:tc>
      </w:tr>
      <w:tr w14:paraId="756C0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5" w:type="dxa"/>
            <w:tcBorders>
              <w:top w:val="nil"/>
              <w:left w:val="nil"/>
              <w:bottom w:val="nil"/>
              <w:right w:val="nil"/>
            </w:tcBorders>
            <w:shd w:val="clear" w:color="auto" w:fill="FFFFFF"/>
            <w:noWrap w:val="0"/>
            <w:vAlign w:val="top"/>
          </w:tcPr>
          <w:p w14:paraId="4BB992A1">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default" w:ascii="Times New Roman" w:hAnsi="Times New Roman" w:eastAsia="宋体" w:cs="Times New Roman"/>
                <w:b w:val="0"/>
                <w:color w:val="000000"/>
                <w:sz w:val="21"/>
                <w:szCs w:val="21"/>
                <w:lang w:val="en-US" w:eastAsia="zh-CN" w:bidi="ar-SA"/>
              </w:rPr>
            </w:pPr>
            <w:r>
              <w:rPr>
                <w:rFonts w:ascii="Segoe UI" w:hAnsi="Segoe UI" w:eastAsia="Segoe UI" w:cs="Segoe UI"/>
                <w:i w:val="0"/>
                <w:iCs w:val="0"/>
                <w:caps w:val="0"/>
                <w:spacing w:val="0"/>
                <w:sz w:val="19"/>
                <w:szCs w:val="19"/>
                <w:shd w:val="clear" w:fill="FFFFFF"/>
              </w:rPr>
              <w:t>Polygonatum sibiricum Base Wine</w:t>
            </w:r>
          </w:p>
        </w:tc>
        <w:tc>
          <w:tcPr>
            <w:tcW w:w="1642" w:type="dxa"/>
            <w:tcBorders>
              <w:top w:val="nil"/>
              <w:left w:val="nil"/>
              <w:bottom w:val="nil"/>
              <w:right w:val="nil"/>
            </w:tcBorders>
            <w:shd w:val="clear" w:color="auto" w:fill="FFFFFF"/>
            <w:noWrap w:val="0"/>
            <w:vAlign w:val="top"/>
          </w:tcPr>
          <w:p w14:paraId="76896166">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eastAsia" w:ascii="Times New Roman" w:hAnsi="Times New Roman" w:eastAsia="宋体" w:cs="Times New Roman"/>
                <w:b w:val="0"/>
                <w:color w:val="000000"/>
                <w:sz w:val="21"/>
                <w:szCs w:val="21"/>
                <w:lang w:val="en-US" w:eastAsia="zh-CN" w:bidi="ar-SA"/>
              </w:rPr>
            </w:pPr>
            <w:r>
              <w:rPr>
                <w:rFonts w:ascii="Segoe UI" w:hAnsi="Segoe UI" w:eastAsia="Segoe UI" w:cs="Segoe UI"/>
                <w:i w:val="0"/>
                <w:iCs w:val="0"/>
                <w:caps w:val="0"/>
                <w:spacing w:val="0"/>
                <w:sz w:val="19"/>
                <w:szCs w:val="19"/>
                <w:shd w:val="clear" w:fill="FFFFFF"/>
              </w:rPr>
              <w:t>Antioxidant</w:t>
            </w:r>
          </w:p>
        </w:tc>
        <w:tc>
          <w:tcPr>
            <w:tcW w:w="4540" w:type="dxa"/>
            <w:tcBorders>
              <w:top w:val="nil"/>
              <w:left w:val="nil"/>
              <w:bottom w:val="nil"/>
              <w:right w:val="nil"/>
            </w:tcBorders>
            <w:shd w:val="clear" w:color="auto" w:fill="FFFFFF"/>
            <w:noWrap w:val="0"/>
            <w:vAlign w:val="top"/>
          </w:tcPr>
          <w:p w14:paraId="52FA34D5">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eastAsia" w:ascii="Times New Roman" w:hAnsi="Times New Roman" w:eastAsia="宋体" w:cs="Times New Roman"/>
                <w:b w:val="0"/>
                <w:color w:val="000000"/>
                <w:sz w:val="21"/>
                <w:szCs w:val="21"/>
                <w:lang w:val="en-US" w:eastAsia="zh-CN" w:bidi="ar-SA"/>
              </w:rPr>
            </w:pPr>
            <w:r>
              <w:rPr>
                <w:rFonts w:ascii="Segoe UI" w:hAnsi="Segoe UI" w:eastAsia="Segoe UI" w:cs="Segoe UI"/>
                <w:i w:val="0"/>
                <w:iCs w:val="0"/>
                <w:caps w:val="0"/>
                <w:spacing w:val="0"/>
                <w:sz w:val="19"/>
                <w:szCs w:val="19"/>
                <w:shd w:val="clear" w:fill="FFFFFF"/>
              </w:rPr>
              <w:t>Promotes the activities of superoxide dismutase (SOD) and catalase (CAT), and increases the content of glutathione (GSH)</w:t>
            </w:r>
          </w:p>
        </w:tc>
        <w:tc>
          <w:tcPr>
            <w:tcW w:w="4120" w:type="dxa"/>
            <w:tcBorders>
              <w:top w:val="nil"/>
              <w:left w:val="nil"/>
              <w:bottom w:val="nil"/>
              <w:right w:val="nil"/>
            </w:tcBorders>
            <w:shd w:val="clear" w:color="auto" w:fill="FFFFFF"/>
            <w:noWrap w:val="0"/>
            <w:vAlign w:val="top"/>
          </w:tcPr>
          <w:p w14:paraId="2C4EE1D6">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eastAsia" w:ascii="Times New Roman" w:hAnsi="Times New Roman" w:eastAsia="宋体" w:cs="Times New Roman"/>
                <w:b w:val="0"/>
                <w:color w:val="000000"/>
                <w:sz w:val="21"/>
                <w:szCs w:val="21"/>
                <w:lang w:val="en-US" w:eastAsia="zh-CN" w:bidi="ar-SA"/>
              </w:rPr>
            </w:pPr>
          </w:p>
        </w:tc>
        <w:tc>
          <w:tcPr>
            <w:tcW w:w="1272" w:type="dxa"/>
            <w:tcBorders>
              <w:top w:val="nil"/>
              <w:left w:val="nil"/>
              <w:bottom w:val="nil"/>
              <w:right w:val="nil"/>
            </w:tcBorders>
            <w:shd w:val="clear" w:color="auto" w:fill="FFFFFF"/>
            <w:noWrap w:val="0"/>
            <w:vAlign w:val="top"/>
          </w:tcPr>
          <w:p w14:paraId="6F784018">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default" w:ascii="Times New Roman" w:hAnsi="Times New Roman" w:eastAsia="宋体" w:cs="Times New Roman"/>
                <w:b w:val="0"/>
                <w:color w:val="auto"/>
                <w:sz w:val="21"/>
                <w:szCs w:val="21"/>
                <w:lang w:val="en-US" w:eastAsia="zh-CN" w:bidi="ar-SA"/>
              </w:rPr>
            </w:pPr>
            <w:r>
              <w:rPr>
                <w:rFonts w:hint="eastAsia" w:cs="Times New Roman"/>
                <w:b w:val="0"/>
                <w:color w:val="auto"/>
                <w:sz w:val="21"/>
                <w:szCs w:val="21"/>
                <w:lang w:val="en-US" w:eastAsia="zh-CN" w:bidi="ar-SA"/>
              </w:rPr>
              <w:t>[51]</w:t>
            </w:r>
          </w:p>
        </w:tc>
      </w:tr>
      <w:tr w14:paraId="11962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5" w:type="dxa"/>
            <w:tcBorders>
              <w:top w:val="nil"/>
              <w:left w:val="nil"/>
              <w:bottom w:val="nil"/>
              <w:right w:val="nil"/>
            </w:tcBorders>
            <w:shd w:val="clear" w:color="auto" w:fill="FFFFFF"/>
            <w:noWrap w:val="0"/>
            <w:vAlign w:val="top"/>
          </w:tcPr>
          <w:p w14:paraId="1C5B4509">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eastAsia" w:ascii="Times New Roman" w:hAnsi="Times New Roman" w:eastAsia="宋体" w:cs="Times New Roman"/>
                <w:b w:val="0"/>
                <w:color w:val="000000"/>
                <w:sz w:val="21"/>
                <w:szCs w:val="21"/>
                <w:lang w:val="en-US" w:eastAsia="zh-CN" w:bidi="ar-SA"/>
              </w:rPr>
            </w:pPr>
            <w:r>
              <w:rPr>
                <w:rFonts w:hint="eastAsia" w:ascii="Times New Roman" w:hAnsi="Times New Roman" w:eastAsia="宋体" w:cs="Times New Roman"/>
                <w:b w:val="0"/>
                <w:color w:val="000000"/>
                <w:sz w:val="21"/>
                <w:szCs w:val="21"/>
                <w:lang w:val="en-US" w:eastAsia="zh-CN" w:bidi="ar-SA"/>
              </w:rPr>
              <w:t>Compound Polygonatum sibiricum Composition Aqueous Extract</w:t>
            </w:r>
          </w:p>
        </w:tc>
        <w:tc>
          <w:tcPr>
            <w:tcW w:w="1642" w:type="dxa"/>
            <w:tcBorders>
              <w:top w:val="nil"/>
              <w:left w:val="nil"/>
              <w:bottom w:val="nil"/>
              <w:right w:val="nil"/>
            </w:tcBorders>
            <w:shd w:val="clear" w:color="auto" w:fill="FFFFFF"/>
            <w:noWrap w:val="0"/>
            <w:vAlign w:val="top"/>
          </w:tcPr>
          <w:p w14:paraId="7735B030">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default" w:ascii="Times New Roman" w:hAnsi="Times New Roman" w:eastAsia="宋体" w:cs="Times New Roman"/>
                <w:b w:val="0"/>
                <w:color w:val="000000"/>
                <w:sz w:val="21"/>
                <w:szCs w:val="21"/>
                <w:lang w:val="en-US" w:eastAsia="zh-CN" w:bidi="ar-SA"/>
              </w:rPr>
            </w:pPr>
            <w:r>
              <w:rPr>
                <w:rFonts w:ascii="Segoe UI" w:hAnsi="Segoe UI" w:eastAsia="Segoe UI" w:cs="Segoe UI"/>
                <w:i w:val="0"/>
                <w:iCs w:val="0"/>
                <w:caps w:val="0"/>
                <w:spacing w:val="0"/>
                <w:sz w:val="19"/>
                <w:szCs w:val="19"/>
                <w:shd w:val="clear" w:fill="FFFFFF"/>
              </w:rPr>
              <w:t>Anti-fatigue</w:t>
            </w:r>
          </w:p>
        </w:tc>
        <w:tc>
          <w:tcPr>
            <w:tcW w:w="4540" w:type="dxa"/>
            <w:tcBorders>
              <w:top w:val="nil"/>
              <w:left w:val="nil"/>
              <w:bottom w:val="nil"/>
              <w:right w:val="nil"/>
            </w:tcBorders>
            <w:shd w:val="clear" w:color="auto" w:fill="FFFFFF"/>
            <w:noWrap w:val="0"/>
            <w:vAlign w:val="top"/>
          </w:tcPr>
          <w:p w14:paraId="670EA3EA">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eastAsia" w:ascii="Times New Roman" w:hAnsi="Times New Roman" w:eastAsia="宋体" w:cs="Times New Roman"/>
                <w:b w:val="0"/>
                <w:color w:val="000000"/>
                <w:sz w:val="21"/>
                <w:szCs w:val="21"/>
                <w:lang w:val="en-US" w:eastAsia="zh-CN" w:bidi="ar-SA"/>
              </w:rPr>
            </w:pPr>
            <w:r>
              <w:rPr>
                <w:rFonts w:ascii="Segoe UI" w:hAnsi="Segoe UI" w:eastAsia="Segoe UI" w:cs="Segoe UI"/>
                <w:i w:val="0"/>
                <w:iCs w:val="0"/>
                <w:caps w:val="0"/>
                <w:spacing w:val="0"/>
                <w:sz w:val="19"/>
                <w:szCs w:val="19"/>
                <w:shd w:val="clear" w:fill="FFFFFF"/>
              </w:rPr>
              <w:t>In vivo: Reduces blood urea nitrogen (BUN) content, increases hepatic glycogen and muscle glycogen reserves, and enhances endurance in mice.</w:t>
            </w:r>
          </w:p>
        </w:tc>
        <w:tc>
          <w:tcPr>
            <w:tcW w:w="4120" w:type="dxa"/>
            <w:tcBorders>
              <w:top w:val="nil"/>
              <w:left w:val="nil"/>
              <w:bottom w:val="nil"/>
              <w:right w:val="nil"/>
            </w:tcBorders>
            <w:shd w:val="clear" w:color="auto" w:fill="FFFFFF"/>
            <w:noWrap w:val="0"/>
            <w:vAlign w:val="top"/>
          </w:tcPr>
          <w:p w14:paraId="42B39F84">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eastAsia" w:ascii="Times New Roman" w:hAnsi="Times New Roman" w:eastAsia="宋体" w:cs="Times New Roman"/>
                <w:b w:val="0"/>
                <w:color w:val="000000"/>
                <w:sz w:val="21"/>
                <w:szCs w:val="21"/>
                <w:lang w:val="en-US" w:eastAsia="zh-CN" w:bidi="ar-SA"/>
              </w:rPr>
            </w:pPr>
          </w:p>
        </w:tc>
        <w:tc>
          <w:tcPr>
            <w:tcW w:w="1272" w:type="dxa"/>
            <w:tcBorders>
              <w:top w:val="nil"/>
              <w:left w:val="nil"/>
              <w:bottom w:val="nil"/>
              <w:right w:val="nil"/>
            </w:tcBorders>
            <w:shd w:val="clear" w:color="auto" w:fill="FFFFFF"/>
            <w:noWrap w:val="0"/>
            <w:vAlign w:val="top"/>
          </w:tcPr>
          <w:p w14:paraId="2A090DC6">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default" w:ascii="Times New Roman" w:hAnsi="Times New Roman" w:eastAsia="宋体" w:cs="Times New Roman"/>
                <w:b w:val="0"/>
                <w:color w:val="auto"/>
                <w:sz w:val="21"/>
                <w:szCs w:val="21"/>
                <w:lang w:val="en-US" w:eastAsia="zh-CN" w:bidi="ar-SA"/>
              </w:rPr>
            </w:pPr>
            <w:r>
              <w:rPr>
                <w:rFonts w:hint="eastAsia" w:cs="Times New Roman"/>
                <w:b w:val="0"/>
                <w:color w:val="auto"/>
                <w:sz w:val="21"/>
                <w:szCs w:val="21"/>
                <w:lang w:val="en-US" w:eastAsia="zh-CN" w:bidi="ar-SA"/>
              </w:rPr>
              <w:t>[61]</w:t>
            </w:r>
          </w:p>
        </w:tc>
      </w:tr>
      <w:tr w14:paraId="13D5D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5" w:type="dxa"/>
            <w:tcBorders>
              <w:top w:val="nil"/>
              <w:left w:val="nil"/>
              <w:bottom w:val="nil"/>
              <w:right w:val="nil"/>
            </w:tcBorders>
            <w:shd w:val="clear" w:color="auto" w:fill="FFFFFF"/>
            <w:noWrap w:val="0"/>
            <w:vAlign w:val="top"/>
          </w:tcPr>
          <w:p w14:paraId="3464E247">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eastAsia" w:ascii="Times New Roman" w:hAnsi="Times New Roman" w:eastAsia="宋体" w:cs="Times New Roman"/>
                <w:b w:val="0"/>
                <w:color w:val="000000"/>
                <w:sz w:val="21"/>
                <w:szCs w:val="21"/>
                <w:lang w:val="en-US" w:eastAsia="zh-CN" w:bidi="ar-SA"/>
              </w:rPr>
            </w:pPr>
            <w:r>
              <w:rPr>
                <w:rFonts w:hint="eastAsia" w:ascii="Times New Roman" w:hAnsi="Times New Roman" w:eastAsia="宋体" w:cs="Times New Roman"/>
                <w:b w:val="0"/>
                <w:color w:val="000000"/>
                <w:sz w:val="21"/>
                <w:szCs w:val="21"/>
                <w:lang w:val="en-US" w:eastAsia="zh-CN" w:bidi="ar-SA"/>
              </w:rPr>
              <w:t xml:space="preserve">Polygonatum sibiricum Extract-Containing </w:t>
            </w:r>
          </w:p>
        </w:tc>
        <w:tc>
          <w:tcPr>
            <w:tcW w:w="1642" w:type="dxa"/>
            <w:tcBorders>
              <w:top w:val="nil"/>
              <w:left w:val="nil"/>
              <w:bottom w:val="nil"/>
              <w:right w:val="nil"/>
            </w:tcBorders>
            <w:shd w:val="clear" w:color="auto" w:fill="FFFFFF"/>
            <w:noWrap w:val="0"/>
            <w:vAlign w:val="top"/>
          </w:tcPr>
          <w:p w14:paraId="53BBFF04">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eastAsia" w:ascii="Times New Roman" w:hAnsi="Times New Roman" w:eastAsia="宋体" w:cs="Times New Roman"/>
                <w:b w:val="0"/>
                <w:color w:val="000000"/>
                <w:sz w:val="21"/>
                <w:szCs w:val="21"/>
                <w:lang w:val="en-US" w:eastAsia="zh-CN" w:bidi="ar-SA"/>
              </w:rPr>
            </w:pPr>
            <w:r>
              <w:rPr>
                <w:rFonts w:ascii="Segoe UI" w:hAnsi="Segoe UI" w:eastAsia="Segoe UI" w:cs="Segoe UI"/>
                <w:i w:val="0"/>
                <w:iCs w:val="0"/>
                <w:caps w:val="0"/>
                <w:spacing w:val="0"/>
                <w:sz w:val="19"/>
                <w:szCs w:val="19"/>
                <w:shd w:val="clear" w:fill="FFFFFF"/>
              </w:rPr>
              <w:t>Anti-aging</w:t>
            </w:r>
          </w:p>
        </w:tc>
        <w:tc>
          <w:tcPr>
            <w:tcW w:w="4540" w:type="dxa"/>
            <w:tcBorders>
              <w:top w:val="nil"/>
              <w:left w:val="nil"/>
              <w:bottom w:val="nil"/>
              <w:right w:val="nil"/>
            </w:tcBorders>
            <w:shd w:val="clear" w:color="auto" w:fill="FFFFFF"/>
            <w:noWrap w:val="0"/>
            <w:vAlign w:val="top"/>
          </w:tcPr>
          <w:p w14:paraId="7BAB85DB">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eastAsia" w:ascii="Times New Roman" w:hAnsi="Times New Roman" w:eastAsia="宋体" w:cs="Times New Roman"/>
                <w:b w:val="0"/>
                <w:color w:val="000000"/>
                <w:sz w:val="21"/>
                <w:szCs w:val="21"/>
                <w:lang w:val="en-US" w:eastAsia="zh-CN" w:bidi="ar-SA"/>
              </w:rPr>
            </w:pPr>
            <w:r>
              <w:rPr>
                <w:rFonts w:ascii="Segoe UI" w:hAnsi="Segoe UI" w:eastAsia="Segoe UI" w:cs="Segoe UI"/>
                <w:i w:val="0"/>
                <w:iCs w:val="0"/>
                <w:caps w:val="0"/>
                <w:spacing w:val="0"/>
                <w:sz w:val="19"/>
                <w:szCs w:val="19"/>
                <w:shd w:val="clear" w:fill="FFFFFF"/>
              </w:rPr>
              <w:t>increase collagen mRNA expression, reduce the number of SA-β-galactosidase-positive cells, and restore the normal level of γH2AX protein in senescent cells, exerting practical effects in combating skin aging and improving the homeostasis of the skin microenvironment.</w:t>
            </w:r>
          </w:p>
        </w:tc>
        <w:tc>
          <w:tcPr>
            <w:tcW w:w="4120" w:type="dxa"/>
            <w:tcBorders>
              <w:top w:val="nil"/>
              <w:left w:val="nil"/>
              <w:bottom w:val="nil"/>
              <w:right w:val="nil"/>
            </w:tcBorders>
            <w:shd w:val="clear" w:color="auto" w:fill="FFFFFF"/>
            <w:noWrap w:val="0"/>
            <w:vAlign w:val="top"/>
          </w:tcPr>
          <w:p w14:paraId="53244315">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eastAsia" w:ascii="Times New Roman" w:hAnsi="Times New Roman" w:eastAsia="宋体" w:cs="Times New Roman"/>
                <w:b w:val="0"/>
                <w:color w:val="000000"/>
                <w:sz w:val="21"/>
                <w:szCs w:val="21"/>
                <w:lang w:val="en-US" w:eastAsia="zh-CN" w:bidi="ar-SA"/>
              </w:rPr>
            </w:pPr>
          </w:p>
        </w:tc>
        <w:tc>
          <w:tcPr>
            <w:tcW w:w="1272" w:type="dxa"/>
            <w:tcBorders>
              <w:top w:val="nil"/>
              <w:left w:val="nil"/>
              <w:bottom w:val="nil"/>
              <w:right w:val="nil"/>
            </w:tcBorders>
            <w:shd w:val="clear" w:color="auto" w:fill="FFFFFF"/>
            <w:noWrap w:val="0"/>
            <w:vAlign w:val="top"/>
          </w:tcPr>
          <w:p w14:paraId="0969875E">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default" w:ascii="Times New Roman" w:hAnsi="Times New Roman" w:eastAsia="宋体" w:cs="Times New Roman"/>
                <w:b w:val="0"/>
                <w:color w:val="auto"/>
                <w:sz w:val="21"/>
                <w:szCs w:val="21"/>
                <w:lang w:val="en-US" w:eastAsia="zh-CN" w:bidi="ar-SA"/>
              </w:rPr>
            </w:pPr>
            <w:r>
              <w:rPr>
                <w:rFonts w:hint="eastAsia" w:cs="Times New Roman"/>
                <w:b w:val="0"/>
                <w:color w:val="auto"/>
                <w:sz w:val="21"/>
                <w:szCs w:val="21"/>
                <w:lang w:val="en-US" w:eastAsia="zh-CN" w:bidi="ar-SA"/>
              </w:rPr>
              <w:t>[67]</w:t>
            </w:r>
          </w:p>
        </w:tc>
      </w:tr>
      <w:tr w14:paraId="2AD5F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5" w:type="dxa"/>
            <w:tcBorders>
              <w:top w:val="nil"/>
              <w:left w:val="nil"/>
              <w:bottom w:val="nil"/>
              <w:right w:val="nil"/>
            </w:tcBorders>
            <w:shd w:val="clear" w:color="auto" w:fill="FFFFFF"/>
            <w:noWrap w:val="0"/>
            <w:vAlign w:val="top"/>
          </w:tcPr>
          <w:p w14:paraId="23601631">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eastAsia" w:ascii="Times New Roman" w:hAnsi="Times New Roman" w:eastAsia="宋体" w:cs="Times New Roman"/>
                <w:b w:val="0"/>
                <w:color w:val="000000"/>
                <w:sz w:val="21"/>
                <w:szCs w:val="21"/>
                <w:lang w:val="en-US" w:eastAsia="zh-CN" w:bidi="ar-SA"/>
              </w:rPr>
            </w:pPr>
            <w:r>
              <w:rPr>
                <w:rFonts w:hint="eastAsia" w:ascii="Times New Roman" w:hAnsi="Times New Roman" w:eastAsia="宋体" w:cs="Times New Roman"/>
                <w:b w:val="0"/>
                <w:color w:val="000000"/>
                <w:sz w:val="21"/>
                <w:szCs w:val="21"/>
                <w:lang w:val="en-US" w:eastAsia="zh-CN" w:bidi="ar-SA"/>
              </w:rPr>
              <w:t>Polygonatum cyrtonema Aqueous Extract</w:t>
            </w:r>
          </w:p>
        </w:tc>
        <w:tc>
          <w:tcPr>
            <w:tcW w:w="1642" w:type="dxa"/>
            <w:tcBorders>
              <w:top w:val="nil"/>
              <w:left w:val="nil"/>
              <w:bottom w:val="nil"/>
              <w:right w:val="nil"/>
            </w:tcBorders>
            <w:shd w:val="clear" w:color="auto" w:fill="FFFFFF"/>
            <w:noWrap w:val="0"/>
            <w:vAlign w:val="top"/>
          </w:tcPr>
          <w:p w14:paraId="08860BB6">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eastAsia" w:ascii="Times New Roman" w:hAnsi="Times New Roman" w:eastAsia="宋体" w:cs="Times New Roman"/>
                <w:b w:val="0"/>
                <w:color w:val="000000"/>
                <w:sz w:val="21"/>
                <w:szCs w:val="21"/>
                <w:lang w:val="en-US" w:eastAsia="zh-CN" w:bidi="ar-SA"/>
              </w:rPr>
            </w:pPr>
            <w:r>
              <w:rPr>
                <w:rFonts w:ascii="Segoe UI" w:hAnsi="Segoe UI" w:eastAsia="Segoe UI" w:cs="Segoe UI"/>
                <w:i w:val="0"/>
                <w:iCs w:val="0"/>
                <w:caps w:val="0"/>
                <w:spacing w:val="0"/>
                <w:sz w:val="19"/>
                <w:szCs w:val="19"/>
                <w:shd w:val="clear" w:fill="FFFFFF"/>
              </w:rPr>
              <w:t>Anti-tumor</w:t>
            </w:r>
          </w:p>
        </w:tc>
        <w:tc>
          <w:tcPr>
            <w:tcW w:w="4540" w:type="dxa"/>
            <w:tcBorders>
              <w:top w:val="nil"/>
              <w:left w:val="nil"/>
              <w:bottom w:val="nil"/>
              <w:right w:val="nil"/>
            </w:tcBorders>
            <w:shd w:val="clear" w:color="auto" w:fill="FFFFFF"/>
            <w:noWrap w:val="0"/>
            <w:vAlign w:val="top"/>
          </w:tcPr>
          <w:p w14:paraId="5D81D73D">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default" w:ascii="Times New Roman" w:hAnsi="Times New Roman" w:eastAsia="宋体" w:cs="Times New Roman"/>
                <w:b w:val="0"/>
                <w:color w:val="000000"/>
                <w:sz w:val="21"/>
                <w:szCs w:val="21"/>
                <w:lang w:val="en-US" w:eastAsia="zh-CN" w:bidi="ar-SA"/>
              </w:rPr>
            </w:pPr>
            <w:r>
              <w:rPr>
                <w:rFonts w:hint="default" w:ascii="Times New Roman" w:hAnsi="Times New Roman" w:eastAsia="宋体" w:cs="Times New Roman"/>
                <w:b w:val="0"/>
                <w:color w:val="000000"/>
                <w:sz w:val="21"/>
                <w:szCs w:val="21"/>
                <w:lang w:val="en-US" w:eastAsia="zh-CN" w:bidi="ar-SA"/>
              </w:rPr>
              <w:t>In vitro: Polygonatum cyrtonema Aqueous Extract exerts inhibitory effects on the growth of MFC, B16, 4T1, HepG2, Hela, and A549 cells, with the most significant inhibitory effect on B16 cells.</w:t>
            </w:r>
          </w:p>
        </w:tc>
        <w:tc>
          <w:tcPr>
            <w:tcW w:w="4120" w:type="dxa"/>
            <w:tcBorders>
              <w:top w:val="nil"/>
              <w:left w:val="nil"/>
              <w:bottom w:val="nil"/>
              <w:right w:val="nil"/>
            </w:tcBorders>
            <w:shd w:val="clear" w:color="auto" w:fill="FFFFFF"/>
            <w:noWrap w:val="0"/>
            <w:vAlign w:val="top"/>
          </w:tcPr>
          <w:p w14:paraId="48F987FF">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eastAsia" w:ascii="Times New Roman" w:hAnsi="Times New Roman" w:eastAsia="宋体" w:cs="Times New Roman"/>
                <w:b w:val="0"/>
                <w:color w:val="000000"/>
                <w:sz w:val="21"/>
                <w:szCs w:val="21"/>
                <w:lang w:val="en-US" w:eastAsia="zh-CN" w:bidi="ar-SA"/>
              </w:rPr>
            </w:pPr>
            <w:r>
              <w:rPr>
                <w:rFonts w:hint="eastAsia" w:ascii="Times New Roman" w:hAnsi="Times New Roman" w:eastAsia="宋体" w:cs="Times New Roman"/>
                <w:b w:val="0"/>
                <w:color w:val="000000"/>
                <w:sz w:val="21"/>
                <w:szCs w:val="21"/>
                <w:lang w:val="en-US" w:eastAsia="zh-CN" w:bidi="ar-SA"/>
              </w:rPr>
              <w:t>Promotes the apoptosis of B16 tumor cells by regulating the expression of cellular Bcl-2 and Bax genes.</w:t>
            </w:r>
          </w:p>
        </w:tc>
        <w:tc>
          <w:tcPr>
            <w:tcW w:w="1272" w:type="dxa"/>
            <w:tcBorders>
              <w:top w:val="nil"/>
              <w:left w:val="nil"/>
              <w:bottom w:val="nil"/>
              <w:right w:val="nil"/>
            </w:tcBorders>
            <w:shd w:val="clear" w:color="auto" w:fill="FFFFFF"/>
            <w:noWrap w:val="0"/>
            <w:vAlign w:val="top"/>
          </w:tcPr>
          <w:p w14:paraId="339A2697">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default" w:ascii="Times New Roman" w:hAnsi="Times New Roman" w:eastAsia="宋体" w:cs="Times New Roman"/>
                <w:b w:val="0"/>
                <w:color w:val="auto"/>
                <w:sz w:val="21"/>
                <w:szCs w:val="21"/>
                <w:lang w:val="en-US" w:eastAsia="zh-CN" w:bidi="ar-SA"/>
              </w:rPr>
            </w:pPr>
            <w:r>
              <w:rPr>
                <w:rFonts w:hint="eastAsia" w:cs="Times New Roman"/>
                <w:b w:val="0"/>
                <w:color w:val="auto"/>
                <w:sz w:val="21"/>
                <w:szCs w:val="21"/>
                <w:lang w:val="en-US" w:eastAsia="zh-CN" w:bidi="ar-SA"/>
              </w:rPr>
              <w:t>[82]</w:t>
            </w:r>
          </w:p>
        </w:tc>
      </w:tr>
      <w:tr w14:paraId="7E4E0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5" w:type="dxa"/>
            <w:tcBorders>
              <w:top w:val="nil"/>
              <w:left w:val="nil"/>
              <w:bottom w:val="nil"/>
              <w:right w:val="nil"/>
            </w:tcBorders>
            <w:shd w:val="clear" w:color="auto" w:fill="FFFFFF"/>
            <w:noWrap w:val="0"/>
            <w:vAlign w:val="top"/>
          </w:tcPr>
          <w:p w14:paraId="36E7A22A">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eastAsia" w:ascii="Times New Roman" w:hAnsi="Times New Roman" w:eastAsia="宋体" w:cs="Times New Roman"/>
                <w:b w:val="0"/>
                <w:color w:val="000000"/>
                <w:sz w:val="21"/>
                <w:szCs w:val="21"/>
                <w:lang w:val="en-US" w:eastAsia="zh-CN" w:bidi="ar-SA"/>
              </w:rPr>
            </w:pPr>
            <w:r>
              <w:rPr>
                <w:rFonts w:hint="eastAsia" w:ascii="Times New Roman" w:hAnsi="Times New Roman" w:eastAsia="宋体" w:cs="Times New Roman"/>
                <w:b w:val="0"/>
                <w:color w:val="000000"/>
                <w:sz w:val="21"/>
                <w:szCs w:val="21"/>
                <w:lang w:val="en-US" w:eastAsia="zh-CN" w:bidi="ar-SA"/>
              </w:rPr>
              <w:t>Polygonatum Polysaccharide Extract</w:t>
            </w:r>
          </w:p>
        </w:tc>
        <w:tc>
          <w:tcPr>
            <w:tcW w:w="1642" w:type="dxa"/>
            <w:tcBorders>
              <w:top w:val="nil"/>
              <w:left w:val="nil"/>
              <w:bottom w:val="nil"/>
              <w:right w:val="nil"/>
            </w:tcBorders>
            <w:shd w:val="clear" w:color="auto" w:fill="FFFFFF"/>
            <w:noWrap w:val="0"/>
            <w:vAlign w:val="top"/>
          </w:tcPr>
          <w:p w14:paraId="6BC72303">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eastAsia" w:ascii="Times New Roman" w:hAnsi="Times New Roman" w:eastAsia="宋体" w:cs="Times New Roman"/>
                <w:b w:val="0"/>
                <w:color w:val="000000"/>
                <w:sz w:val="21"/>
                <w:szCs w:val="21"/>
                <w:lang w:val="en-US" w:eastAsia="zh-CN" w:bidi="ar-SA"/>
              </w:rPr>
            </w:pPr>
            <w:r>
              <w:rPr>
                <w:rFonts w:ascii="Segoe UI" w:hAnsi="Segoe UI" w:eastAsia="Segoe UI" w:cs="Segoe UI"/>
                <w:i w:val="0"/>
                <w:iCs w:val="0"/>
                <w:caps w:val="0"/>
                <w:spacing w:val="0"/>
                <w:sz w:val="19"/>
                <w:szCs w:val="19"/>
                <w:shd w:val="clear" w:fill="FFFFFF"/>
              </w:rPr>
              <w:t>Anti-tumor</w:t>
            </w:r>
          </w:p>
        </w:tc>
        <w:tc>
          <w:tcPr>
            <w:tcW w:w="4540" w:type="dxa"/>
            <w:tcBorders>
              <w:top w:val="nil"/>
              <w:left w:val="nil"/>
              <w:bottom w:val="nil"/>
              <w:right w:val="nil"/>
            </w:tcBorders>
            <w:shd w:val="clear" w:color="auto" w:fill="FFFFFF"/>
            <w:noWrap w:val="0"/>
            <w:vAlign w:val="top"/>
          </w:tcPr>
          <w:p w14:paraId="0D71E0E1">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eastAsia" w:ascii="Times New Roman" w:hAnsi="Times New Roman" w:eastAsia="宋体" w:cs="Times New Roman"/>
                <w:b w:val="0"/>
                <w:color w:val="000000"/>
                <w:sz w:val="21"/>
                <w:szCs w:val="21"/>
                <w:lang w:val="en-US" w:eastAsia="zh-CN" w:bidi="ar-SA"/>
              </w:rPr>
            </w:pPr>
            <w:r>
              <w:rPr>
                <w:rFonts w:hint="eastAsia" w:ascii="Times New Roman" w:hAnsi="Times New Roman" w:eastAsia="宋体" w:cs="Times New Roman"/>
                <w:b w:val="0"/>
                <w:color w:val="000000"/>
                <w:sz w:val="21"/>
                <w:szCs w:val="21"/>
                <w:lang w:val="en-US" w:eastAsia="zh-CN" w:bidi="ar-SA"/>
              </w:rPr>
              <w:t>The Polygonatum polysaccharide extract can protect HSPCs and CLPs in the bone marrow, and reduce the number of TAMs, PMN-MDSCs, M-MDSCs, and TAMs  in tumor-infiltrating immune cells.</w:t>
            </w:r>
          </w:p>
        </w:tc>
        <w:tc>
          <w:tcPr>
            <w:tcW w:w="4120" w:type="dxa"/>
            <w:tcBorders>
              <w:top w:val="nil"/>
              <w:left w:val="nil"/>
              <w:bottom w:val="nil"/>
              <w:right w:val="nil"/>
            </w:tcBorders>
            <w:shd w:val="clear" w:color="auto" w:fill="FFFFFF"/>
            <w:noWrap w:val="0"/>
            <w:vAlign w:val="top"/>
          </w:tcPr>
          <w:p w14:paraId="34021D24">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eastAsia" w:ascii="Times New Roman" w:hAnsi="Times New Roman" w:eastAsia="宋体" w:cs="Times New Roman"/>
                <w:b w:val="0"/>
                <w:color w:val="000000"/>
                <w:sz w:val="21"/>
                <w:szCs w:val="21"/>
                <w:lang w:val="en-US" w:eastAsia="zh-CN" w:bidi="ar-SA"/>
              </w:rPr>
            </w:pPr>
          </w:p>
        </w:tc>
        <w:tc>
          <w:tcPr>
            <w:tcW w:w="1272" w:type="dxa"/>
            <w:tcBorders>
              <w:top w:val="nil"/>
              <w:left w:val="nil"/>
              <w:bottom w:val="nil"/>
              <w:right w:val="nil"/>
            </w:tcBorders>
            <w:shd w:val="clear" w:color="auto" w:fill="FFFFFF"/>
            <w:noWrap w:val="0"/>
            <w:vAlign w:val="top"/>
          </w:tcPr>
          <w:p w14:paraId="331BAD09">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default" w:ascii="Times New Roman" w:hAnsi="Times New Roman" w:eastAsia="宋体" w:cs="Times New Roman"/>
                <w:b w:val="0"/>
                <w:color w:val="auto"/>
                <w:sz w:val="21"/>
                <w:szCs w:val="21"/>
                <w:lang w:val="en-US" w:eastAsia="zh-CN" w:bidi="ar-SA"/>
              </w:rPr>
            </w:pPr>
            <w:r>
              <w:rPr>
                <w:rFonts w:hint="eastAsia" w:cs="Times New Roman"/>
                <w:b w:val="0"/>
                <w:color w:val="auto"/>
                <w:sz w:val="21"/>
                <w:szCs w:val="21"/>
                <w:lang w:val="en-US" w:eastAsia="zh-CN" w:bidi="ar-SA"/>
              </w:rPr>
              <w:t>[85]</w:t>
            </w:r>
          </w:p>
        </w:tc>
      </w:tr>
      <w:tr w14:paraId="1D393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5" w:type="dxa"/>
            <w:tcBorders>
              <w:top w:val="nil"/>
              <w:left w:val="nil"/>
              <w:bottom w:val="single" w:color="000000" w:sz="12" w:space="0"/>
              <w:right w:val="nil"/>
            </w:tcBorders>
            <w:shd w:val="clear" w:color="auto" w:fill="FFFFFF"/>
            <w:noWrap w:val="0"/>
            <w:vAlign w:val="top"/>
          </w:tcPr>
          <w:p w14:paraId="4BBF2EFB">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eastAsia" w:ascii="Times New Roman" w:hAnsi="Times New Roman" w:eastAsia="宋体" w:cs="Times New Roman"/>
                <w:b w:val="0"/>
                <w:color w:val="000000"/>
                <w:sz w:val="21"/>
                <w:szCs w:val="21"/>
                <w:lang w:val="en-US" w:eastAsia="zh-CN" w:bidi="ar-SA"/>
              </w:rPr>
            </w:pPr>
            <w:r>
              <w:rPr>
                <w:rFonts w:hint="eastAsia" w:ascii="Times New Roman" w:hAnsi="Times New Roman" w:eastAsia="宋体" w:cs="Times New Roman"/>
                <w:b w:val="0"/>
                <w:color w:val="000000"/>
                <w:sz w:val="21"/>
                <w:szCs w:val="21"/>
                <w:lang w:val="en-US" w:eastAsia="zh-CN" w:bidi="ar-SA"/>
              </w:rPr>
              <w:t>Polygonatum sibiricum Polyphenol Extract</w:t>
            </w:r>
          </w:p>
        </w:tc>
        <w:tc>
          <w:tcPr>
            <w:tcW w:w="1642" w:type="dxa"/>
            <w:tcBorders>
              <w:top w:val="nil"/>
              <w:left w:val="nil"/>
              <w:bottom w:val="single" w:color="000000" w:sz="12" w:space="0"/>
              <w:right w:val="nil"/>
            </w:tcBorders>
            <w:shd w:val="clear" w:color="auto" w:fill="FFFFFF"/>
            <w:noWrap w:val="0"/>
            <w:vAlign w:val="top"/>
          </w:tcPr>
          <w:p w14:paraId="4A0CDC9B">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default" w:ascii="Times New Roman" w:hAnsi="Times New Roman" w:eastAsia="宋体" w:cs="Times New Roman"/>
                <w:b w:val="0"/>
                <w:color w:val="000000"/>
                <w:sz w:val="21"/>
                <w:szCs w:val="21"/>
                <w:lang w:val="en-US" w:eastAsia="zh-CN" w:bidi="ar-SA"/>
              </w:rPr>
            </w:pPr>
            <w:r>
              <w:rPr>
                <w:rFonts w:ascii="Segoe UI" w:hAnsi="Segoe UI" w:eastAsia="Segoe UI" w:cs="Segoe UI"/>
                <w:i w:val="0"/>
                <w:iCs w:val="0"/>
                <w:caps w:val="0"/>
                <w:spacing w:val="0"/>
                <w:sz w:val="19"/>
                <w:szCs w:val="19"/>
                <w:shd w:val="clear" w:fill="FFFFFF"/>
              </w:rPr>
              <w:t>Anti-bacterial</w:t>
            </w:r>
          </w:p>
        </w:tc>
        <w:tc>
          <w:tcPr>
            <w:tcW w:w="4540" w:type="dxa"/>
            <w:tcBorders>
              <w:top w:val="nil"/>
              <w:left w:val="nil"/>
              <w:bottom w:val="single" w:color="000000" w:sz="12" w:space="0"/>
              <w:right w:val="nil"/>
            </w:tcBorders>
            <w:shd w:val="clear" w:color="auto" w:fill="FFFFFF"/>
            <w:noWrap w:val="0"/>
            <w:vAlign w:val="top"/>
          </w:tcPr>
          <w:p w14:paraId="4C356136">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default" w:ascii="Times New Roman" w:hAnsi="Times New Roman" w:eastAsia="宋体" w:cs="Times New Roman"/>
                <w:b w:val="0"/>
                <w:color w:val="000000"/>
                <w:sz w:val="21"/>
                <w:szCs w:val="21"/>
                <w:lang w:val="en-US" w:eastAsia="zh-CN" w:bidi="ar-SA"/>
              </w:rPr>
            </w:pPr>
            <w:r>
              <w:rPr>
                <w:rFonts w:hint="default" w:ascii="Times New Roman" w:hAnsi="Times New Roman" w:eastAsia="宋体" w:cs="Times New Roman"/>
                <w:b w:val="0"/>
                <w:color w:val="000000"/>
                <w:sz w:val="21"/>
                <w:szCs w:val="21"/>
                <w:lang w:val="en-US" w:eastAsia="zh-CN" w:bidi="ar-SA"/>
              </w:rPr>
              <w:t>The minimum inhibitory concentration (MIC) of Polygonatum sibiricum Polyphenol Extract against Escherichia coli and Bacillus subtilis is 50 mg/mL, and its minimum bactericidal concentration (MBC) is 100 mg/mL.</w:t>
            </w:r>
          </w:p>
        </w:tc>
        <w:tc>
          <w:tcPr>
            <w:tcW w:w="4120" w:type="dxa"/>
            <w:tcBorders>
              <w:top w:val="nil"/>
              <w:left w:val="nil"/>
              <w:bottom w:val="single" w:color="000000" w:sz="12" w:space="0"/>
              <w:right w:val="nil"/>
            </w:tcBorders>
            <w:shd w:val="clear" w:color="auto" w:fill="FFFFFF"/>
            <w:noWrap w:val="0"/>
            <w:vAlign w:val="top"/>
          </w:tcPr>
          <w:p w14:paraId="7D2A7CCE">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eastAsia" w:ascii="Times New Roman" w:hAnsi="Times New Roman" w:eastAsia="宋体" w:cs="Times New Roman"/>
                <w:b w:val="0"/>
                <w:color w:val="000000"/>
                <w:sz w:val="21"/>
                <w:szCs w:val="21"/>
                <w:lang w:val="en-US" w:eastAsia="zh-CN" w:bidi="ar-SA"/>
              </w:rPr>
            </w:pPr>
          </w:p>
        </w:tc>
        <w:tc>
          <w:tcPr>
            <w:tcW w:w="1272" w:type="dxa"/>
            <w:tcBorders>
              <w:top w:val="nil"/>
              <w:left w:val="nil"/>
              <w:bottom w:val="single" w:color="000000" w:sz="12" w:space="0"/>
              <w:right w:val="nil"/>
            </w:tcBorders>
            <w:shd w:val="clear" w:color="auto" w:fill="FFFFFF"/>
            <w:noWrap w:val="0"/>
            <w:vAlign w:val="top"/>
          </w:tcPr>
          <w:p w14:paraId="3AEAE743">
            <w:pPr>
              <w:keepNext w:val="0"/>
              <w:keepLines w:val="0"/>
              <w:pageBreakBefore w:val="0"/>
              <w:widowControl/>
              <w:kinsoku/>
              <w:wordWrap/>
              <w:overflowPunct/>
              <w:topLinePunct w:val="0"/>
              <w:autoSpaceDE/>
              <w:autoSpaceDN/>
              <w:bidi w:val="0"/>
              <w:adjustRightInd/>
              <w:snapToGrid w:val="0"/>
              <w:spacing w:before="0" w:after="0" w:line="240" w:lineRule="auto"/>
              <w:ind w:left="0" w:leftChars="0" w:firstLine="0" w:firstLineChars="0"/>
              <w:jc w:val="left"/>
              <w:textAlignment w:val="auto"/>
              <w:rPr>
                <w:rFonts w:hint="default" w:ascii="Times New Roman" w:hAnsi="Times New Roman" w:eastAsia="宋体" w:cs="Times New Roman"/>
                <w:b w:val="0"/>
                <w:color w:val="auto"/>
                <w:sz w:val="21"/>
                <w:szCs w:val="21"/>
                <w:lang w:val="en-US" w:eastAsia="zh-CN" w:bidi="ar-SA"/>
              </w:rPr>
            </w:pPr>
            <w:r>
              <w:rPr>
                <w:rFonts w:hint="eastAsia" w:cs="Times New Roman"/>
                <w:b w:val="0"/>
                <w:color w:val="auto"/>
                <w:sz w:val="21"/>
                <w:szCs w:val="21"/>
                <w:lang w:val="en-US" w:eastAsia="zh-CN" w:bidi="ar-SA"/>
              </w:rPr>
              <w:t>[91]</w:t>
            </w:r>
          </w:p>
        </w:tc>
      </w:tr>
    </w:tbl>
    <w:p w14:paraId="02D0DA40">
      <w:pPr>
        <w:rPr>
          <w:rFonts w:hint="eastAsia" w:eastAsia="宋体"/>
          <w:lang w:eastAsia="zh-CN"/>
        </w:rPr>
      </w:pPr>
    </w:p>
    <w:sectPr>
      <w:pgSz w:w="16838" w:h="11906" w:orient="landscape"/>
      <w:pgMar w:top="1800" w:right="1440" w:bottom="1800" w:left="144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swiss"/>
    <w:pitch w:val="default"/>
    <w:sig w:usb0="E4002EFF" w:usb1="C000E47F"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DB26426"/>
    <w:rsid w:val="00466C03"/>
    <w:rsid w:val="00482CC2"/>
    <w:rsid w:val="007A6CE9"/>
    <w:rsid w:val="00F56D53"/>
    <w:rsid w:val="01103BC2"/>
    <w:rsid w:val="0121275A"/>
    <w:rsid w:val="0150487A"/>
    <w:rsid w:val="01A50F26"/>
    <w:rsid w:val="01AE48DA"/>
    <w:rsid w:val="0247376A"/>
    <w:rsid w:val="0256574A"/>
    <w:rsid w:val="0257018F"/>
    <w:rsid w:val="028326D9"/>
    <w:rsid w:val="03737160"/>
    <w:rsid w:val="03A93EF9"/>
    <w:rsid w:val="03B76B21"/>
    <w:rsid w:val="049D0F07"/>
    <w:rsid w:val="04DB4311"/>
    <w:rsid w:val="0568185B"/>
    <w:rsid w:val="05DB3055"/>
    <w:rsid w:val="062A1EE5"/>
    <w:rsid w:val="07771131"/>
    <w:rsid w:val="07C034E1"/>
    <w:rsid w:val="086B2EE0"/>
    <w:rsid w:val="0964320E"/>
    <w:rsid w:val="098C266F"/>
    <w:rsid w:val="09CD6FC9"/>
    <w:rsid w:val="09EF3CB3"/>
    <w:rsid w:val="0ADE7C27"/>
    <w:rsid w:val="0B366B30"/>
    <w:rsid w:val="0BA200DD"/>
    <w:rsid w:val="0BB70E94"/>
    <w:rsid w:val="0C5C42DB"/>
    <w:rsid w:val="0C724D49"/>
    <w:rsid w:val="0CBD417C"/>
    <w:rsid w:val="0CC441CF"/>
    <w:rsid w:val="0CEA2CE6"/>
    <w:rsid w:val="0D117B6D"/>
    <w:rsid w:val="0D137BD6"/>
    <w:rsid w:val="0D3F7545"/>
    <w:rsid w:val="0D975B31"/>
    <w:rsid w:val="0DA61F72"/>
    <w:rsid w:val="0E195AF7"/>
    <w:rsid w:val="0E1C6B67"/>
    <w:rsid w:val="0E8217CF"/>
    <w:rsid w:val="0E984D3A"/>
    <w:rsid w:val="0EE825C3"/>
    <w:rsid w:val="0F8C546E"/>
    <w:rsid w:val="104C601E"/>
    <w:rsid w:val="106309CB"/>
    <w:rsid w:val="110F6C11"/>
    <w:rsid w:val="11A20EC7"/>
    <w:rsid w:val="11FB496F"/>
    <w:rsid w:val="13062336"/>
    <w:rsid w:val="13AB3379"/>
    <w:rsid w:val="13F90B86"/>
    <w:rsid w:val="142645AB"/>
    <w:rsid w:val="14963D26"/>
    <w:rsid w:val="14CF7977"/>
    <w:rsid w:val="153351FB"/>
    <w:rsid w:val="156162F8"/>
    <w:rsid w:val="156C2AD5"/>
    <w:rsid w:val="156E557A"/>
    <w:rsid w:val="15E165D5"/>
    <w:rsid w:val="17180BEC"/>
    <w:rsid w:val="17A16CA8"/>
    <w:rsid w:val="18693142"/>
    <w:rsid w:val="188E5D91"/>
    <w:rsid w:val="18A64A89"/>
    <w:rsid w:val="190B6C75"/>
    <w:rsid w:val="191051C6"/>
    <w:rsid w:val="198D1D49"/>
    <w:rsid w:val="19FE44E0"/>
    <w:rsid w:val="1A24456F"/>
    <w:rsid w:val="1A68411B"/>
    <w:rsid w:val="1A6A7C47"/>
    <w:rsid w:val="1AD07E0A"/>
    <w:rsid w:val="1AFD735E"/>
    <w:rsid w:val="1BCB315B"/>
    <w:rsid w:val="1BCF4FE9"/>
    <w:rsid w:val="1BF77B9C"/>
    <w:rsid w:val="1CC45D29"/>
    <w:rsid w:val="1DD85EC8"/>
    <w:rsid w:val="1DE75760"/>
    <w:rsid w:val="1E090E89"/>
    <w:rsid w:val="1E5019B7"/>
    <w:rsid w:val="1EFB4D34"/>
    <w:rsid w:val="200E2CF5"/>
    <w:rsid w:val="210A0217"/>
    <w:rsid w:val="210E0E17"/>
    <w:rsid w:val="223C090A"/>
    <w:rsid w:val="22881C12"/>
    <w:rsid w:val="22E64F87"/>
    <w:rsid w:val="22FF0459"/>
    <w:rsid w:val="25701352"/>
    <w:rsid w:val="26205C2F"/>
    <w:rsid w:val="264B6815"/>
    <w:rsid w:val="267442D0"/>
    <w:rsid w:val="267A6BD8"/>
    <w:rsid w:val="26922E30"/>
    <w:rsid w:val="2693533B"/>
    <w:rsid w:val="26D74212"/>
    <w:rsid w:val="27030E12"/>
    <w:rsid w:val="27100026"/>
    <w:rsid w:val="277634F0"/>
    <w:rsid w:val="278854F4"/>
    <w:rsid w:val="27CC63C3"/>
    <w:rsid w:val="293D5367"/>
    <w:rsid w:val="29572FF7"/>
    <w:rsid w:val="2A2A71DC"/>
    <w:rsid w:val="2B173890"/>
    <w:rsid w:val="2B8825CE"/>
    <w:rsid w:val="2C74366E"/>
    <w:rsid w:val="2DB26426"/>
    <w:rsid w:val="2EC64010"/>
    <w:rsid w:val="2EE350C7"/>
    <w:rsid w:val="2F3F12BF"/>
    <w:rsid w:val="2FF90496"/>
    <w:rsid w:val="307339F4"/>
    <w:rsid w:val="311F2E3E"/>
    <w:rsid w:val="31615B54"/>
    <w:rsid w:val="31EC4F4F"/>
    <w:rsid w:val="322A4587"/>
    <w:rsid w:val="323275DF"/>
    <w:rsid w:val="32AD2F93"/>
    <w:rsid w:val="33001D54"/>
    <w:rsid w:val="3304157C"/>
    <w:rsid w:val="33D24966"/>
    <w:rsid w:val="342369EF"/>
    <w:rsid w:val="342F5CDB"/>
    <w:rsid w:val="34593A60"/>
    <w:rsid w:val="34740F94"/>
    <w:rsid w:val="348353B9"/>
    <w:rsid w:val="34EA499D"/>
    <w:rsid w:val="34F46DF3"/>
    <w:rsid w:val="350215F2"/>
    <w:rsid w:val="356D2EB6"/>
    <w:rsid w:val="3586189D"/>
    <w:rsid w:val="362D6A1E"/>
    <w:rsid w:val="36912D6C"/>
    <w:rsid w:val="3697466E"/>
    <w:rsid w:val="383D63FA"/>
    <w:rsid w:val="38775997"/>
    <w:rsid w:val="38C8013E"/>
    <w:rsid w:val="38F62021"/>
    <w:rsid w:val="391B6C30"/>
    <w:rsid w:val="39866555"/>
    <w:rsid w:val="3990744B"/>
    <w:rsid w:val="399447F6"/>
    <w:rsid w:val="39A676AE"/>
    <w:rsid w:val="3A220DBA"/>
    <w:rsid w:val="3A9518AC"/>
    <w:rsid w:val="3B182F12"/>
    <w:rsid w:val="3B192666"/>
    <w:rsid w:val="3B6A33A1"/>
    <w:rsid w:val="3C1D6941"/>
    <w:rsid w:val="3D9C437D"/>
    <w:rsid w:val="3E0A6CE6"/>
    <w:rsid w:val="3E4B254B"/>
    <w:rsid w:val="3EBE4286"/>
    <w:rsid w:val="3F081F57"/>
    <w:rsid w:val="3F1060E2"/>
    <w:rsid w:val="3F76450B"/>
    <w:rsid w:val="3F9205F3"/>
    <w:rsid w:val="40531827"/>
    <w:rsid w:val="40A95B37"/>
    <w:rsid w:val="40E35126"/>
    <w:rsid w:val="41155F05"/>
    <w:rsid w:val="41922E68"/>
    <w:rsid w:val="42C01CD8"/>
    <w:rsid w:val="431E1E53"/>
    <w:rsid w:val="43631CA1"/>
    <w:rsid w:val="43863014"/>
    <w:rsid w:val="43D2307D"/>
    <w:rsid w:val="43D27D51"/>
    <w:rsid w:val="43DC24BC"/>
    <w:rsid w:val="445D4085"/>
    <w:rsid w:val="452B41F9"/>
    <w:rsid w:val="456E2FE8"/>
    <w:rsid w:val="459815BF"/>
    <w:rsid w:val="46FF44BC"/>
    <w:rsid w:val="478135DE"/>
    <w:rsid w:val="47890D2C"/>
    <w:rsid w:val="47FA2AB6"/>
    <w:rsid w:val="47FE402C"/>
    <w:rsid w:val="4836233E"/>
    <w:rsid w:val="48684004"/>
    <w:rsid w:val="48DF41C7"/>
    <w:rsid w:val="48E1331D"/>
    <w:rsid w:val="49025B53"/>
    <w:rsid w:val="491C0C1F"/>
    <w:rsid w:val="49EE7DC0"/>
    <w:rsid w:val="4A4C46A4"/>
    <w:rsid w:val="4B22492B"/>
    <w:rsid w:val="4BFD6EA7"/>
    <w:rsid w:val="4C3627B2"/>
    <w:rsid w:val="4C44442E"/>
    <w:rsid w:val="4CEF4C08"/>
    <w:rsid w:val="4D844F88"/>
    <w:rsid w:val="4DAF6B14"/>
    <w:rsid w:val="4DBF2B93"/>
    <w:rsid w:val="4DC56C92"/>
    <w:rsid w:val="4DC62805"/>
    <w:rsid w:val="4E107DE3"/>
    <w:rsid w:val="4E9D644F"/>
    <w:rsid w:val="4EA115B9"/>
    <w:rsid w:val="4EC23D92"/>
    <w:rsid w:val="4EC627A4"/>
    <w:rsid w:val="4FBA0F24"/>
    <w:rsid w:val="4FE15A5B"/>
    <w:rsid w:val="505615FE"/>
    <w:rsid w:val="507A4116"/>
    <w:rsid w:val="517B0221"/>
    <w:rsid w:val="51E23818"/>
    <w:rsid w:val="52810AA9"/>
    <w:rsid w:val="54020103"/>
    <w:rsid w:val="552250AB"/>
    <w:rsid w:val="56551298"/>
    <w:rsid w:val="56645F92"/>
    <w:rsid w:val="56F43304"/>
    <w:rsid w:val="56FD0883"/>
    <w:rsid w:val="571864E3"/>
    <w:rsid w:val="57823900"/>
    <w:rsid w:val="57BB629E"/>
    <w:rsid w:val="57CB06D6"/>
    <w:rsid w:val="57D54EDD"/>
    <w:rsid w:val="58661696"/>
    <w:rsid w:val="58710227"/>
    <w:rsid w:val="58937E81"/>
    <w:rsid w:val="58CD420B"/>
    <w:rsid w:val="58E0243E"/>
    <w:rsid w:val="595B787C"/>
    <w:rsid w:val="59662140"/>
    <w:rsid w:val="5A12477C"/>
    <w:rsid w:val="5A444D0A"/>
    <w:rsid w:val="5B952869"/>
    <w:rsid w:val="5C2754F2"/>
    <w:rsid w:val="5C2B19BA"/>
    <w:rsid w:val="5C2E4D12"/>
    <w:rsid w:val="5C4E1689"/>
    <w:rsid w:val="5C540F23"/>
    <w:rsid w:val="5C75296C"/>
    <w:rsid w:val="5CCD3EC5"/>
    <w:rsid w:val="5D10082D"/>
    <w:rsid w:val="5D442FEC"/>
    <w:rsid w:val="5D746ACE"/>
    <w:rsid w:val="5D9615A2"/>
    <w:rsid w:val="5E316DC9"/>
    <w:rsid w:val="5F403922"/>
    <w:rsid w:val="5FD65D1E"/>
    <w:rsid w:val="5FED0953"/>
    <w:rsid w:val="5FF76E01"/>
    <w:rsid w:val="608720C0"/>
    <w:rsid w:val="60C663AD"/>
    <w:rsid w:val="60EF1DA8"/>
    <w:rsid w:val="61582C51"/>
    <w:rsid w:val="61A95E10"/>
    <w:rsid w:val="61BB1A84"/>
    <w:rsid w:val="61D23CBE"/>
    <w:rsid w:val="61F561E6"/>
    <w:rsid w:val="62112B67"/>
    <w:rsid w:val="62590C4E"/>
    <w:rsid w:val="626F39A9"/>
    <w:rsid w:val="629A4A7D"/>
    <w:rsid w:val="63C720D8"/>
    <w:rsid w:val="64CC514B"/>
    <w:rsid w:val="65343F0F"/>
    <w:rsid w:val="653E12E0"/>
    <w:rsid w:val="65C01597"/>
    <w:rsid w:val="66C52A15"/>
    <w:rsid w:val="6757011F"/>
    <w:rsid w:val="67785D4D"/>
    <w:rsid w:val="67EF561A"/>
    <w:rsid w:val="68095609"/>
    <w:rsid w:val="68354946"/>
    <w:rsid w:val="6A3570A1"/>
    <w:rsid w:val="6A7C1106"/>
    <w:rsid w:val="6AC707B3"/>
    <w:rsid w:val="6C422A52"/>
    <w:rsid w:val="6C927854"/>
    <w:rsid w:val="6C976169"/>
    <w:rsid w:val="6D04100D"/>
    <w:rsid w:val="6D0B334A"/>
    <w:rsid w:val="6D1124C4"/>
    <w:rsid w:val="6D127D1F"/>
    <w:rsid w:val="6D493187"/>
    <w:rsid w:val="6D72779A"/>
    <w:rsid w:val="6DBD4D97"/>
    <w:rsid w:val="6E58566A"/>
    <w:rsid w:val="6EBD147B"/>
    <w:rsid w:val="6ECD7F92"/>
    <w:rsid w:val="6EEA3E5C"/>
    <w:rsid w:val="6FF81255"/>
    <w:rsid w:val="705A0F03"/>
    <w:rsid w:val="70B00D2D"/>
    <w:rsid w:val="710B66B9"/>
    <w:rsid w:val="71BF23A8"/>
    <w:rsid w:val="71E860F3"/>
    <w:rsid w:val="71EA7348"/>
    <w:rsid w:val="72BB05BE"/>
    <w:rsid w:val="730E2F1C"/>
    <w:rsid w:val="73AA5801"/>
    <w:rsid w:val="73D03DCB"/>
    <w:rsid w:val="73D37FAD"/>
    <w:rsid w:val="73F54B8F"/>
    <w:rsid w:val="742C7EB6"/>
    <w:rsid w:val="74444B05"/>
    <w:rsid w:val="745D20E4"/>
    <w:rsid w:val="74A673D4"/>
    <w:rsid w:val="74C94729"/>
    <w:rsid w:val="75471CF8"/>
    <w:rsid w:val="75570A13"/>
    <w:rsid w:val="75873EF1"/>
    <w:rsid w:val="75AA19C3"/>
    <w:rsid w:val="75AD63BD"/>
    <w:rsid w:val="75D21E8F"/>
    <w:rsid w:val="76F61330"/>
    <w:rsid w:val="77544995"/>
    <w:rsid w:val="77771101"/>
    <w:rsid w:val="78031871"/>
    <w:rsid w:val="79583E2B"/>
    <w:rsid w:val="79DA1481"/>
    <w:rsid w:val="79FD2EC3"/>
    <w:rsid w:val="7A0F7B94"/>
    <w:rsid w:val="7A793209"/>
    <w:rsid w:val="7AA44647"/>
    <w:rsid w:val="7AB36763"/>
    <w:rsid w:val="7B48021F"/>
    <w:rsid w:val="7C4327D7"/>
    <w:rsid w:val="7CE51B5E"/>
    <w:rsid w:val="7CE90F32"/>
    <w:rsid w:val="7DF16902"/>
    <w:rsid w:val="7E956F7A"/>
    <w:rsid w:val="7F0D0078"/>
    <w:rsid w:val="7F0D6A17"/>
    <w:rsid w:val="7F5C2D92"/>
    <w:rsid w:val="7F9950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420" w:firstLineChars="200"/>
      <w:jc w:val="both"/>
    </w:pPr>
    <w:rPr>
      <w:rFonts w:ascii="Times New Roman" w:hAnsi="Times New Roman" w:eastAsia="宋体" w:cstheme="minorBidi"/>
      <w:sz w:val="21"/>
      <w:szCs w:val="21"/>
    </w:rPr>
  </w:style>
  <w:style w:type="paragraph" w:styleId="2">
    <w:name w:val="heading 1"/>
    <w:basedOn w:val="1"/>
    <w:next w:val="1"/>
    <w:link w:val="11"/>
    <w:qFormat/>
    <w:uiPriority w:val="0"/>
    <w:pPr>
      <w:spacing w:before="0" w:beforeAutospacing="1" w:after="0" w:afterAutospacing="1"/>
      <w:ind w:firstLine="0" w:firstLineChars="0"/>
      <w:jc w:val="left"/>
      <w:outlineLvl w:val="0"/>
    </w:pPr>
    <w:rPr>
      <w:rFonts w:hint="eastAsia" w:cs="Times New Roman"/>
      <w:sz w:val="28"/>
      <w:szCs w:val="28"/>
      <w:lang w:val="en-US" w:eastAsia="zh-CN" w:bidi="ar"/>
    </w:rPr>
  </w:style>
  <w:style w:type="paragraph" w:styleId="3">
    <w:name w:val="heading 2"/>
    <w:next w:val="1"/>
    <w:semiHidden/>
    <w:unhideWhenUsed/>
    <w:qFormat/>
    <w:uiPriority w:val="0"/>
    <w:pPr>
      <w:spacing w:line="360" w:lineRule="auto"/>
      <w:ind w:left="0"/>
      <w:jc w:val="left"/>
      <w:outlineLvl w:val="1"/>
    </w:pPr>
    <w:rPr>
      <w:rFonts w:ascii="Arial" w:hAnsi="Arial" w:eastAsia="宋体" w:cs="Arial"/>
      <w:b/>
      <w:bCs/>
      <w:sz w:val="28"/>
      <w:szCs w:val="32"/>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5">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0"/>
    <w:rPr>
      <w:b/>
    </w:rPr>
  </w:style>
  <w:style w:type="character" w:styleId="10">
    <w:name w:val="Emphasis"/>
    <w:basedOn w:val="8"/>
    <w:qFormat/>
    <w:uiPriority w:val="0"/>
    <w:rPr>
      <w:i/>
    </w:rPr>
  </w:style>
  <w:style w:type="character" w:customStyle="1" w:styleId="11">
    <w:name w:val="标题 1 Char"/>
    <w:link w:val="2"/>
    <w:qFormat/>
    <w:uiPriority w:val="0"/>
    <w:rPr>
      <w:rFonts w:hint="eastAsia" w:eastAsia="宋体" w:cs="Times New Roman"/>
      <w:sz w:val="28"/>
      <w:szCs w:val="28"/>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市直单位</Company>
  <Pages>6</Pages>
  <Words>1216</Words>
  <Characters>7493</Characters>
  <Lines>0</Lines>
  <Paragraphs>0</Paragraphs>
  <TotalTime>27</TotalTime>
  <ScaleCrop>false</ScaleCrop>
  <LinksUpToDate>false</LinksUpToDate>
  <CharactersWithSpaces>8642</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2025-09-19T08:41:00Z</dcterms:created>
  <dc:creator>xietao</dc:creator>
  <cp:lastModifiedBy>xietao</cp:lastModifiedBy>
  <dcterms:modified xsi:type="dcterms:W3CDTF">2026-04-08T07:59:43Z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4610F996219049FFA1F3C5E809C84EE2_13</vt:lpwstr>
  </property>
  <property fmtid="{D5CDD505-2E9C-101B-9397-08002B2CF9AE}" pid="4" name="KSOTemplateDocerSaveRecord">
    <vt:lpwstr>eyJoZGlkIjoiOTc2MzUxY2ZmN2E5NDg1OGQxY2JlZmM4YTk0N2E3MTkiLCJ1c2VySWQiOiI1ODI1MzMyNjkifQ==</vt:lpwstr>
  </property>
</Properties>
</file>