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9F78F" w14:textId="77777777" w:rsidR="00EB77E7" w:rsidRPr="00DE3221" w:rsidRDefault="00EB77E7" w:rsidP="001B41EA">
      <w:pPr>
        <w:rPr>
          <w:rFonts w:ascii="Times New Roman" w:hAnsi="Times New Roman" w:cs="Times New Roman"/>
          <w:b/>
          <w:sz w:val="24"/>
          <w:szCs w:val="24"/>
        </w:rPr>
      </w:pPr>
    </w:p>
    <w:p w14:paraId="700605CF" w14:textId="6ED4C96F" w:rsidR="001B41EA" w:rsidRPr="00DE3221" w:rsidRDefault="00A36D12" w:rsidP="001B41EA">
      <w:pPr>
        <w:rPr>
          <w:rFonts w:ascii="Times New Roman" w:hAnsi="Times New Roman" w:cs="Times New Roman"/>
        </w:rPr>
      </w:pPr>
      <w:r w:rsidRPr="00DE3221">
        <w:rPr>
          <w:rFonts w:ascii="Times New Roman" w:hAnsi="Times New Roman" w:cs="Times New Roman"/>
          <w:b/>
          <w:sz w:val="24"/>
          <w:szCs w:val="24"/>
        </w:rPr>
        <w:t>Appendix</w:t>
      </w:r>
      <w:r w:rsidR="001B41EA" w:rsidRPr="00DE32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77E7" w:rsidRPr="00DE3221">
        <w:rPr>
          <w:rFonts w:ascii="Times New Roman" w:hAnsi="Times New Roman" w:cs="Times New Roman"/>
          <w:b/>
          <w:sz w:val="24"/>
          <w:szCs w:val="24"/>
        </w:rPr>
        <w:t>1</w:t>
      </w:r>
      <w:r w:rsidR="001B41EA" w:rsidRPr="00DE3221">
        <w:rPr>
          <w:rFonts w:ascii="Times New Roman" w:hAnsi="Times New Roman" w:cs="Times New Roman"/>
          <w:b/>
          <w:sz w:val="24"/>
          <w:szCs w:val="24"/>
        </w:rPr>
        <w:t>.</w:t>
      </w:r>
      <w:r w:rsidR="001B41EA" w:rsidRPr="00DE3221">
        <w:rPr>
          <w:rFonts w:ascii="Times New Roman" w:hAnsi="Times New Roman" w:cs="Times New Roman"/>
        </w:rPr>
        <w:t xml:space="preserve"> Quality </w:t>
      </w:r>
      <w:r w:rsidRPr="00DE3221">
        <w:rPr>
          <w:rFonts w:ascii="Times New Roman" w:hAnsi="Times New Roman" w:cs="Times New Roman"/>
        </w:rPr>
        <w:t>assessment of included studies.</w:t>
      </w:r>
    </w:p>
    <w:tbl>
      <w:tblPr>
        <w:tblStyle w:val="TableGrid"/>
        <w:tblW w:w="14459" w:type="dxa"/>
        <w:jc w:val="center"/>
        <w:tblLook w:val="04A0" w:firstRow="1" w:lastRow="0" w:firstColumn="1" w:lastColumn="0" w:noHBand="0" w:noVBand="1"/>
      </w:tblPr>
      <w:tblGrid>
        <w:gridCol w:w="1399"/>
        <w:gridCol w:w="1441"/>
        <w:gridCol w:w="2303"/>
        <w:gridCol w:w="2048"/>
        <w:gridCol w:w="2005"/>
        <w:gridCol w:w="1671"/>
        <w:gridCol w:w="1780"/>
        <w:gridCol w:w="1812"/>
      </w:tblGrid>
      <w:tr w:rsidR="001B41EA" w:rsidRPr="00DE3221" w14:paraId="65B2397C" w14:textId="77777777" w:rsidTr="00DE3221">
        <w:trPr>
          <w:jc w:val="center"/>
        </w:trPr>
        <w:tc>
          <w:tcPr>
            <w:tcW w:w="1399" w:type="dxa"/>
            <w:vAlign w:val="center"/>
            <w:hideMark/>
          </w:tcPr>
          <w:p w14:paraId="3219C193" w14:textId="77777777" w:rsidR="001B41EA" w:rsidRPr="00DE3221" w:rsidRDefault="001B41EA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Type of Study</w:t>
            </w:r>
          </w:p>
        </w:tc>
        <w:tc>
          <w:tcPr>
            <w:tcW w:w="1441" w:type="dxa"/>
            <w:vAlign w:val="center"/>
            <w:hideMark/>
          </w:tcPr>
          <w:p w14:paraId="2123E31F" w14:textId="77777777" w:rsidR="001B41EA" w:rsidRPr="00DE3221" w:rsidRDefault="001B41EA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 xml:space="preserve">Study </w:t>
            </w:r>
          </w:p>
        </w:tc>
        <w:tc>
          <w:tcPr>
            <w:tcW w:w="4351" w:type="dxa"/>
            <w:gridSpan w:val="2"/>
            <w:vAlign w:val="center"/>
            <w:hideMark/>
          </w:tcPr>
          <w:p w14:paraId="78CCD102" w14:textId="77777777" w:rsidR="001B41EA" w:rsidRPr="00DE3221" w:rsidRDefault="001B41EA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Screening Questions</w:t>
            </w:r>
          </w:p>
        </w:tc>
        <w:tc>
          <w:tcPr>
            <w:tcW w:w="7268" w:type="dxa"/>
            <w:gridSpan w:val="4"/>
            <w:vAlign w:val="center"/>
            <w:hideMark/>
          </w:tcPr>
          <w:p w14:paraId="647B3522" w14:textId="77777777" w:rsidR="001B41EA" w:rsidRPr="00DE3221" w:rsidRDefault="001B41EA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Methodological Quality Criteria</w:t>
            </w:r>
          </w:p>
        </w:tc>
      </w:tr>
      <w:tr w:rsidR="00CF6C28" w:rsidRPr="00DE3221" w14:paraId="09F4D6B3" w14:textId="77777777" w:rsidTr="003723A8">
        <w:trPr>
          <w:jc w:val="center"/>
        </w:trPr>
        <w:tc>
          <w:tcPr>
            <w:tcW w:w="2840" w:type="dxa"/>
            <w:gridSpan w:val="2"/>
            <w:vAlign w:val="center"/>
            <w:hideMark/>
          </w:tcPr>
          <w:p w14:paraId="1433AA2A" w14:textId="2F4306BF" w:rsidR="00CF6C28" w:rsidRPr="00DE3221" w:rsidRDefault="00CF6C28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Qualitative method</w:t>
            </w:r>
          </w:p>
        </w:tc>
        <w:tc>
          <w:tcPr>
            <w:tcW w:w="2303" w:type="dxa"/>
            <w:vAlign w:val="center"/>
            <w:hideMark/>
          </w:tcPr>
          <w:p w14:paraId="1D13D498" w14:textId="594B7638" w:rsidR="00CF6C28" w:rsidRPr="00DE3221" w:rsidRDefault="00CF6C28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 xml:space="preserve">Are there clear qualitative and quantitative research questions (or objectives) or a clear mixed methods question (or objective) </w:t>
            </w:r>
            <w:r w:rsidRPr="00DE3221">
              <w:rPr>
                <w:rFonts w:ascii="Times New Roman" w:hAnsi="Times New Roman" w:cs="Times New Roman"/>
              </w:rPr>
              <w:t>？</w:t>
            </w:r>
          </w:p>
        </w:tc>
        <w:tc>
          <w:tcPr>
            <w:tcW w:w="2048" w:type="dxa"/>
            <w:vAlign w:val="center"/>
            <w:hideMark/>
          </w:tcPr>
          <w:p w14:paraId="1CCF8734" w14:textId="77777777" w:rsidR="00CF6C28" w:rsidRPr="00DE3221" w:rsidRDefault="00CF6C28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Do the collected data allow address the research question(objective)</w:t>
            </w:r>
            <w:r w:rsidRPr="00DE3221">
              <w:rPr>
                <w:rFonts w:ascii="Times New Roman" w:eastAsia="SimSun" w:hAnsi="Times New Roman" w:cs="Times New Roman"/>
              </w:rPr>
              <w:t>？</w:t>
            </w:r>
            <w:r w:rsidRPr="00DE322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05" w:type="dxa"/>
            <w:vAlign w:val="center"/>
            <w:hideMark/>
          </w:tcPr>
          <w:p w14:paraId="608285A8" w14:textId="77777777" w:rsidR="00CF6C28" w:rsidRPr="00DE3221" w:rsidRDefault="00CF6C28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1.1. Are the sources of qualitative data (archives, documents, informants, observations) relevant to address the research question (objective)</w:t>
            </w:r>
            <w:r w:rsidRPr="00DE3221">
              <w:rPr>
                <w:rFonts w:ascii="Times New Roman" w:hAnsi="Times New Roman" w:cs="Times New Roman"/>
              </w:rPr>
              <w:t>？</w:t>
            </w:r>
          </w:p>
        </w:tc>
        <w:tc>
          <w:tcPr>
            <w:tcW w:w="1671" w:type="dxa"/>
            <w:vAlign w:val="center"/>
            <w:hideMark/>
          </w:tcPr>
          <w:p w14:paraId="0A4E633A" w14:textId="77777777" w:rsidR="00CF6C28" w:rsidRPr="00DE3221" w:rsidRDefault="00CF6C28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1.2. Is the process for analyzing qualitative data relevant to address the research question (objective)</w:t>
            </w:r>
            <w:r w:rsidRPr="00DE3221">
              <w:rPr>
                <w:rFonts w:ascii="Times New Roman" w:hAnsi="Times New Roman" w:cs="Times New Roman"/>
              </w:rPr>
              <w:t>？</w:t>
            </w:r>
          </w:p>
        </w:tc>
        <w:tc>
          <w:tcPr>
            <w:tcW w:w="1780" w:type="dxa"/>
            <w:vAlign w:val="center"/>
            <w:hideMark/>
          </w:tcPr>
          <w:p w14:paraId="7C415420" w14:textId="77777777" w:rsidR="00CF6C28" w:rsidRPr="00DE3221" w:rsidRDefault="00CF6C28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1.3. ls appropriate consideration given to how findings relate to the context, e.g.</w:t>
            </w:r>
            <w:r w:rsidRPr="00DE3221">
              <w:rPr>
                <w:rFonts w:ascii="Times New Roman" w:eastAsia="SimSun" w:hAnsi="Times New Roman" w:cs="Times New Roman"/>
              </w:rPr>
              <w:t>，</w:t>
            </w:r>
            <w:r w:rsidRPr="00DE3221">
              <w:rPr>
                <w:rFonts w:ascii="Times New Roman" w:hAnsi="Times New Roman" w:cs="Times New Roman"/>
              </w:rPr>
              <w:t xml:space="preserve"> the setting, in which the data were collected</w:t>
            </w:r>
            <w:r w:rsidRPr="00DE3221">
              <w:rPr>
                <w:rFonts w:ascii="Times New Roman" w:hAnsi="Times New Roman" w:cs="Times New Roman"/>
              </w:rPr>
              <w:t>？</w:t>
            </w:r>
          </w:p>
        </w:tc>
        <w:tc>
          <w:tcPr>
            <w:tcW w:w="1812" w:type="dxa"/>
            <w:vAlign w:val="center"/>
            <w:hideMark/>
          </w:tcPr>
          <w:p w14:paraId="71454855" w14:textId="77777777" w:rsidR="00CF6C28" w:rsidRPr="00DE3221" w:rsidRDefault="00CF6C28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1.4. Is appropriate consideration given to how findings relate to researchers’ influence, e.g.</w:t>
            </w:r>
            <w:r w:rsidRPr="00DE3221">
              <w:rPr>
                <w:rFonts w:ascii="Times New Roman" w:eastAsia="SimSun" w:hAnsi="Times New Roman" w:cs="Times New Roman"/>
              </w:rPr>
              <w:t>，</w:t>
            </w:r>
            <w:r w:rsidRPr="00DE3221">
              <w:rPr>
                <w:rFonts w:ascii="Times New Roman" w:hAnsi="Times New Roman" w:cs="Times New Roman"/>
              </w:rPr>
              <w:t xml:space="preserve"> through their interactions with participants</w:t>
            </w:r>
            <w:r w:rsidRPr="00DE3221">
              <w:rPr>
                <w:rFonts w:ascii="Times New Roman" w:hAnsi="Times New Roman" w:cs="Times New Roman"/>
              </w:rPr>
              <w:t>？</w:t>
            </w:r>
          </w:p>
        </w:tc>
      </w:tr>
      <w:tr w:rsidR="00DE3221" w:rsidRPr="00DE3221" w14:paraId="7E2D82A6" w14:textId="77777777" w:rsidTr="00DE3221">
        <w:trPr>
          <w:jc w:val="center"/>
        </w:trPr>
        <w:tc>
          <w:tcPr>
            <w:tcW w:w="1399" w:type="dxa"/>
            <w:vAlign w:val="center"/>
          </w:tcPr>
          <w:p w14:paraId="10DD4136" w14:textId="7EDEBAD0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1" w:type="dxa"/>
            <w:vAlign w:val="center"/>
          </w:tcPr>
          <w:p w14:paraId="131B603B" w14:textId="0B91407A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(Buhalis &amp; Moldavska, 2021)</w:t>
            </w:r>
          </w:p>
        </w:tc>
        <w:tc>
          <w:tcPr>
            <w:tcW w:w="2303" w:type="dxa"/>
            <w:vAlign w:val="center"/>
          </w:tcPr>
          <w:p w14:paraId="1C475FF9" w14:textId="318AA0CE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79399132" w14:textId="6D302DD9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30841EC8" w14:textId="4E78776D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579D9C9F" w14:textId="200475D5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548E61EB" w14:textId="2974F48A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754F4C42" w14:textId="64B795A7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DE3221" w:rsidRPr="00DE3221" w14:paraId="32571E73" w14:textId="77777777" w:rsidTr="00DE3221">
        <w:trPr>
          <w:jc w:val="center"/>
        </w:trPr>
        <w:tc>
          <w:tcPr>
            <w:tcW w:w="1399" w:type="dxa"/>
            <w:vAlign w:val="center"/>
          </w:tcPr>
          <w:p w14:paraId="5A55CEC8" w14:textId="41B1BFCA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1" w:type="dxa"/>
            <w:vAlign w:val="center"/>
          </w:tcPr>
          <w:p w14:paraId="28EAC438" w14:textId="5E632D1C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14:paraId="517671F5" w14:textId="2E47DAB3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47FEA722" w14:textId="6C5BDA9F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0F5EA91C" w14:textId="7E8A63D7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3D8A3DE9" w14:textId="66292A91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7B75E9F5" w14:textId="06D62B60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759D65CB" w14:textId="71F5149C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DE3221" w:rsidRPr="00DE3221" w14:paraId="2FA4DB91" w14:textId="77777777" w:rsidTr="00DE3221">
        <w:trPr>
          <w:jc w:val="center"/>
        </w:trPr>
        <w:tc>
          <w:tcPr>
            <w:tcW w:w="1399" w:type="dxa"/>
            <w:vAlign w:val="center"/>
          </w:tcPr>
          <w:p w14:paraId="731FA6F7" w14:textId="5B177688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1" w:type="dxa"/>
            <w:vAlign w:val="center"/>
          </w:tcPr>
          <w:p w14:paraId="20554619" w14:textId="602F0979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(Ahmed, Ambika, &amp; Belk, 2022)</w:t>
            </w:r>
          </w:p>
        </w:tc>
        <w:tc>
          <w:tcPr>
            <w:tcW w:w="2303" w:type="dxa"/>
            <w:vAlign w:val="center"/>
          </w:tcPr>
          <w:p w14:paraId="026EE402" w14:textId="159DD308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732DD9AB" w14:textId="1ADF06DE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41047720" w14:textId="1E2527BE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635AD6B9" w14:textId="5452F3BC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2EEC57B7" w14:textId="614AC229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3BEDDF86" w14:textId="6224A8EB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DE3221" w:rsidRPr="00DE3221" w14:paraId="0A3A6685" w14:textId="77777777" w:rsidTr="00DE3221">
        <w:trPr>
          <w:jc w:val="center"/>
        </w:trPr>
        <w:tc>
          <w:tcPr>
            <w:tcW w:w="1399" w:type="dxa"/>
            <w:vAlign w:val="center"/>
          </w:tcPr>
          <w:p w14:paraId="77F81331" w14:textId="2E2B2A8E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1" w:type="dxa"/>
            <w:vAlign w:val="center"/>
          </w:tcPr>
          <w:p w14:paraId="0305247C" w14:textId="078B5ED9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14:paraId="775548E3" w14:textId="62B590C1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1DDA343D" w14:textId="791724EC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5712D7CF" w14:textId="12726896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08EDFD44" w14:textId="0D5D6531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2D19BDBF" w14:textId="0C079942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4F910A06" w14:textId="33713024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DE3221" w:rsidRPr="00DE3221" w14:paraId="126DFE43" w14:textId="77777777" w:rsidTr="00DE3221">
        <w:trPr>
          <w:jc w:val="center"/>
        </w:trPr>
        <w:tc>
          <w:tcPr>
            <w:tcW w:w="1399" w:type="dxa"/>
            <w:vAlign w:val="center"/>
          </w:tcPr>
          <w:p w14:paraId="7D7BA3BA" w14:textId="490C59AF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1" w:type="dxa"/>
            <w:vAlign w:val="center"/>
          </w:tcPr>
          <w:p w14:paraId="0B45053E" w14:textId="2180E734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(Hilken et al., 2022)</w:t>
            </w:r>
          </w:p>
        </w:tc>
        <w:tc>
          <w:tcPr>
            <w:tcW w:w="2303" w:type="dxa"/>
            <w:vAlign w:val="center"/>
          </w:tcPr>
          <w:p w14:paraId="71E6D9F0" w14:textId="6A7F1474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4043B1CA" w14:textId="07F06D5F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000877EA" w14:textId="4A22FDAF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5FED0434" w14:textId="52FFBFDF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22C72193" w14:textId="1A8F1DD8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4C5FCDFB" w14:textId="185096B8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DE3221" w:rsidRPr="00DE3221" w14:paraId="2F162037" w14:textId="77777777" w:rsidTr="00DE3221">
        <w:trPr>
          <w:jc w:val="center"/>
        </w:trPr>
        <w:tc>
          <w:tcPr>
            <w:tcW w:w="1399" w:type="dxa"/>
            <w:vAlign w:val="center"/>
          </w:tcPr>
          <w:p w14:paraId="20C00F48" w14:textId="79D96F14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1" w:type="dxa"/>
            <w:vAlign w:val="center"/>
          </w:tcPr>
          <w:p w14:paraId="031706D1" w14:textId="693280E4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14:paraId="256D223F" w14:textId="284085E7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66C785B5" w14:textId="2DA07DE6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0F6151CA" w14:textId="3B6B0F72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238B6E7A" w14:textId="3870BB42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371A0BB9" w14:textId="7F78A907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7D408408" w14:textId="66B2C8D0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DE3221" w:rsidRPr="00DE3221" w14:paraId="3A4659E8" w14:textId="77777777" w:rsidTr="00DE3221">
        <w:trPr>
          <w:jc w:val="center"/>
        </w:trPr>
        <w:tc>
          <w:tcPr>
            <w:tcW w:w="1399" w:type="dxa"/>
            <w:vAlign w:val="center"/>
          </w:tcPr>
          <w:p w14:paraId="2A3E001A" w14:textId="16C1E7E9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41" w:type="dxa"/>
            <w:vAlign w:val="center"/>
          </w:tcPr>
          <w:p w14:paraId="2796C1E9" w14:textId="5BB38F58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 xml:space="preserve">(Yin, Jung, Tom Dieck, &amp; </w:t>
            </w:r>
            <w:r w:rsidRPr="00DE3221">
              <w:rPr>
                <w:rFonts w:ascii="Times New Roman" w:hAnsi="Times New Roman" w:cs="Times New Roman"/>
              </w:rPr>
              <w:lastRenderedPageBreak/>
              <w:t>Lee, 2021)</w:t>
            </w:r>
          </w:p>
        </w:tc>
        <w:tc>
          <w:tcPr>
            <w:tcW w:w="2303" w:type="dxa"/>
            <w:vAlign w:val="center"/>
          </w:tcPr>
          <w:p w14:paraId="5D99C0AA" w14:textId="4E5DA7A3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lastRenderedPageBreak/>
              <w:t>yes</w:t>
            </w:r>
          </w:p>
        </w:tc>
        <w:tc>
          <w:tcPr>
            <w:tcW w:w="2048" w:type="dxa"/>
            <w:vAlign w:val="center"/>
          </w:tcPr>
          <w:p w14:paraId="6E811C5C" w14:textId="010AB6BA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6A29F71F" w14:textId="153C5F55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66FA4A48" w14:textId="57CCA65F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2B00AD2F" w14:textId="52F96F46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5400B5AC" w14:textId="73CEC7B3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DE3221" w:rsidRPr="00DE3221" w14:paraId="36160F23" w14:textId="77777777" w:rsidTr="00DE3221">
        <w:trPr>
          <w:jc w:val="center"/>
        </w:trPr>
        <w:tc>
          <w:tcPr>
            <w:tcW w:w="1399" w:type="dxa"/>
            <w:vAlign w:val="center"/>
          </w:tcPr>
          <w:p w14:paraId="37F3EBA1" w14:textId="27EA9316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41" w:type="dxa"/>
            <w:vAlign w:val="center"/>
          </w:tcPr>
          <w:p w14:paraId="23A34ADE" w14:textId="128F1A1C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14:paraId="4A7BF626" w14:textId="79F5054F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109EDEEF" w14:textId="1310ACB4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39DB231C" w14:textId="48220E54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26DEAA10" w14:textId="61176AB8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472EE6D4" w14:textId="462EA27A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6D5A23A3" w14:textId="5ED00CB2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DE3221" w:rsidRPr="00DE3221" w14:paraId="40ECB3B4" w14:textId="77777777" w:rsidTr="00DE3221">
        <w:trPr>
          <w:jc w:val="center"/>
        </w:trPr>
        <w:tc>
          <w:tcPr>
            <w:tcW w:w="1399" w:type="dxa"/>
            <w:vAlign w:val="center"/>
          </w:tcPr>
          <w:p w14:paraId="074F935A" w14:textId="6D198ABB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41" w:type="dxa"/>
            <w:vAlign w:val="center"/>
          </w:tcPr>
          <w:p w14:paraId="12D48AD0" w14:textId="0FBA99A7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(Neuhofer, Magnus, &amp; Celuch, 2021)</w:t>
            </w:r>
          </w:p>
        </w:tc>
        <w:tc>
          <w:tcPr>
            <w:tcW w:w="2303" w:type="dxa"/>
            <w:vAlign w:val="center"/>
          </w:tcPr>
          <w:p w14:paraId="7EDDF9FE" w14:textId="47D99385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24CC7A77" w14:textId="01BE328A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5382DE01" w14:textId="6975EB0F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unclear</w:t>
            </w:r>
          </w:p>
        </w:tc>
        <w:tc>
          <w:tcPr>
            <w:tcW w:w="1671" w:type="dxa"/>
            <w:vAlign w:val="center"/>
          </w:tcPr>
          <w:p w14:paraId="5E8B9DBC" w14:textId="5A65F760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2D2F192E" w14:textId="061BF831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02E5B210" w14:textId="6E83ED71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DE3221" w:rsidRPr="00DE3221" w14:paraId="2C91DC51" w14:textId="77777777" w:rsidTr="00DE3221">
        <w:trPr>
          <w:jc w:val="center"/>
        </w:trPr>
        <w:tc>
          <w:tcPr>
            <w:tcW w:w="1399" w:type="dxa"/>
            <w:vAlign w:val="center"/>
          </w:tcPr>
          <w:p w14:paraId="53B6DA75" w14:textId="0814CC54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41" w:type="dxa"/>
            <w:vAlign w:val="center"/>
          </w:tcPr>
          <w:p w14:paraId="28E791B9" w14:textId="04A562EE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14:paraId="56CE2A2A" w14:textId="00FD3DD8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3E3483CB" w14:textId="78A57923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7FB0EA38" w14:textId="7410B6F5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411660A1" w14:textId="14CFF23F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1285C4C0" w14:textId="7A0D296B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30D9BF6F" w14:textId="5638EDA7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DE3221" w:rsidRPr="00DE3221" w14:paraId="4F01E52E" w14:textId="77777777" w:rsidTr="00DE3221">
        <w:trPr>
          <w:jc w:val="center"/>
        </w:trPr>
        <w:tc>
          <w:tcPr>
            <w:tcW w:w="1399" w:type="dxa"/>
            <w:vAlign w:val="center"/>
          </w:tcPr>
          <w:p w14:paraId="72BDE4D7" w14:textId="19EF410B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41" w:type="dxa"/>
            <w:vAlign w:val="center"/>
          </w:tcPr>
          <w:p w14:paraId="7A010F01" w14:textId="05463510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(Grundner &amp; Neuhofer, 2021)</w:t>
            </w:r>
          </w:p>
        </w:tc>
        <w:tc>
          <w:tcPr>
            <w:tcW w:w="2303" w:type="dxa"/>
            <w:vAlign w:val="center"/>
          </w:tcPr>
          <w:p w14:paraId="15A97FCB" w14:textId="0E3A49DC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22984DEA" w14:textId="04DF3B34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unclear</w:t>
            </w:r>
          </w:p>
        </w:tc>
        <w:tc>
          <w:tcPr>
            <w:tcW w:w="2005" w:type="dxa"/>
            <w:vAlign w:val="center"/>
          </w:tcPr>
          <w:p w14:paraId="47F1C234" w14:textId="4047DD60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20B42793" w14:textId="088D2299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3A5EEE58" w14:textId="65FAE1DC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66EA8BCB" w14:textId="61020532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CF6C28" w:rsidRPr="00DE3221" w14:paraId="76D4DFA9" w14:textId="77777777" w:rsidTr="00225BA1">
        <w:trPr>
          <w:jc w:val="center"/>
        </w:trPr>
        <w:tc>
          <w:tcPr>
            <w:tcW w:w="2840" w:type="dxa"/>
            <w:gridSpan w:val="2"/>
            <w:vAlign w:val="center"/>
            <w:hideMark/>
          </w:tcPr>
          <w:p w14:paraId="262CEC4C" w14:textId="49D420E5" w:rsidR="00CF6C28" w:rsidRPr="00DE3221" w:rsidRDefault="00CF6C28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Quantitative method</w:t>
            </w:r>
          </w:p>
        </w:tc>
        <w:tc>
          <w:tcPr>
            <w:tcW w:w="2303" w:type="dxa"/>
            <w:vAlign w:val="center"/>
            <w:hideMark/>
          </w:tcPr>
          <w:p w14:paraId="2471D63C" w14:textId="28627458" w:rsidR="00CF6C28" w:rsidRPr="00DE3221" w:rsidRDefault="00CF6C28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Are there clear qualitative and quantitative research questions (or objectives) or a clear mixed methods question (or objective)</w:t>
            </w:r>
            <w:r w:rsidRPr="00DE3221">
              <w:rPr>
                <w:rFonts w:ascii="Times New Roman" w:hAnsi="Times New Roman" w:cs="Times New Roman" w:hint="eastAsia"/>
              </w:rPr>
              <w:t xml:space="preserve"> </w:t>
            </w:r>
            <w:r w:rsidRPr="00DE3221">
              <w:rPr>
                <w:rFonts w:ascii="Times New Roman" w:hAnsi="Times New Roman" w:cs="Times New Roman" w:hint="eastAsia"/>
              </w:rPr>
              <w:t>？</w:t>
            </w:r>
          </w:p>
        </w:tc>
        <w:tc>
          <w:tcPr>
            <w:tcW w:w="2048" w:type="dxa"/>
            <w:vAlign w:val="center"/>
            <w:hideMark/>
          </w:tcPr>
          <w:p w14:paraId="3E347F3C" w14:textId="77777777" w:rsidR="00CF6C28" w:rsidRPr="00DE3221" w:rsidRDefault="00CF6C28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Do the collected data allow address the research question(objective)</w:t>
            </w:r>
            <w:r w:rsidRPr="00DE3221">
              <w:rPr>
                <w:rFonts w:ascii="Times New Roman" w:eastAsia="SimSun" w:hAnsi="Times New Roman" w:cs="Times New Roman"/>
              </w:rPr>
              <w:t>？</w:t>
            </w:r>
            <w:r w:rsidRPr="00DE322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05" w:type="dxa"/>
            <w:vAlign w:val="center"/>
            <w:hideMark/>
          </w:tcPr>
          <w:p w14:paraId="7F01E68D" w14:textId="77777777" w:rsidR="00CF6C28" w:rsidRPr="00DE3221" w:rsidRDefault="00CF6C28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4.1. Is the sampling strategy relevant to address the quantitative research</w:t>
            </w:r>
          </w:p>
        </w:tc>
        <w:tc>
          <w:tcPr>
            <w:tcW w:w="1671" w:type="dxa"/>
            <w:vAlign w:val="center"/>
            <w:hideMark/>
          </w:tcPr>
          <w:p w14:paraId="06F6B38D" w14:textId="77777777" w:rsidR="00CF6C28" w:rsidRPr="00DE3221" w:rsidRDefault="00CF6C28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4.2. Is the sample representative of the population understudy</w:t>
            </w:r>
            <w:r w:rsidRPr="00DE3221">
              <w:rPr>
                <w:rFonts w:ascii="Times New Roman" w:hAnsi="Times New Roman" w:cs="Times New Roman"/>
              </w:rPr>
              <w:t>？</w:t>
            </w:r>
          </w:p>
        </w:tc>
        <w:tc>
          <w:tcPr>
            <w:tcW w:w="1780" w:type="dxa"/>
            <w:vAlign w:val="center"/>
            <w:hideMark/>
          </w:tcPr>
          <w:p w14:paraId="4152D34F" w14:textId="0C405EBC" w:rsidR="00CF6C28" w:rsidRPr="00DE3221" w:rsidRDefault="00CF6C28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4.3. Are measurements appropriate (clear origin, or validity known or standard instrument)</w:t>
            </w:r>
            <w:r w:rsidRPr="00DE3221">
              <w:rPr>
                <w:rFonts w:ascii="Times New Roman" w:hAnsi="Times New Roman" w:cs="Times New Roman" w:hint="eastAsia"/>
              </w:rPr>
              <w:t xml:space="preserve"> </w:t>
            </w:r>
            <w:r w:rsidRPr="00DE3221">
              <w:rPr>
                <w:rFonts w:ascii="Times New Roman" w:hAnsi="Times New Roman" w:cs="Times New Roman" w:hint="eastAsia"/>
              </w:rPr>
              <w:t>？</w:t>
            </w:r>
          </w:p>
        </w:tc>
        <w:tc>
          <w:tcPr>
            <w:tcW w:w="1812" w:type="dxa"/>
            <w:vAlign w:val="center"/>
            <w:hideMark/>
          </w:tcPr>
          <w:p w14:paraId="21814230" w14:textId="388E4947" w:rsidR="00CF6C28" w:rsidRPr="00DE3221" w:rsidRDefault="00CF6C28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4.4. Is there an acceptable response rate (60% or above)</w:t>
            </w:r>
            <w:r w:rsidRPr="00DE3221">
              <w:rPr>
                <w:rFonts w:ascii="Times New Roman" w:hAnsi="Times New Roman" w:cs="Times New Roman" w:hint="eastAsia"/>
              </w:rPr>
              <w:t xml:space="preserve"> </w:t>
            </w:r>
            <w:r w:rsidRPr="00DE3221">
              <w:rPr>
                <w:rFonts w:ascii="Times New Roman" w:hAnsi="Times New Roman" w:cs="Times New Roman" w:hint="eastAsia"/>
              </w:rPr>
              <w:t>？</w:t>
            </w:r>
          </w:p>
        </w:tc>
      </w:tr>
      <w:tr w:rsidR="00DE3221" w:rsidRPr="00DE3221" w14:paraId="5BA10964" w14:textId="77777777" w:rsidTr="00DE3221">
        <w:trPr>
          <w:jc w:val="center"/>
        </w:trPr>
        <w:tc>
          <w:tcPr>
            <w:tcW w:w="1399" w:type="dxa"/>
            <w:vAlign w:val="center"/>
          </w:tcPr>
          <w:p w14:paraId="5F954763" w14:textId="756D870A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E322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1" w:type="dxa"/>
            <w:vAlign w:val="center"/>
          </w:tcPr>
          <w:p w14:paraId="7CE07781" w14:textId="331FE852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(Cranmer, tom Dieck, &amp; Fountoulaki, 2020)</w:t>
            </w:r>
          </w:p>
        </w:tc>
        <w:tc>
          <w:tcPr>
            <w:tcW w:w="2303" w:type="dxa"/>
            <w:vAlign w:val="center"/>
          </w:tcPr>
          <w:p w14:paraId="4A558833" w14:textId="5277A5E8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4E56DB93" w14:textId="72FCE635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75328871" w14:textId="1205AF29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2EA9426D" w14:textId="297BB277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2E660E50" w14:textId="31E8B15B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1C3FEE2E" w14:textId="630D5663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DE3221" w:rsidRPr="00DE3221" w14:paraId="3BC9C285" w14:textId="77777777" w:rsidTr="00DE3221">
        <w:trPr>
          <w:jc w:val="center"/>
        </w:trPr>
        <w:tc>
          <w:tcPr>
            <w:tcW w:w="1399" w:type="dxa"/>
            <w:vAlign w:val="center"/>
          </w:tcPr>
          <w:p w14:paraId="3ECF6718" w14:textId="05E27F73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E32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1" w:type="dxa"/>
            <w:vAlign w:val="center"/>
          </w:tcPr>
          <w:p w14:paraId="35B2DA43" w14:textId="6A2065A2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14:paraId="296C0E50" w14:textId="53249BC8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316DE1F7" w14:textId="6B1865AE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5F827E78" w14:textId="7F1D7E79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2C3AB536" w14:textId="097A3E8C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63469682" w14:textId="46E8C4BA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2608D46B" w14:textId="11B7FC7E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DE3221" w:rsidRPr="00DE3221" w14:paraId="134FDCEB" w14:textId="77777777" w:rsidTr="00DE3221">
        <w:trPr>
          <w:jc w:val="center"/>
        </w:trPr>
        <w:tc>
          <w:tcPr>
            <w:tcW w:w="1399" w:type="dxa"/>
            <w:vAlign w:val="center"/>
          </w:tcPr>
          <w:p w14:paraId="59B584E6" w14:textId="5D401925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E32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1" w:type="dxa"/>
            <w:vAlign w:val="center"/>
          </w:tcPr>
          <w:p w14:paraId="23B85F8C" w14:textId="14DCD409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(Serravalle, Ferraris, Vrontis, Thrassou, &amp; Christofi, 2019)</w:t>
            </w:r>
          </w:p>
        </w:tc>
        <w:tc>
          <w:tcPr>
            <w:tcW w:w="2303" w:type="dxa"/>
            <w:vAlign w:val="center"/>
          </w:tcPr>
          <w:p w14:paraId="7336383A" w14:textId="3E793414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0217F605" w14:textId="2201A9BE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6C45D57C" w14:textId="2989EC35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4E1BF4AD" w14:textId="31BE46FE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218680B8" w14:textId="6ACFF726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4004CD96" w14:textId="5A5E3029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DE3221" w:rsidRPr="00DE3221" w14:paraId="5B11F238" w14:textId="77777777" w:rsidTr="00DE3221">
        <w:trPr>
          <w:jc w:val="center"/>
        </w:trPr>
        <w:tc>
          <w:tcPr>
            <w:tcW w:w="1399" w:type="dxa"/>
            <w:vAlign w:val="center"/>
          </w:tcPr>
          <w:p w14:paraId="79DAECA6" w14:textId="7F118D62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E32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1" w:type="dxa"/>
            <w:vAlign w:val="center"/>
          </w:tcPr>
          <w:p w14:paraId="5EB58EDE" w14:textId="76BF0D98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14:paraId="7636D082" w14:textId="4ACFB6BC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2FEA00B7" w14:textId="34D9964C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3F2A3F20" w14:textId="2B3777A9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52C495E0" w14:textId="6BB658B6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5AB697C0" w14:textId="47495601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29E897BD" w14:textId="6A6A6C2F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DE3221" w:rsidRPr="00DE3221" w14:paraId="2C714ECD" w14:textId="77777777" w:rsidTr="00DE3221">
        <w:trPr>
          <w:jc w:val="center"/>
        </w:trPr>
        <w:tc>
          <w:tcPr>
            <w:tcW w:w="1399" w:type="dxa"/>
            <w:vAlign w:val="center"/>
          </w:tcPr>
          <w:p w14:paraId="0509272A" w14:textId="5F69ECD9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E32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1" w:type="dxa"/>
            <w:vAlign w:val="center"/>
          </w:tcPr>
          <w:p w14:paraId="4B3020BE" w14:textId="4329566E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(Troisi, Grimaldi, &amp; Monda, 2019)</w:t>
            </w:r>
          </w:p>
        </w:tc>
        <w:tc>
          <w:tcPr>
            <w:tcW w:w="2303" w:type="dxa"/>
            <w:vAlign w:val="center"/>
          </w:tcPr>
          <w:p w14:paraId="1064F27E" w14:textId="1DA2317A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0BB77A9B" w14:textId="1A67A4E6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18E753F1" w14:textId="09F65009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7D8C10E6" w14:textId="4D76212C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01714B48" w14:textId="63753F19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7261C938" w14:textId="0FC5385E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DE3221" w:rsidRPr="00DE3221" w14:paraId="3C8EF50D" w14:textId="77777777" w:rsidTr="00DE3221">
        <w:trPr>
          <w:jc w:val="center"/>
        </w:trPr>
        <w:tc>
          <w:tcPr>
            <w:tcW w:w="1399" w:type="dxa"/>
            <w:vAlign w:val="center"/>
          </w:tcPr>
          <w:p w14:paraId="11E8CB3E" w14:textId="7DB03198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E322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1" w:type="dxa"/>
            <w:vAlign w:val="center"/>
          </w:tcPr>
          <w:p w14:paraId="2AC9C8EA" w14:textId="23E59ED1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14:paraId="1A2D861D" w14:textId="7250CD5D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5F7EB67D" w14:textId="152DC361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1B2BBCD8" w14:textId="4969213E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77F85F5D" w14:textId="47E373EB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0E6F7C22" w14:textId="2402A103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65F9D5E1" w14:textId="1C103A34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DE3221" w:rsidRPr="00DE3221" w14:paraId="0B73707D" w14:textId="77777777" w:rsidTr="00DE3221">
        <w:trPr>
          <w:jc w:val="center"/>
        </w:trPr>
        <w:tc>
          <w:tcPr>
            <w:tcW w:w="1399" w:type="dxa"/>
            <w:vAlign w:val="center"/>
          </w:tcPr>
          <w:p w14:paraId="535BC52B" w14:textId="6B6BA295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E322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41" w:type="dxa"/>
            <w:vAlign w:val="center"/>
          </w:tcPr>
          <w:p w14:paraId="02A7ED79" w14:textId="1C95BFC3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(Liburd, Duedahl, &amp; Heape, 2022)</w:t>
            </w:r>
          </w:p>
        </w:tc>
        <w:tc>
          <w:tcPr>
            <w:tcW w:w="2303" w:type="dxa"/>
            <w:vAlign w:val="center"/>
          </w:tcPr>
          <w:p w14:paraId="7F4DEF2E" w14:textId="20E363E5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6BDDA8B4" w14:textId="17AD2014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319DEF03" w14:textId="612D154C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12E7160B" w14:textId="7BE2DD87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46455034" w14:textId="13E7BE65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6C22BB2C" w14:textId="35959E61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DE3221" w:rsidRPr="00DE3221" w14:paraId="4FB7B2EF" w14:textId="77777777" w:rsidTr="00DE3221">
        <w:trPr>
          <w:jc w:val="center"/>
        </w:trPr>
        <w:tc>
          <w:tcPr>
            <w:tcW w:w="1399" w:type="dxa"/>
            <w:vAlign w:val="center"/>
          </w:tcPr>
          <w:p w14:paraId="66AF154B" w14:textId="1B490C77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E322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41" w:type="dxa"/>
            <w:vAlign w:val="center"/>
          </w:tcPr>
          <w:p w14:paraId="65D0CCB0" w14:textId="37EA5469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14:paraId="1649721A" w14:textId="4E7C0C73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1AAB1415" w14:textId="67B46FD0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302E2BCB" w14:textId="1996F348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7652CD21" w14:textId="4959781B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619468A4" w14:textId="3C7FD50D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157F4CF3" w14:textId="47E9BFA3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DE3221" w:rsidRPr="00DE3221" w14:paraId="7943CF47" w14:textId="77777777" w:rsidTr="00DE3221">
        <w:trPr>
          <w:jc w:val="center"/>
        </w:trPr>
        <w:tc>
          <w:tcPr>
            <w:tcW w:w="1399" w:type="dxa"/>
            <w:vAlign w:val="center"/>
          </w:tcPr>
          <w:p w14:paraId="3A5440DB" w14:textId="5C6FFF14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E322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41" w:type="dxa"/>
            <w:vAlign w:val="center"/>
          </w:tcPr>
          <w:p w14:paraId="4D48E1CE" w14:textId="467EC109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(Jung &amp; tom Dieck, 2017)</w:t>
            </w:r>
          </w:p>
        </w:tc>
        <w:tc>
          <w:tcPr>
            <w:tcW w:w="2303" w:type="dxa"/>
            <w:vAlign w:val="center"/>
          </w:tcPr>
          <w:p w14:paraId="000B8A49" w14:textId="07F683D4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55C4BBF4" w14:textId="10326285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776B6AA3" w14:textId="4EFFCF7F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6EE6E560" w14:textId="61BCD9C1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unclear</w:t>
            </w:r>
          </w:p>
        </w:tc>
        <w:tc>
          <w:tcPr>
            <w:tcW w:w="1780" w:type="dxa"/>
            <w:vAlign w:val="center"/>
          </w:tcPr>
          <w:p w14:paraId="2AFA7EF3" w14:textId="0F1D1B95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66E4F97B" w14:textId="6D69A63B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DE3221" w:rsidRPr="00DE3221" w14:paraId="398768B4" w14:textId="77777777" w:rsidTr="00DE3221">
        <w:trPr>
          <w:jc w:val="center"/>
        </w:trPr>
        <w:tc>
          <w:tcPr>
            <w:tcW w:w="1399" w:type="dxa"/>
            <w:vAlign w:val="center"/>
          </w:tcPr>
          <w:p w14:paraId="3973D0B4" w14:textId="4F9997E7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E322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41" w:type="dxa"/>
            <w:vAlign w:val="center"/>
          </w:tcPr>
          <w:p w14:paraId="2B1A5140" w14:textId="07C05DF9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14:paraId="2BABBF25" w14:textId="172C0CA6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76D0BF70" w14:textId="77FA47A1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414D1317" w14:textId="46C819C5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44E2264F" w14:textId="2134C2ED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32E46D15" w14:textId="6AB7DE05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003983F1" w14:textId="091B135B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DE3221" w:rsidRPr="00DE3221" w14:paraId="4609299C" w14:textId="77777777" w:rsidTr="00DE3221">
        <w:trPr>
          <w:jc w:val="center"/>
        </w:trPr>
        <w:tc>
          <w:tcPr>
            <w:tcW w:w="1399" w:type="dxa"/>
            <w:vAlign w:val="center"/>
          </w:tcPr>
          <w:p w14:paraId="1AC8850E" w14:textId="52655980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E322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41" w:type="dxa"/>
            <w:vAlign w:val="center"/>
          </w:tcPr>
          <w:p w14:paraId="19A52CC6" w14:textId="79E1DBEA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14:paraId="70B374BB" w14:textId="0FEDEB5D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2F920ABE" w14:textId="579AD7FC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10B2E894" w14:textId="05918438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3A91292B" w14:textId="0026B1E1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6DE52152" w14:textId="2ACD5D2E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0A3C4AAB" w14:textId="6EC24F84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DE3221" w:rsidRPr="00DE3221" w14:paraId="6EA9F635" w14:textId="77777777" w:rsidTr="00DE3221">
        <w:trPr>
          <w:jc w:val="center"/>
        </w:trPr>
        <w:tc>
          <w:tcPr>
            <w:tcW w:w="1399" w:type="dxa"/>
            <w:vAlign w:val="center"/>
          </w:tcPr>
          <w:p w14:paraId="688E14F2" w14:textId="22FAFB5B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E322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41" w:type="dxa"/>
            <w:vAlign w:val="center"/>
          </w:tcPr>
          <w:p w14:paraId="2DC66880" w14:textId="74BEA1CE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(Cuomo et al., 2022)</w:t>
            </w:r>
          </w:p>
        </w:tc>
        <w:tc>
          <w:tcPr>
            <w:tcW w:w="2303" w:type="dxa"/>
            <w:vAlign w:val="center"/>
          </w:tcPr>
          <w:p w14:paraId="2FA3AF26" w14:textId="356B04F6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35830492" w14:textId="6A5CB8FC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7E531E9D" w14:textId="3A8A102A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55CA7B79" w14:textId="6782A58E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53EFB656" w14:textId="237C6EC0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2E32D1DE" w14:textId="2F716368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DE3221" w:rsidRPr="00DE3221" w14:paraId="567F6143" w14:textId="77777777" w:rsidTr="00DE3221">
        <w:trPr>
          <w:jc w:val="center"/>
        </w:trPr>
        <w:tc>
          <w:tcPr>
            <w:tcW w:w="1399" w:type="dxa"/>
            <w:vAlign w:val="center"/>
          </w:tcPr>
          <w:p w14:paraId="14E12606" w14:textId="2BA335F9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41" w:type="dxa"/>
            <w:vAlign w:val="center"/>
          </w:tcPr>
          <w:p w14:paraId="1C7C60C4" w14:textId="50525C90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14:paraId="6A98F599" w14:textId="65AA115B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0912E9D8" w14:textId="02317E9B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35A1AF3A" w14:textId="5D9B0175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16CC20E9" w14:textId="1A1627DC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30174025" w14:textId="77B188B3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07049972" w14:textId="2BFF485A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DE3221" w:rsidRPr="00DE3221" w14:paraId="5AEFDFD2" w14:textId="77777777" w:rsidTr="00DE3221">
        <w:trPr>
          <w:jc w:val="center"/>
        </w:trPr>
        <w:tc>
          <w:tcPr>
            <w:tcW w:w="1399" w:type="dxa"/>
            <w:vAlign w:val="center"/>
          </w:tcPr>
          <w:p w14:paraId="7EBE3BF4" w14:textId="6D70433C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41" w:type="dxa"/>
            <w:vAlign w:val="center"/>
          </w:tcPr>
          <w:p w14:paraId="630F0815" w14:textId="15DAD7B4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(Lin, 2022)</w:t>
            </w:r>
          </w:p>
        </w:tc>
        <w:tc>
          <w:tcPr>
            <w:tcW w:w="2303" w:type="dxa"/>
            <w:vAlign w:val="center"/>
          </w:tcPr>
          <w:p w14:paraId="52B604FD" w14:textId="4868AE8B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2BEA4550" w14:textId="3FD2B8BB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5571DB03" w14:textId="1E93DC6B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0BEBF0D6" w14:textId="5F03DAAB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7583070C" w14:textId="70D629C5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3EB2583D" w14:textId="7B8767AE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</w:tr>
      <w:tr w:rsidR="00CF6C28" w:rsidRPr="00DE3221" w14:paraId="198D2C3C" w14:textId="77777777" w:rsidTr="00D21F20">
        <w:trPr>
          <w:jc w:val="center"/>
        </w:trPr>
        <w:tc>
          <w:tcPr>
            <w:tcW w:w="2840" w:type="dxa"/>
            <w:gridSpan w:val="2"/>
            <w:vAlign w:val="center"/>
            <w:hideMark/>
          </w:tcPr>
          <w:p w14:paraId="69C2DB32" w14:textId="35EB71E8" w:rsidR="00CF6C28" w:rsidRPr="00DE3221" w:rsidRDefault="00CF6C28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Mixed methods</w:t>
            </w:r>
          </w:p>
        </w:tc>
        <w:tc>
          <w:tcPr>
            <w:tcW w:w="2303" w:type="dxa"/>
            <w:vAlign w:val="center"/>
            <w:hideMark/>
          </w:tcPr>
          <w:p w14:paraId="7360086B" w14:textId="3394FF13" w:rsidR="00CF6C28" w:rsidRPr="00DE3221" w:rsidRDefault="00CF6C28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 xml:space="preserve">Are there clear qualitative and quantitative research questions (or objectives) or a clear mixed methods question (or </w:t>
            </w:r>
            <w:proofErr w:type="gramStart"/>
            <w:r w:rsidRPr="00DE3221">
              <w:rPr>
                <w:rFonts w:ascii="Times New Roman" w:hAnsi="Times New Roman" w:cs="Times New Roman"/>
              </w:rPr>
              <w:t>objective)</w:t>
            </w:r>
            <w:r w:rsidRPr="00DE3221">
              <w:rPr>
                <w:rFonts w:ascii="Times New Roman" w:hAnsi="Times New Roman" w:cs="Times New Roman"/>
              </w:rPr>
              <w:t>？</w:t>
            </w:r>
            <w:proofErr w:type="gramEnd"/>
          </w:p>
        </w:tc>
        <w:tc>
          <w:tcPr>
            <w:tcW w:w="2048" w:type="dxa"/>
            <w:vAlign w:val="center"/>
            <w:hideMark/>
          </w:tcPr>
          <w:p w14:paraId="462FE95B" w14:textId="77777777" w:rsidR="00CF6C28" w:rsidRPr="00DE3221" w:rsidRDefault="00CF6C28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Do the collected data allow address the research question(objective)</w:t>
            </w:r>
            <w:r w:rsidRPr="00DE3221">
              <w:rPr>
                <w:rFonts w:ascii="Times New Roman" w:hAnsi="Times New Roman" w:cs="Times New Roman"/>
              </w:rPr>
              <w:t>？</w:t>
            </w:r>
          </w:p>
        </w:tc>
        <w:tc>
          <w:tcPr>
            <w:tcW w:w="2005" w:type="dxa"/>
            <w:vAlign w:val="center"/>
            <w:hideMark/>
          </w:tcPr>
          <w:p w14:paraId="371824E5" w14:textId="2C56465F" w:rsidR="00CF6C28" w:rsidRPr="00DE3221" w:rsidRDefault="00CF6C28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5.1. Is the mixed methods research design relevant to address the qualitative and quantitative research questions (or objectives)</w:t>
            </w:r>
            <w:r w:rsidRPr="00DE3221">
              <w:rPr>
                <w:rFonts w:ascii="Times New Roman" w:eastAsia="SimSun" w:hAnsi="Times New Roman" w:cs="Times New Roman"/>
              </w:rPr>
              <w:t xml:space="preserve"> </w:t>
            </w:r>
            <w:r w:rsidRPr="00DE3221">
              <w:rPr>
                <w:rFonts w:ascii="Times New Roman" w:eastAsia="SimSun" w:hAnsi="Times New Roman" w:cs="Times New Roman"/>
              </w:rPr>
              <w:t>，</w:t>
            </w:r>
            <w:r w:rsidRPr="00DE3221">
              <w:rPr>
                <w:rFonts w:ascii="Times New Roman" w:hAnsi="Times New Roman" w:cs="Times New Roman"/>
              </w:rPr>
              <w:t xml:space="preserve"> or the qualitative and quantitative aspects of the mixed methods question (or objective)</w:t>
            </w:r>
            <w:r w:rsidRPr="00DE3221">
              <w:rPr>
                <w:rFonts w:ascii="Times New Roman" w:hAnsi="Times New Roman" w:cs="Times New Roman"/>
              </w:rPr>
              <w:t>？</w:t>
            </w:r>
          </w:p>
        </w:tc>
        <w:tc>
          <w:tcPr>
            <w:tcW w:w="1671" w:type="dxa"/>
            <w:vAlign w:val="center"/>
            <w:hideMark/>
          </w:tcPr>
          <w:p w14:paraId="344C410E" w14:textId="77777777" w:rsidR="00CF6C28" w:rsidRPr="00DE3221" w:rsidRDefault="00CF6C28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5.2. Is the integration of qualitative and quantitative data</w:t>
            </w:r>
            <w:r w:rsidRPr="00DE3221">
              <w:rPr>
                <w:rFonts w:ascii="Times New Roman" w:eastAsia="SimSun" w:hAnsi="Times New Roman" w:cs="Times New Roman"/>
              </w:rPr>
              <w:t>（</w:t>
            </w:r>
            <w:r w:rsidRPr="00DE3221">
              <w:rPr>
                <w:rFonts w:ascii="Times New Roman" w:hAnsi="Times New Roman" w:cs="Times New Roman"/>
              </w:rPr>
              <w:t xml:space="preserve">or results </w:t>
            </w:r>
            <w:r w:rsidRPr="00DE3221">
              <w:rPr>
                <w:rFonts w:ascii="Times New Roman" w:eastAsia="SimSun" w:hAnsi="Times New Roman" w:cs="Times New Roman"/>
              </w:rPr>
              <w:t>）</w:t>
            </w:r>
            <w:r w:rsidRPr="00DE3221">
              <w:rPr>
                <w:rFonts w:ascii="Times New Roman" w:hAnsi="Times New Roman" w:cs="Times New Roman"/>
              </w:rPr>
              <w:t>relevant to address the research question (objective)</w:t>
            </w:r>
            <w:r w:rsidRPr="00DE3221">
              <w:rPr>
                <w:rFonts w:ascii="Times New Roman" w:hAnsi="Times New Roman" w:cs="Times New Roman"/>
              </w:rPr>
              <w:t>？</w:t>
            </w:r>
          </w:p>
        </w:tc>
        <w:tc>
          <w:tcPr>
            <w:tcW w:w="1780" w:type="dxa"/>
            <w:vAlign w:val="center"/>
            <w:hideMark/>
          </w:tcPr>
          <w:p w14:paraId="6C688415" w14:textId="77777777" w:rsidR="00CF6C28" w:rsidRPr="00DE3221" w:rsidRDefault="00CF6C28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5.3. Is appropriate consideration given to the limitations associated with this integration, e.g., the divergence of qualitative and quantitative data (or results) in a triangulation design</w:t>
            </w:r>
            <w:r w:rsidRPr="00DE3221">
              <w:rPr>
                <w:rFonts w:ascii="Times New Roman" w:hAnsi="Times New Roman" w:cs="Times New Roman"/>
              </w:rPr>
              <w:t>？</w:t>
            </w:r>
          </w:p>
        </w:tc>
        <w:tc>
          <w:tcPr>
            <w:tcW w:w="1812" w:type="dxa"/>
            <w:vAlign w:val="center"/>
          </w:tcPr>
          <w:p w14:paraId="00A01D35" w14:textId="77777777" w:rsidR="00CF6C28" w:rsidRPr="00DE3221" w:rsidRDefault="00CF6C28" w:rsidP="00DE3221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DE3221" w:rsidRPr="00DE3221" w14:paraId="32F95588" w14:textId="77777777" w:rsidTr="00DE3221">
        <w:trPr>
          <w:jc w:val="center"/>
        </w:trPr>
        <w:tc>
          <w:tcPr>
            <w:tcW w:w="1399" w:type="dxa"/>
            <w:vAlign w:val="center"/>
          </w:tcPr>
          <w:p w14:paraId="57E6B331" w14:textId="77777777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Align w:val="center"/>
          </w:tcPr>
          <w:p w14:paraId="48754963" w14:textId="01D813DC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(Xie, Liu, &amp; Li, 2022)</w:t>
            </w:r>
          </w:p>
        </w:tc>
        <w:tc>
          <w:tcPr>
            <w:tcW w:w="2303" w:type="dxa"/>
            <w:vAlign w:val="center"/>
          </w:tcPr>
          <w:p w14:paraId="568D3062" w14:textId="09F9044D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0185FC24" w14:textId="363E45C2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0C26B112" w14:textId="3C0BAB4A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4363B7A9" w14:textId="57928180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6389B59B" w14:textId="612B4C89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3508F059" w14:textId="77777777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3221" w:rsidRPr="00DE3221" w14:paraId="4DF4FEBA" w14:textId="77777777" w:rsidTr="00DE3221">
        <w:trPr>
          <w:jc w:val="center"/>
        </w:trPr>
        <w:tc>
          <w:tcPr>
            <w:tcW w:w="1399" w:type="dxa"/>
            <w:vAlign w:val="center"/>
          </w:tcPr>
          <w:p w14:paraId="22531C06" w14:textId="77777777" w:rsidR="00DE3221" w:rsidRPr="00DE3221" w:rsidRDefault="00DE3221" w:rsidP="00DE322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Align w:val="center"/>
          </w:tcPr>
          <w:p w14:paraId="6966CEF2" w14:textId="2C4F52BE" w:rsidR="00DE3221" w:rsidRPr="00DE3221" w:rsidRDefault="00CF6C28" w:rsidP="00DE3221">
            <w:pPr>
              <w:jc w:val="left"/>
              <w:rPr>
                <w:rFonts w:ascii="Times New Roman" w:hAnsi="Times New Roman" w:cs="Times New Roman"/>
              </w:rPr>
            </w:pPr>
            <w:r w:rsidRPr="00CF6C28">
              <w:rPr>
                <w:rFonts w:ascii="Times New Roman" w:hAnsi="Times New Roman" w:cs="Times New Roman"/>
              </w:rPr>
              <w:t>(Brejla &amp; Gilbert, 2014)</w:t>
            </w:r>
          </w:p>
        </w:tc>
        <w:tc>
          <w:tcPr>
            <w:tcW w:w="2303" w:type="dxa"/>
            <w:vAlign w:val="center"/>
          </w:tcPr>
          <w:p w14:paraId="281DFFAB" w14:textId="3126BD70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48" w:type="dxa"/>
            <w:vAlign w:val="center"/>
          </w:tcPr>
          <w:p w14:paraId="21E61039" w14:textId="0E06F5AD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05" w:type="dxa"/>
            <w:vAlign w:val="center"/>
          </w:tcPr>
          <w:p w14:paraId="12093107" w14:textId="26B70DA0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671" w:type="dxa"/>
            <w:vAlign w:val="center"/>
          </w:tcPr>
          <w:p w14:paraId="05AA969D" w14:textId="2A7EE531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80" w:type="dxa"/>
            <w:vAlign w:val="center"/>
          </w:tcPr>
          <w:p w14:paraId="7C60B9EE" w14:textId="55240566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  <w:r w:rsidRPr="00DE322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12" w:type="dxa"/>
            <w:vAlign w:val="center"/>
          </w:tcPr>
          <w:p w14:paraId="25C9E8CE" w14:textId="77777777" w:rsidR="00DE3221" w:rsidRPr="00DE3221" w:rsidRDefault="00DE3221" w:rsidP="00DE32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F920ED5" w14:textId="77777777" w:rsidR="001B41EA" w:rsidRPr="00DE3221" w:rsidRDefault="001B41EA" w:rsidP="001B41EA">
      <w:pPr>
        <w:rPr>
          <w:rFonts w:ascii="Times New Roman" w:hAnsi="Times New Roman" w:cs="Times New Roman"/>
        </w:rPr>
      </w:pPr>
    </w:p>
    <w:p w14:paraId="78D016E8" w14:textId="77777777" w:rsidR="00EF528A" w:rsidRPr="00DE3221" w:rsidRDefault="00EF528A">
      <w:pPr>
        <w:rPr>
          <w:rFonts w:ascii="Times New Roman" w:hAnsi="Times New Roman" w:cs="Times New Roman"/>
        </w:rPr>
      </w:pPr>
    </w:p>
    <w:p w14:paraId="79B4EF68" w14:textId="77777777" w:rsidR="00EF528A" w:rsidRPr="00DE3221" w:rsidRDefault="00EF528A">
      <w:pPr>
        <w:rPr>
          <w:rFonts w:ascii="Times New Roman" w:hAnsi="Times New Roman" w:cs="Times New Roman"/>
        </w:rPr>
      </w:pPr>
    </w:p>
    <w:p w14:paraId="2150087A" w14:textId="64A6E88D" w:rsidR="00BB74F2" w:rsidRPr="00DE3221" w:rsidRDefault="00EF528A">
      <w:pPr>
        <w:rPr>
          <w:rFonts w:ascii="Times New Roman" w:hAnsi="Times New Roman" w:cs="Times New Roman"/>
        </w:rPr>
      </w:pPr>
      <w:r w:rsidRPr="00DE3221">
        <w:rPr>
          <w:rFonts w:ascii="Times New Roman" w:eastAsia="DengXian" w:hAnsi="Times New Roman" w:cs="Times New Roman"/>
          <w:noProof/>
          <w:sz w:val="20"/>
        </w:rPr>
        <w:fldChar w:fldCharType="begin"/>
      </w:r>
      <w:r w:rsidRPr="00DE3221">
        <w:rPr>
          <w:rFonts w:ascii="Times New Roman" w:hAnsi="Times New Roman" w:cs="Times New Roman"/>
        </w:rPr>
        <w:instrText xml:space="preserve"> ADDIN EN.REFLIST </w:instrText>
      </w:r>
      <w:r w:rsidRPr="00DE3221">
        <w:rPr>
          <w:rFonts w:ascii="Times New Roman" w:eastAsia="DengXian" w:hAnsi="Times New Roman" w:cs="Times New Roman"/>
          <w:noProof/>
          <w:sz w:val="20"/>
        </w:rPr>
        <w:fldChar w:fldCharType="separate"/>
      </w:r>
      <w:r w:rsidRPr="00DE3221">
        <w:rPr>
          <w:rFonts w:ascii="Times New Roman" w:hAnsi="Times New Roman" w:cs="Times New Roman"/>
        </w:rPr>
        <w:fldChar w:fldCharType="end"/>
      </w:r>
    </w:p>
    <w:sectPr w:rsidR="00BB74F2" w:rsidRPr="00DE3221" w:rsidSect="001B41E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56EAD" w14:textId="77777777" w:rsidR="00E82F41" w:rsidRDefault="00E82F41" w:rsidP="001B41EA">
      <w:r>
        <w:separator/>
      </w:r>
    </w:p>
  </w:endnote>
  <w:endnote w:type="continuationSeparator" w:id="0">
    <w:p w14:paraId="5841766C" w14:textId="77777777" w:rsidR="00E82F41" w:rsidRDefault="00E82F41" w:rsidP="001B4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E2077" w14:textId="77777777" w:rsidR="00E82F41" w:rsidRDefault="00E82F41" w:rsidP="001B41EA">
      <w:r>
        <w:separator/>
      </w:r>
    </w:p>
  </w:footnote>
  <w:footnote w:type="continuationSeparator" w:id="0">
    <w:p w14:paraId="6D9CE98E" w14:textId="77777777" w:rsidR="00E82F41" w:rsidRDefault="00E82F41" w:rsidP="001B41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I0MjMyMLAwswQiQyUdpeDU4uLM/DyQAuNaABPhHBMs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s55e5xpfvtwr1ep9xspa99zaet55awwewxf&quot;&gt;Tieuluantongquan&lt;record-ids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/record-ids&gt;&lt;/item&gt;&lt;/Libraries&gt;"/>
  </w:docVars>
  <w:rsids>
    <w:rsidRoot w:val="008E2077"/>
    <w:rsid w:val="0006746B"/>
    <w:rsid w:val="000843EC"/>
    <w:rsid w:val="001664D2"/>
    <w:rsid w:val="0017445C"/>
    <w:rsid w:val="0018414C"/>
    <w:rsid w:val="001B41EA"/>
    <w:rsid w:val="00373C47"/>
    <w:rsid w:val="004C3EF0"/>
    <w:rsid w:val="00626A72"/>
    <w:rsid w:val="00731E2A"/>
    <w:rsid w:val="008070A1"/>
    <w:rsid w:val="008538C8"/>
    <w:rsid w:val="008E2077"/>
    <w:rsid w:val="009074A9"/>
    <w:rsid w:val="00971F30"/>
    <w:rsid w:val="00A36D12"/>
    <w:rsid w:val="00BB7030"/>
    <w:rsid w:val="00BB74F2"/>
    <w:rsid w:val="00BC4816"/>
    <w:rsid w:val="00CF6C28"/>
    <w:rsid w:val="00DE3221"/>
    <w:rsid w:val="00E453CC"/>
    <w:rsid w:val="00E82F41"/>
    <w:rsid w:val="00E86553"/>
    <w:rsid w:val="00EB77E7"/>
    <w:rsid w:val="00EF528A"/>
    <w:rsid w:val="00F65EBE"/>
    <w:rsid w:val="00F9187E"/>
    <w:rsid w:val="00FB1EE1"/>
    <w:rsid w:val="00FB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4CCA16"/>
  <w15:chartTrackingRefBased/>
  <w15:docId w15:val="{3CBF4EAA-C17C-4B2C-856B-865267743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1EA"/>
    <w:pPr>
      <w:widowControl w:val="0"/>
      <w:jc w:val="both"/>
    </w:pPr>
    <w:rPr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41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B41E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B41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B41EA"/>
    <w:rPr>
      <w:sz w:val="18"/>
      <w:szCs w:val="18"/>
    </w:rPr>
  </w:style>
  <w:style w:type="table" w:styleId="TableGrid">
    <w:name w:val="Table Grid"/>
    <w:basedOn w:val="TableNormal"/>
    <w:uiPriority w:val="39"/>
    <w:rsid w:val="001B41EA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EF528A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F528A"/>
    <w:rPr>
      <w:rFonts w:ascii="DengXian" w:eastAsia="DengXian" w:hAnsi="DengXian"/>
      <w:noProof/>
      <w:sz w:val="20"/>
      <w:szCs w:val="21"/>
    </w:rPr>
  </w:style>
  <w:style w:type="paragraph" w:customStyle="1" w:styleId="EndNoteBibliography">
    <w:name w:val="EndNote Bibliography"/>
    <w:basedOn w:val="Normal"/>
    <w:link w:val="EndNoteBibliographyChar"/>
    <w:rsid w:val="00EF528A"/>
    <w:rPr>
      <w:rFonts w:ascii="DengXian" w:eastAsia="DengXian" w:hAnsi="DengXian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EF528A"/>
    <w:rPr>
      <w:rFonts w:ascii="DengXian" w:eastAsia="DengXian" w:hAnsi="DengXian"/>
      <w:noProof/>
      <w:sz w:val="20"/>
      <w:szCs w:val="21"/>
    </w:rPr>
  </w:style>
  <w:style w:type="character" w:styleId="Hyperlink">
    <w:name w:val="Hyperlink"/>
    <w:basedOn w:val="DefaultParagraphFont"/>
    <w:uiPriority w:val="99"/>
    <w:unhideWhenUsed/>
    <w:rsid w:val="00EF52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528A"/>
    <w:rPr>
      <w:color w:val="605E5C"/>
      <w:shd w:val="clear" w:color="auto" w:fill="E1DFDD"/>
    </w:rPr>
  </w:style>
  <w:style w:type="paragraph" w:customStyle="1" w:styleId="Default">
    <w:name w:val="Default"/>
    <w:link w:val="DefaultChar"/>
    <w:rsid w:val="00EB77E7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kern w:val="0"/>
      <w:sz w:val="24"/>
      <w:szCs w:val="24"/>
      <w:lang w:val="en-CA" w:eastAsia="en-CA"/>
    </w:rPr>
  </w:style>
  <w:style w:type="character" w:customStyle="1" w:styleId="DefaultChar">
    <w:name w:val="Default Char"/>
    <w:basedOn w:val="DefaultParagraphFont"/>
    <w:link w:val="Default"/>
    <w:rsid w:val="00EB77E7"/>
    <w:rPr>
      <w:rFonts w:ascii="Calibri" w:eastAsia="Times New Roman" w:hAnsi="Calibri" w:cs="Calibri"/>
      <w:color w:val="000000"/>
      <w:kern w:val="0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504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yuxin peng</dc:creator>
  <cp:keywords/>
  <dc:description/>
  <cp:lastModifiedBy>doan dang</cp:lastModifiedBy>
  <cp:revision>18</cp:revision>
  <dcterms:created xsi:type="dcterms:W3CDTF">2022-11-28T08:49:00Z</dcterms:created>
  <dcterms:modified xsi:type="dcterms:W3CDTF">2023-11-16T10:58:00Z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2022-11-28T08:49:07Z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0d5f3e43-23a8-4a49-ae94-00ca286a0b61</vt:lpwstr>
  </property>
  <property fmtid="{D5CDD505-2E9C-101B-9397-08002B2CF9AE}" pid="7" name="MSIP_Label_defa4170-0d19-0005-0004-bc88714345d2_ActionId">
    <vt:lpwstr>2bdd3c90-2206-4bfc-bf37-d73b97179059</vt:lpwstr>
  </property>
  <property fmtid="{D5CDD505-2E9C-101B-9397-08002B2CF9AE}" pid="8" name="MSIP_Label_defa4170-0d19-0005-0004-bc88714345d2_ContentBits">
    <vt:lpwstr>0</vt:lpwstr>
  </property>
</Properties>
</file>