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7736C" w14:textId="77777777" w:rsidR="00862453" w:rsidRDefault="00A15F9A">
      <w:pPr>
        <w:rPr>
          <w:rFonts w:asciiTheme="majorBidi" w:hAnsiTheme="majorBidi" w:cstheme="majorBidi"/>
          <w:b/>
          <w:bCs/>
          <w:sz w:val="24"/>
          <w:szCs w:val="24"/>
        </w:rPr>
      </w:pPr>
      <w:r w:rsidRPr="00A15F9A">
        <w:rPr>
          <w:rFonts w:asciiTheme="majorBidi" w:hAnsiTheme="majorBidi" w:cstheme="majorBidi"/>
          <w:b/>
          <w:bCs/>
          <w:sz w:val="24"/>
          <w:szCs w:val="24"/>
        </w:rPr>
        <w:t>Supplementary data:</w:t>
      </w:r>
    </w:p>
    <w:p w14:paraId="6983AFB4" w14:textId="77777777" w:rsidR="00A15F9A" w:rsidRPr="00A15F9A" w:rsidRDefault="00A15F9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BF87271" w14:textId="06A6C41B" w:rsidR="002655B4" w:rsidRPr="00F82552" w:rsidRDefault="002655B4" w:rsidP="002218B3">
      <w:pPr>
        <w:rPr>
          <w:rFonts w:asciiTheme="majorBidi" w:hAnsiTheme="majorBidi" w:cstheme="majorBidi"/>
          <w:i/>
          <w:iCs/>
        </w:rPr>
      </w:pPr>
      <w:r w:rsidRPr="00F82552">
        <w:rPr>
          <w:rStyle w:val="Strong"/>
          <w:rFonts w:asciiTheme="majorBidi" w:hAnsiTheme="majorBidi" w:cstheme="majorBidi"/>
        </w:rPr>
        <w:t xml:space="preserve">Table </w:t>
      </w:r>
      <w:r w:rsidR="003238BD">
        <w:rPr>
          <w:rStyle w:val="Strong"/>
          <w:rFonts w:asciiTheme="majorBidi" w:hAnsiTheme="majorBidi" w:cstheme="majorBidi"/>
        </w:rPr>
        <w:t>S</w:t>
      </w:r>
      <w:r w:rsidRPr="00F82552">
        <w:rPr>
          <w:rStyle w:val="Strong"/>
          <w:rFonts w:asciiTheme="majorBidi" w:hAnsiTheme="majorBidi" w:cstheme="majorBidi"/>
        </w:rPr>
        <w:t>1.</w:t>
      </w:r>
      <w:r w:rsidRPr="00F82552">
        <w:rPr>
          <w:rFonts w:asciiTheme="majorBidi" w:hAnsiTheme="majorBidi" w:cstheme="majorBidi"/>
        </w:rPr>
        <w:t xml:space="preserve"> </w:t>
      </w:r>
      <w:r w:rsidRPr="00F82552">
        <w:rPr>
          <w:rStyle w:val="Emphasis"/>
          <w:rFonts w:asciiTheme="majorBidi" w:hAnsiTheme="majorBidi" w:cstheme="majorBidi"/>
          <w:i w:val="0"/>
          <w:iCs w:val="0"/>
        </w:rPr>
        <w:t xml:space="preserve">Physicochemical properties of the conserved domains of LL-37 and HNP-1 peptides </w:t>
      </w:r>
      <w:r w:rsidR="002218B3">
        <w:rPr>
          <w:rStyle w:val="Emphasis"/>
          <w:rFonts w:asciiTheme="majorBidi" w:hAnsiTheme="majorBidi" w:cstheme="majorBidi"/>
          <w:i w:val="0"/>
          <w:iCs w:val="0"/>
        </w:rPr>
        <w:t>before</w:t>
      </w:r>
      <w:r w:rsidRPr="00F82552">
        <w:rPr>
          <w:rStyle w:val="Emphasis"/>
          <w:rFonts w:asciiTheme="majorBidi" w:hAnsiTheme="majorBidi" w:cstheme="majorBidi"/>
          <w:i w:val="0"/>
          <w:iCs w:val="0"/>
        </w:rPr>
        <w:t xml:space="preserve"> mutation.</w:t>
      </w:r>
    </w:p>
    <w:tbl>
      <w:tblPr>
        <w:tblStyle w:val="TableGrid"/>
        <w:tblW w:w="1143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260"/>
        <w:gridCol w:w="900"/>
        <w:gridCol w:w="810"/>
        <w:gridCol w:w="990"/>
        <w:gridCol w:w="990"/>
        <w:gridCol w:w="809"/>
        <w:gridCol w:w="811"/>
        <w:gridCol w:w="990"/>
        <w:gridCol w:w="990"/>
        <w:gridCol w:w="900"/>
        <w:gridCol w:w="990"/>
        <w:gridCol w:w="990"/>
      </w:tblGrid>
      <w:tr w:rsidR="002655B4" w:rsidRPr="00C50851" w14:paraId="22744EEC" w14:textId="77777777" w:rsidTr="006A7466">
        <w:tc>
          <w:tcPr>
            <w:tcW w:w="1260" w:type="dxa"/>
            <w:hideMark/>
          </w:tcPr>
          <w:p w14:paraId="054B4207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Peptide Domain</w:t>
            </w:r>
          </w:p>
        </w:tc>
        <w:tc>
          <w:tcPr>
            <w:tcW w:w="900" w:type="dxa"/>
            <w:hideMark/>
          </w:tcPr>
          <w:p w14:paraId="3330CC74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Residues</w:t>
            </w:r>
          </w:p>
        </w:tc>
        <w:tc>
          <w:tcPr>
            <w:tcW w:w="810" w:type="dxa"/>
            <w:hideMark/>
          </w:tcPr>
          <w:p w14:paraId="722043AC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No. of Amino Acids</w:t>
            </w:r>
          </w:p>
        </w:tc>
        <w:tc>
          <w:tcPr>
            <w:tcW w:w="990" w:type="dxa"/>
            <w:hideMark/>
          </w:tcPr>
          <w:p w14:paraId="5AD10CE7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Molecular Weight (kDa)</w:t>
            </w:r>
          </w:p>
        </w:tc>
        <w:tc>
          <w:tcPr>
            <w:tcW w:w="990" w:type="dxa"/>
            <w:hideMark/>
          </w:tcPr>
          <w:p w14:paraId="20E8D7A8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Theoretical pI</w:t>
            </w:r>
          </w:p>
        </w:tc>
        <w:tc>
          <w:tcPr>
            <w:tcW w:w="809" w:type="dxa"/>
            <w:hideMark/>
          </w:tcPr>
          <w:p w14:paraId="1FA6046D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+ Charged Residues</w:t>
            </w:r>
          </w:p>
        </w:tc>
        <w:tc>
          <w:tcPr>
            <w:tcW w:w="811" w:type="dxa"/>
            <w:hideMark/>
          </w:tcPr>
          <w:p w14:paraId="3F048C82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– Charged Residues</w:t>
            </w:r>
          </w:p>
        </w:tc>
        <w:tc>
          <w:tcPr>
            <w:tcW w:w="990" w:type="dxa"/>
            <w:hideMark/>
          </w:tcPr>
          <w:p w14:paraId="2C8F38EF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Instability Index</w:t>
            </w:r>
          </w:p>
        </w:tc>
        <w:tc>
          <w:tcPr>
            <w:tcW w:w="990" w:type="dxa"/>
            <w:hideMark/>
          </w:tcPr>
          <w:p w14:paraId="0D87FD46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Aliphatic Index</w:t>
            </w:r>
          </w:p>
        </w:tc>
        <w:tc>
          <w:tcPr>
            <w:tcW w:w="900" w:type="dxa"/>
            <w:hideMark/>
          </w:tcPr>
          <w:p w14:paraId="350C0EBE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GRAVY</w:t>
            </w:r>
          </w:p>
        </w:tc>
        <w:tc>
          <w:tcPr>
            <w:tcW w:w="990" w:type="dxa"/>
            <w:hideMark/>
          </w:tcPr>
          <w:p w14:paraId="2A9E5E39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Solubility Score</w:t>
            </w:r>
          </w:p>
        </w:tc>
        <w:tc>
          <w:tcPr>
            <w:tcW w:w="990" w:type="dxa"/>
            <w:hideMark/>
          </w:tcPr>
          <w:p w14:paraId="18918A53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Predicted Toxicity</w:t>
            </w:r>
          </w:p>
        </w:tc>
      </w:tr>
      <w:tr w:rsidR="002655B4" w:rsidRPr="00C50851" w14:paraId="306525C5" w14:textId="77777777" w:rsidTr="006A7466">
        <w:tc>
          <w:tcPr>
            <w:tcW w:w="1260" w:type="dxa"/>
            <w:hideMark/>
          </w:tcPr>
          <w:p w14:paraId="6304731F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LL-37 (Antiviral Domain)</w:t>
            </w:r>
          </w:p>
        </w:tc>
        <w:tc>
          <w:tcPr>
            <w:tcW w:w="900" w:type="dxa"/>
            <w:hideMark/>
          </w:tcPr>
          <w:p w14:paraId="3CC15FBA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31–131</w:t>
            </w:r>
          </w:p>
        </w:tc>
        <w:tc>
          <w:tcPr>
            <w:tcW w:w="810" w:type="dxa"/>
            <w:hideMark/>
          </w:tcPr>
          <w:p w14:paraId="618238E3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101</w:t>
            </w:r>
          </w:p>
        </w:tc>
        <w:tc>
          <w:tcPr>
            <w:tcW w:w="990" w:type="dxa"/>
            <w:hideMark/>
          </w:tcPr>
          <w:p w14:paraId="5BCD3FE5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11,322.76</w:t>
            </w:r>
          </w:p>
        </w:tc>
        <w:tc>
          <w:tcPr>
            <w:tcW w:w="990" w:type="dxa"/>
            <w:hideMark/>
          </w:tcPr>
          <w:p w14:paraId="6C190F74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6.42</w:t>
            </w:r>
          </w:p>
        </w:tc>
        <w:tc>
          <w:tcPr>
            <w:tcW w:w="809" w:type="dxa"/>
            <w:hideMark/>
          </w:tcPr>
          <w:p w14:paraId="1872B820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811" w:type="dxa"/>
            <w:hideMark/>
          </w:tcPr>
          <w:p w14:paraId="040E5528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990" w:type="dxa"/>
            <w:hideMark/>
          </w:tcPr>
          <w:p w14:paraId="34E5957B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42.17</w:t>
            </w:r>
          </w:p>
        </w:tc>
        <w:tc>
          <w:tcPr>
            <w:tcW w:w="990" w:type="dxa"/>
            <w:hideMark/>
          </w:tcPr>
          <w:p w14:paraId="66A46121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66.53</w:t>
            </w:r>
          </w:p>
        </w:tc>
        <w:tc>
          <w:tcPr>
            <w:tcW w:w="900" w:type="dxa"/>
            <w:hideMark/>
          </w:tcPr>
          <w:p w14:paraId="4B2F19D6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–0.782</w:t>
            </w:r>
          </w:p>
        </w:tc>
        <w:tc>
          <w:tcPr>
            <w:tcW w:w="990" w:type="dxa"/>
            <w:hideMark/>
          </w:tcPr>
          <w:p w14:paraId="68FF0154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0.928</w:t>
            </w:r>
          </w:p>
        </w:tc>
        <w:tc>
          <w:tcPr>
            <w:tcW w:w="990" w:type="dxa"/>
            <w:hideMark/>
          </w:tcPr>
          <w:p w14:paraId="19E2E483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Non-toxic</w:t>
            </w:r>
          </w:p>
        </w:tc>
      </w:tr>
      <w:tr w:rsidR="002655B4" w:rsidRPr="00C50851" w14:paraId="7BBE26DC" w14:textId="77777777" w:rsidTr="006A7466">
        <w:tc>
          <w:tcPr>
            <w:tcW w:w="1260" w:type="dxa"/>
            <w:hideMark/>
          </w:tcPr>
          <w:p w14:paraId="3366C88A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LL-37 (Antibacterial Domain)</w:t>
            </w:r>
          </w:p>
        </w:tc>
        <w:tc>
          <w:tcPr>
            <w:tcW w:w="900" w:type="dxa"/>
            <w:hideMark/>
          </w:tcPr>
          <w:p w14:paraId="09282509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137–163</w:t>
            </w:r>
          </w:p>
        </w:tc>
        <w:tc>
          <w:tcPr>
            <w:tcW w:w="810" w:type="dxa"/>
            <w:hideMark/>
          </w:tcPr>
          <w:p w14:paraId="64218802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990" w:type="dxa"/>
            <w:hideMark/>
          </w:tcPr>
          <w:p w14:paraId="756BA857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3,427.06</w:t>
            </w:r>
          </w:p>
        </w:tc>
        <w:tc>
          <w:tcPr>
            <w:tcW w:w="990" w:type="dxa"/>
            <w:hideMark/>
          </w:tcPr>
          <w:p w14:paraId="3E25F5DC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10.62</w:t>
            </w:r>
          </w:p>
        </w:tc>
        <w:tc>
          <w:tcPr>
            <w:tcW w:w="809" w:type="dxa"/>
            <w:hideMark/>
          </w:tcPr>
          <w:p w14:paraId="5155D442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11" w:type="dxa"/>
            <w:hideMark/>
          </w:tcPr>
          <w:p w14:paraId="64BCD1EC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990" w:type="dxa"/>
            <w:hideMark/>
          </w:tcPr>
          <w:p w14:paraId="3ACE44CB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9.68</w:t>
            </w:r>
          </w:p>
        </w:tc>
        <w:tc>
          <w:tcPr>
            <w:tcW w:w="990" w:type="dxa"/>
            <w:hideMark/>
          </w:tcPr>
          <w:p w14:paraId="1631F578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68.52</w:t>
            </w:r>
          </w:p>
        </w:tc>
        <w:tc>
          <w:tcPr>
            <w:tcW w:w="900" w:type="dxa"/>
            <w:hideMark/>
          </w:tcPr>
          <w:p w14:paraId="15A2A848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–1.144</w:t>
            </w:r>
          </w:p>
        </w:tc>
        <w:tc>
          <w:tcPr>
            <w:tcW w:w="990" w:type="dxa"/>
            <w:hideMark/>
          </w:tcPr>
          <w:p w14:paraId="1C1E81AA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0.935</w:t>
            </w:r>
          </w:p>
        </w:tc>
        <w:tc>
          <w:tcPr>
            <w:tcW w:w="990" w:type="dxa"/>
            <w:hideMark/>
          </w:tcPr>
          <w:p w14:paraId="59611060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Non-toxic</w:t>
            </w:r>
          </w:p>
        </w:tc>
      </w:tr>
      <w:tr w:rsidR="002655B4" w:rsidRPr="00C50851" w14:paraId="41A15D60" w14:textId="77777777" w:rsidTr="006A7466">
        <w:tc>
          <w:tcPr>
            <w:tcW w:w="1260" w:type="dxa"/>
            <w:hideMark/>
          </w:tcPr>
          <w:p w14:paraId="48E5CD04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HNP-1 (Antibacterial Domain)</w:t>
            </w:r>
          </w:p>
        </w:tc>
        <w:tc>
          <w:tcPr>
            <w:tcW w:w="900" w:type="dxa"/>
            <w:hideMark/>
          </w:tcPr>
          <w:p w14:paraId="32F6FF7A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66–94</w:t>
            </w:r>
          </w:p>
        </w:tc>
        <w:tc>
          <w:tcPr>
            <w:tcW w:w="810" w:type="dxa"/>
            <w:hideMark/>
          </w:tcPr>
          <w:p w14:paraId="48B3A9CF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990" w:type="dxa"/>
            <w:hideMark/>
          </w:tcPr>
          <w:p w14:paraId="2F8656C6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3,377.01</w:t>
            </w:r>
          </w:p>
        </w:tc>
        <w:tc>
          <w:tcPr>
            <w:tcW w:w="990" w:type="dxa"/>
            <w:hideMark/>
          </w:tcPr>
          <w:p w14:paraId="4FBBA4F9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8.67</w:t>
            </w:r>
          </w:p>
        </w:tc>
        <w:tc>
          <w:tcPr>
            <w:tcW w:w="809" w:type="dxa"/>
            <w:hideMark/>
          </w:tcPr>
          <w:p w14:paraId="6CB4C364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11" w:type="dxa"/>
            <w:hideMark/>
          </w:tcPr>
          <w:p w14:paraId="6DB8B27C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  <w:hideMark/>
          </w:tcPr>
          <w:p w14:paraId="61A43342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42.13</w:t>
            </w:r>
          </w:p>
        </w:tc>
        <w:tc>
          <w:tcPr>
            <w:tcW w:w="990" w:type="dxa"/>
            <w:hideMark/>
          </w:tcPr>
          <w:p w14:paraId="734F60B0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64.14</w:t>
            </w:r>
          </w:p>
        </w:tc>
        <w:tc>
          <w:tcPr>
            <w:tcW w:w="900" w:type="dxa"/>
            <w:hideMark/>
          </w:tcPr>
          <w:p w14:paraId="473D277D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0.248</w:t>
            </w:r>
          </w:p>
        </w:tc>
        <w:tc>
          <w:tcPr>
            <w:tcW w:w="990" w:type="dxa"/>
            <w:hideMark/>
          </w:tcPr>
          <w:p w14:paraId="1020C174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0.773</w:t>
            </w:r>
          </w:p>
        </w:tc>
        <w:tc>
          <w:tcPr>
            <w:tcW w:w="990" w:type="dxa"/>
            <w:hideMark/>
          </w:tcPr>
          <w:p w14:paraId="53AA26DA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Non-toxic</w:t>
            </w:r>
          </w:p>
        </w:tc>
      </w:tr>
    </w:tbl>
    <w:p w14:paraId="66880018" w14:textId="77777777" w:rsidR="002655B4" w:rsidRDefault="002655B4" w:rsidP="002655B4"/>
    <w:p w14:paraId="0A7878DB" w14:textId="46BDFED3" w:rsidR="002655B4" w:rsidRPr="00F82552" w:rsidRDefault="002655B4" w:rsidP="00F82552">
      <w:pPr>
        <w:rPr>
          <w:rFonts w:asciiTheme="majorBidi" w:hAnsiTheme="majorBidi" w:cstheme="majorBidi"/>
        </w:rPr>
      </w:pPr>
      <w:r w:rsidRPr="00F82552">
        <w:rPr>
          <w:rStyle w:val="Strong"/>
          <w:rFonts w:asciiTheme="majorBidi" w:hAnsiTheme="majorBidi" w:cstheme="majorBidi"/>
        </w:rPr>
        <w:t xml:space="preserve">Table </w:t>
      </w:r>
      <w:r w:rsidR="003238BD">
        <w:rPr>
          <w:rStyle w:val="Strong"/>
          <w:rFonts w:asciiTheme="majorBidi" w:hAnsiTheme="majorBidi" w:cstheme="majorBidi"/>
        </w:rPr>
        <w:t>S</w:t>
      </w:r>
      <w:r w:rsidRPr="00F82552">
        <w:rPr>
          <w:rStyle w:val="Strong"/>
          <w:rFonts w:asciiTheme="majorBidi" w:hAnsiTheme="majorBidi" w:cstheme="majorBidi"/>
        </w:rPr>
        <w:t>2.</w:t>
      </w:r>
      <w:r w:rsidRPr="00F82552">
        <w:rPr>
          <w:rFonts w:asciiTheme="majorBidi" w:hAnsiTheme="majorBidi" w:cstheme="majorBidi"/>
        </w:rPr>
        <w:t xml:space="preserve"> </w:t>
      </w:r>
      <w:r w:rsidRPr="00F82552">
        <w:rPr>
          <w:rStyle w:val="Emphasis"/>
          <w:rFonts w:asciiTheme="majorBidi" w:hAnsiTheme="majorBidi" w:cstheme="majorBidi"/>
          <w:i w:val="0"/>
          <w:iCs w:val="0"/>
        </w:rPr>
        <w:t>Physicochemical properties of the conserved domains of LL-37 and HNP-1 peptides after mutation.</w:t>
      </w:r>
    </w:p>
    <w:tbl>
      <w:tblPr>
        <w:tblStyle w:val="TableGrid"/>
        <w:tblW w:w="1143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1260"/>
        <w:gridCol w:w="900"/>
        <w:gridCol w:w="810"/>
        <w:gridCol w:w="990"/>
        <w:gridCol w:w="990"/>
        <w:gridCol w:w="809"/>
        <w:gridCol w:w="811"/>
        <w:gridCol w:w="990"/>
        <w:gridCol w:w="990"/>
        <w:gridCol w:w="900"/>
        <w:gridCol w:w="990"/>
        <w:gridCol w:w="990"/>
      </w:tblGrid>
      <w:tr w:rsidR="002655B4" w:rsidRPr="00C50851" w14:paraId="245BB481" w14:textId="77777777" w:rsidTr="006A7466">
        <w:tc>
          <w:tcPr>
            <w:tcW w:w="1260" w:type="dxa"/>
            <w:hideMark/>
          </w:tcPr>
          <w:p w14:paraId="4AC11EC2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Peptide Domain</w:t>
            </w:r>
          </w:p>
        </w:tc>
        <w:tc>
          <w:tcPr>
            <w:tcW w:w="900" w:type="dxa"/>
            <w:hideMark/>
          </w:tcPr>
          <w:p w14:paraId="6DC5D0F7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Residues</w:t>
            </w:r>
          </w:p>
        </w:tc>
        <w:tc>
          <w:tcPr>
            <w:tcW w:w="810" w:type="dxa"/>
            <w:hideMark/>
          </w:tcPr>
          <w:p w14:paraId="58EE816D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No. of Amino Acids</w:t>
            </w:r>
          </w:p>
        </w:tc>
        <w:tc>
          <w:tcPr>
            <w:tcW w:w="990" w:type="dxa"/>
            <w:hideMark/>
          </w:tcPr>
          <w:p w14:paraId="50E80970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Molecular Weight (kDa)</w:t>
            </w:r>
          </w:p>
        </w:tc>
        <w:tc>
          <w:tcPr>
            <w:tcW w:w="990" w:type="dxa"/>
            <w:hideMark/>
          </w:tcPr>
          <w:p w14:paraId="70BEFB88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Theoretical pI</w:t>
            </w:r>
          </w:p>
        </w:tc>
        <w:tc>
          <w:tcPr>
            <w:tcW w:w="809" w:type="dxa"/>
            <w:hideMark/>
          </w:tcPr>
          <w:p w14:paraId="69C4752F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+ Charged Residues</w:t>
            </w:r>
          </w:p>
        </w:tc>
        <w:tc>
          <w:tcPr>
            <w:tcW w:w="811" w:type="dxa"/>
            <w:hideMark/>
          </w:tcPr>
          <w:p w14:paraId="30D071C1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– Charged Residues</w:t>
            </w:r>
          </w:p>
        </w:tc>
        <w:tc>
          <w:tcPr>
            <w:tcW w:w="990" w:type="dxa"/>
            <w:hideMark/>
          </w:tcPr>
          <w:p w14:paraId="47A8BF3F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Instability Index</w:t>
            </w:r>
          </w:p>
        </w:tc>
        <w:tc>
          <w:tcPr>
            <w:tcW w:w="990" w:type="dxa"/>
            <w:hideMark/>
          </w:tcPr>
          <w:p w14:paraId="2FBDAE54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Aliphatic Index</w:t>
            </w:r>
          </w:p>
        </w:tc>
        <w:tc>
          <w:tcPr>
            <w:tcW w:w="900" w:type="dxa"/>
            <w:hideMark/>
          </w:tcPr>
          <w:p w14:paraId="1AD58936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GRAVY</w:t>
            </w:r>
          </w:p>
        </w:tc>
        <w:tc>
          <w:tcPr>
            <w:tcW w:w="990" w:type="dxa"/>
            <w:hideMark/>
          </w:tcPr>
          <w:p w14:paraId="0CFD950B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Solubility Score</w:t>
            </w:r>
          </w:p>
        </w:tc>
        <w:tc>
          <w:tcPr>
            <w:tcW w:w="990" w:type="dxa"/>
            <w:hideMark/>
          </w:tcPr>
          <w:p w14:paraId="774B71DA" w14:textId="77777777" w:rsidR="002655B4" w:rsidRPr="00486D52" w:rsidRDefault="002655B4" w:rsidP="006A7466">
            <w:pPr>
              <w:spacing w:after="160" w:line="259" w:lineRule="auto"/>
              <w:jc w:val="center"/>
              <w:rPr>
                <w:rFonts w:asciiTheme="majorBidi" w:hAnsiTheme="majorBidi" w:cstheme="majorBidi"/>
                <w:b/>
                <w:bCs/>
                <w:sz w:val="14"/>
                <w:szCs w:val="14"/>
              </w:rPr>
            </w:pPr>
            <w:r w:rsidRPr="00486D52">
              <w:rPr>
                <w:rFonts w:asciiTheme="majorBidi" w:hAnsiTheme="majorBidi" w:cstheme="majorBidi"/>
                <w:b/>
                <w:bCs/>
                <w:sz w:val="14"/>
                <w:szCs w:val="14"/>
              </w:rPr>
              <w:t>Predicted Toxicity</w:t>
            </w:r>
          </w:p>
        </w:tc>
      </w:tr>
      <w:tr w:rsidR="002655B4" w:rsidRPr="00C50851" w14:paraId="408D5E9B" w14:textId="77777777" w:rsidTr="006A7466">
        <w:tc>
          <w:tcPr>
            <w:tcW w:w="1260" w:type="dxa"/>
            <w:hideMark/>
          </w:tcPr>
          <w:p w14:paraId="6D287986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LL-37 (Antiviral Domain)</w:t>
            </w:r>
          </w:p>
        </w:tc>
        <w:tc>
          <w:tcPr>
            <w:tcW w:w="900" w:type="dxa"/>
            <w:hideMark/>
          </w:tcPr>
          <w:p w14:paraId="44CB0084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31–131</w:t>
            </w:r>
          </w:p>
        </w:tc>
        <w:tc>
          <w:tcPr>
            <w:tcW w:w="810" w:type="dxa"/>
            <w:hideMark/>
          </w:tcPr>
          <w:p w14:paraId="3ADFA517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101</w:t>
            </w:r>
          </w:p>
        </w:tc>
        <w:tc>
          <w:tcPr>
            <w:tcW w:w="990" w:type="dxa"/>
            <w:hideMark/>
          </w:tcPr>
          <w:p w14:paraId="30CD34BB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FE6BC2">
              <w:rPr>
                <w:rFonts w:asciiTheme="majorBidi" w:hAnsiTheme="majorBidi" w:cstheme="majorBidi"/>
                <w:sz w:val="18"/>
                <w:szCs w:val="18"/>
              </w:rPr>
              <w:t>11382.92</w:t>
            </w:r>
          </w:p>
        </w:tc>
        <w:tc>
          <w:tcPr>
            <w:tcW w:w="990" w:type="dxa"/>
            <w:hideMark/>
          </w:tcPr>
          <w:p w14:paraId="4B6CA773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010AEF">
              <w:rPr>
                <w:rFonts w:asciiTheme="majorBidi" w:hAnsiTheme="majorBidi" w:cstheme="majorBidi"/>
                <w:sz w:val="18"/>
                <w:szCs w:val="18"/>
              </w:rPr>
              <w:t>8.65</w:t>
            </w:r>
          </w:p>
        </w:tc>
        <w:tc>
          <w:tcPr>
            <w:tcW w:w="809" w:type="dxa"/>
            <w:hideMark/>
          </w:tcPr>
          <w:p w14:paraId="2260C57D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811" w:type="dxa"/>
            <w:hideMark/>
          </w:tcPr>
          <w:p w14:paraId="758516A9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760EE0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990" w:type="dxa"/>
            <w:hideMark/>
          </w:tcPr>
          <w:p w14:paraId="0DC351D3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72CB3">
              <w:rPr>
                <w:rFonts w:asciiTheme="majorBidi" w:hAnsiTheme="majorBidi" w:cstheme="majorBidi"/>
                <w:sz w:val="18"/>
                <w:szCs w:val="18"/>
              </w:rPr>
              <w:t>34.41</w:t>
            </w:r>
          </w:p>
        </w:tc>
        <w:tc>
          <w:tcPr>
            <w:tcW w:w="990" w:type="dxa"/>
            <w:hideMark/>
          </w:tcPr>
          <w:p w14:paraId="1926CC05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0059AC">
              <w:rPr>
                <w:rFonts w:asciiTheme="majorBidi" w:hAnsiTheme="majorBidi" w:cstheme="majorBidi"/>
                <w:sz w:val="18"/>
                <w:szCs w:val="18"/>
              </w:rPr>
              <w:t>62.67</w:t>
            </w:r>
          </w:p>
        </w:tc>
        <w:tc>
          <w:tcPr>
            <w:tcW w:w="900" w:type="dxa"/>
            <w:hideMark/>
          </w:tcPr>
          <w:p w14:paraId="006D906C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0059AC">
              <w:rPr>
                <w:rFonts w:asciiTheme="majorBidi" w:hAnsiTheme="majorBidi" w:cstheme="majorBidi"/>
                <w:sz w:val="18"/>
                <w:szCs w:val="18"/>
              </w:rPr>
              <w:t>-0.845</w:t>
            </w:r>
          </w:p>
        </w:tc>
        <w:tc>
          <w:tcPr>
            <w:tcW w:w="990" w:type="dxa"/>
            <w:hideMark/>
          </w:tcPr>
          <w:p w14:paraId="064A1FFB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0.</w:t>
            </w:r>
            <w:r>
              <w:rPr>
                <w:rFonts w:asciiTheme="majorBidi" w:hAnsiTheme="majorBidi" w:cstheme="majorBidi"/>
                <w:sz w:val="18"/>
                <w:szCs w:val="18"/>
              </w:rPr>
              <w:t>891</w:t>
            </w:r>
          </w:p>
        </w:tc>
        <w:tc>
          <w:tcPr>
            <w:tcW w:w="990" w:type="dxa"/>
            <w:hideMark/>
          </w:tcPr>
          <w:p w14:paraId="64B9A21F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Non-toxic</w:t>
            </w:r>
          </w:p>
        </w:tc>
      </w:tr>
      <w:tr w:rsidR="002655B4" w:rsidRPr="00C50851" w14:paraId="79C7DC85" w14:textId="77777777" w:rsidTr="006A7466">
        <w:tc>
          <w:tcPr>
            <w:tcW w:w="1260" w:type="dxa"/>
            <w:hideMark/>
          </w:tcPr>
          <w:p w14:paraId="0A7324A6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LL-37 (Antibacterial Domain)</w:t>
            </w:r>
          </w:p>
        </w:tc>
        <w:tc>
          <w:tcPr>
            <w:tcW w:w="900" w:type="dxa"/>
            <w:hideMark/>
          </w:tcPr>
          <w:p w14:paraId="7E519A97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137–163</w:t>
            </w:r>
          </w:p>
        </w:tc>
        <w:tc>
          <w:tcPr>
            <w:tcW w:w="810" w:type="dxa"/>
            <w:hideMark/>
          </w:tcPr>
          <w:p w14:paraId="1BA48C18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27</w:t>
            </w:r>
          </w:p>
        </w:tc>
        <w:tc>
          <w:tcPr>
            <w:tcW w:w="990" w:type="dxa"/>
            <w:hideMark/>
          </w:tcPr>
          <w:p w14:paraId="129F244D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3,427.06</w:t>
            </w:r>
          </w:p>
        </w:tc>
        <w:tc>
          <w:tcPr>
            <w:tcW w:w="990" w:type="dxa"/>
            <w:hideMark/>
          </w:tcPr>
          <w:p w14:paraId="7E405E8F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10.62</w:t>
            </w:r>
          </w:p>
        </w:tc>
        <w:tc>
          <w:tcPr>
            <w:tcW w:w="809" w:type="dxa"/>
            <w:hideMark/>
          </w:tcPr>
          <w:p w14:paraId="067883D2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11" w:type="dxa"/>
            <w:hideMark/>
          </w:tcPr>
          <w:p w14:paraId="5865CA1B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990" w:type="dxa"/>
            <w:hideMark/>
          </w:tcPr>
          <w:p w14:paraId="54075E33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9.68</w:t>
            </w:r>
          </w:p>
        </w:tc>
        <w:tc>
          <w:tcPr>
            <w:tcW w:w="990" w:type="dxa"/>
            <w:hideMark/>
          </w:tcPr>
          <w:p w14:paraId="39B5B60D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68.52</w:t>
            </w:r>
          </w:p>
        </w:tc>
        <w:tc>
          <w:tcPr>
            <w:tcW w:w="900" w:type="dxa"/>
            <w:hideMark/>
          </w:tcPr>
          <w:p w14:paraId="0B15DD4E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–1.144</w:t>
            </w:r>
          </w:p>
        </w:tc>
        <w:tc>
          <w:tcPr>
            <w:tcW w:w="990" w:type="dxa"/>
            <w:hideMark/>
          </w:tcPr>
          <w:p w14:paraId="60D79EE0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0.935</w:t>
            </w:r>
          </w:p>
        </w:tc>
        <w:tc>
          <w:tcPr>
            <w:tcW w:w="990" w:type="dxa"/>
            <w:hideMark/>
          </w:tcPr>
          <w:p w14:paraId="4AF6D14A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Non-toxic</w:t>
            </w:r>
          </w:p>
        </w:tc>
      </w:tr>
      <w:tr w:rsidR="002655B4" w:rsidRPr="00C50851" w14:paraId="28D18D8C" w14:textId="77777777" w:rsidTr="006A7466">
        <w:tc>
          <w:tcPr>
            <w:tcW w:w="1260" w:type="dxa"/>
            <w:hideMark/>
          </w:tcPr>
          <w:p w14:paraId="0363D5F4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HNP-1 (Antibacterial Domain)</w:t>
            </w:r>
          </w:p>
        </w:tc>
        <w:tc>
          <w:tcPr>
            <w:tcW w:w="900" w:type="dxa"/>
            <w:hideMark/>
          </w:tcPr>
          <w:p w14:paraId="28139A07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66–94</w:t>
            </w:r>
          </w:p>
        </w:tc>
        <w:tc>
          <w:tcPr>
            <w:tcW w:w="810" w:type="dxa"/>
            <w:hideMark/>
          </w:tcPr>
          <w:p w14:paraId="1308D4B7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29</w:t>
            </w:r>
          </w:p>
        </w:tc>
        <w:tc>
          <w:tcPr>
            <w:tcW w:w="990" w:type="dxa"/>
            <w:hideMark/>
          </w:tcPr>
          <w:p w14:paraId="54D51F9C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887958">
              <w:rPr>
                <w:rFonts w:asciiTheme="majorBidi" w:hAnsiTheme="majorBidi" w:cstheme="majorBidi"/>
                <w:sz w:val="18"/>
                <w:szCs w:val="18"/>
              </w:rPr>
              <w:t>3480.12</w:t>
            </w:r>
          </w:p>
        </w:tc>
        <w:tc>
          <w:tcPr>
            <w:tcW w:w="990" w:type="dxa"/>
            <w:hideMark/>
          </w:tcPr>
          <w:p w14:paraId="0F2A872E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887958">
              <w:rPr>
                <w:rFonts w:asciiTheme="majorBidi" w:hAnsiTheme="majorBidi" w:cstheme="majorBidi"/>
                <w:sz w:val="18"/>
                <w:szCs w:val="18"/>
              </w:rPr>
              <w:t>9.04</w:t>
            </w:r>
          </w:p>
        </w:tc>
        <w:tc>
          <w:tcPr>
            <w:tcW w:w="809" w:type="dxa"/>
            <w:hideMark/>
          </w:tcPr>
          <w:p w14:paraId="6D90AB94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11" w:type="dxa"/>
            <w:hideMark/>
          </w:tcPr>
          <w:p w14:paraId="62132BA0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990" w:type="dxa"/>
            <w:hideMark/>
          </w:tcPr>
          <w:p w14:paraId="147D7178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0550E0">
              <w:rPr>
                <w:rFonts w:asciiTheme="majorBidi" w:hAnsiTheme="majorBidi" w:cstheme="majorBidi"/>
                <w:sz w:val="18"/>
                <w:szCs w:val="18"/>
              </w:rPr>
              <w:t>40.48</w:t>
            </w:r>
          </w:p>
        </w:tc>
        <w:tc>
          <w:tcPr>
            <w:tcW w:w="990" w:type="dxa"/>
            <w:hideMark/>
          </w:tcPr>
          <w:p w14:paraId="2B76C1FE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0550E0">
              <w:rPr>
                <w:rFonts w:asciiTheme="majorBidi" w:hAnsiTheme="majorBidi" w:cstheme="majorBidi"/>
                <w:sz w:val="18"/>
                <w:szCs w:val="18"/>
              </w:rPr>
              <w:t>47.24</w:t>
            </w:r>
          </w:p>
        </w:tc>
        <w:tc>
          <w:tcPr>
            <w:tcW w:w="900" w:type="dxa"/>
            <w:hideMark/>
          </w:tcPr>
          <w:p w14:paraId="05FCE5FF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0550E0">
              <w:rPr>
                <w:rFonts w:asciiTheme="majorBidi" w:hAnsiTheme="majorBidi" w:cstheme="majorBidi"/>
                <w:sz w:val="18"/>
                <w:szCs w:val="18"/>
              </w:rPr>
              <w:t>0.007</w:t>
            </w:r>
          </w:p>
        </w:tc>
        <w:tc>
          <w:tcPr>
            <w:tcW w:w="990" w:type="dxa"/>
            <w:hideMark/>
          </w:tcPr>
          <w:p w14:paraId="52102E5E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0.773</w:t>
            </w:r>
          </w:p>
        </w:tc>
        <w:tc>
          <w:tcPr>
            <w:tcW w:w="990" w:type="dxa"/>
            <w:hideMark/>
          </w:tcPr>
          <w:p w14:paraId="51CFB7F8" w14:textId="77777777" w:rsidR="002655B4" w:rsidRPr="00C50851" w:rsidRDefault="002655B4" w:rsidP="006A7466">
            <w:pPr>
              <w:spacing w:after="160" w:line="259" w:lineRule="auto"/>
              <w:rPr>
                <w:rFonts w:asciiTheme="majorBidi" w:hAnsiTheme="majorBidi" w:cstheme="majorBidi"/>
                <w:sz w:val="18"/>
                <w:szCs w:val="18"/>
              </w:rPr>
            </w:pPr>
            <w:r w:rsidRPr="00C50851">
              <w:rPr>
                <w:rFonts w:asciiTheme="majorBidi" w:hAnsiTheme="majorBidi" w:cstheme="majorBidi"/>
                <w:sz w:val="18"/>
                <w:szCs w:val="18"/>
              </w:rPr>
              <w:t>Non-toxic</w:t>
            </w:r>
          </w:p>
        </w:tc>
      </w:tr>
    </w:tbl>
    <w:p w14:paraId="0A2FEF48" w14:textId="77777777" w:rsidR="002655B4" w:rsidRDefault="002655B4"/>
    <w:sectPr w:rsidR="002655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5B4"/>
    <w:rsid w:val="002218B3"/>
    <w:rsid w:val="002655B4"/>
    <w:rsid w:val="003238BD"/>
    <w:rsid w:val="00794135"/>
    <w:rsid w:val="00862453"/>
    <w:rsid w:val="00A15F9A"/>
    <w:rsid w:val="00F82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DFD2E5"/>
  <w15:chartTrackingRefBased/>
  <w15:docId w15:val="{BB9CE9A9-9337-4700-B539-A2D26C6C1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655B4"/>
    <w:rPr>
      <w:b/>
      <w:bCs/>
    </w:rPr>
  </w:style>
  <w:style w:type="table" w:styleId="TableGrid">
    <w:name w:val="Table Grid"/>
    <w:basedOn w:val="TableNormal"/>
    <w:uiPriority w:val="39"/>
    <w:rsid w:val="00265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655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CRCc</dc:creator>
  <cp:keywords/>
  <dc:description/>
  <cp:lastModifiedBy>Navid Nezafat</cp:lastModifiedBy>
  <cp:revision>6</cp:revision>
  <dcterms:created xsi:type="dcterms:W3CDTF">2025-10-07T19:05:00Z</dcterms:created>
  <dcterms:modified xsi:type="dcterms:W3CDTF">2026-02-10T10:58:00Z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f131f9fc-4314-4e30-9e5e-2e54e7a09f34</vt:lpwstr>
  </property>
</Properties>
</file>