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F98B8" w14:textId="38FA5956" w:rsidR="00C13C7A" w:rsidRDefault="00C13C7A" w:rsidP="00C13C7A">
      <w:pPr>
        <w:spacing w:line="278" w:lineRule="auto"/>
        <w:jc w:val="both"/>
        <w:rPr>
          <w:rFonts w:ascii="Aptos" w:eastAsia="Times New Roman" w:hAnsi="Aptos" w:cs="Arial"/>
          <w:b/>
          <w:bCs/>
          <w:sz w:val="28"/>
          <w:szCs w:val="28"/>
          <w:u w:val="single"/>
          <w:lang w:val="en-US" w:bidi="ar-EG"/>
        </w:rPr>
      </w:pPr>
      <w:r w:rsidRPr="00E227E8">
        <w:rPr>
          <w:rFonts w:ascii="Aptos" w:eastAsia="Times New Roman" w:hAnsi="Aptos" w:cs="Arial"/>
          <w:b/>
          <w:bCs/>
          <w:sz w:val="28"/>
          <w:szCs w:val="28"/>
          <w:u w:val="single"/>
          <w:lang w:val="en-US" w:bidi="ar-EG"/>
        </w:rPr>
        <w:t>G</w:t>
      </w:r>
      <w:r w:rsidRPr="00E227E8">
        <w:rPr>
          <w:rFonts w:ascii="Aptos" w:eastAsia="Times New Roman" w:hAnsi="Aptos" w:cs="Arial" w:hint="cs"/>
          <w:b/>
          <w:bCs/>
          <w:sz w:val="28"/>
          <w:szCs w:val="28"/>
          <w:u w:val="single"/>
          <w:lang w:val="en-US" w:bidi="ar-EG"/>
        </w:rPr>
        <w:t>eriatric syndromes</w:t>
      </w:r>
      <w:r w:rsidRPr="00E227E8">
        <w:rPr>
          <w:rFonts w:ascii="Aptos" w:eastAsia="Times New Roman" w:hAnsi="Aptos" w:cs="Arial"/>
          <w:b/>
          <w:bCs/>
          <w:sz w:val="28"/>
          <w:szCs w:val="28"/>
          <w:u w:val="single"/>
          <w:lang w:val="en-US" w:bidi="ar-EG"/>
        </w:rPr>
        <w:t xml:space="preserve"> </w:t>
      </w:r>
      <w:r w:rsidR="00E227E8" w:rsidRPr="00E227E8">
        <w:rPr>
          <w:rFonts w:ascii="Aptos" w:eastAsia="Times New Roman" w:hAnsi="Aptos" w:cs="Arial"/>
          <w:b/>
          <w:bCs/>
          <w:sz w:val="28"/>
          <w:szCs w:val="28"/>
          <w:u w:val="single"/>
          <w:lang w:val="en-US" w:bidi="ar-EG"/>
        </w:rPr>
        <w:t>definitions</w:t>
      </w:r>
      <w:r w:rsidRPr="00E227E8">
        <w:rPr>
          <w:rFonts w:ascii="Aptos" w:eastAsia="Times New Roman" w:hAnsi="Aptos" w:cs="Arial" w:hint="cs"/>
          <w:b/>
          <w:bCs/>
          <w:sz w:val="28"/>
          <w:szCs w:val="28"/>
          <w:u w:val="single"/>
          <w:lang w:val="en-US" w:bidi="ar-EG"/>
        </w:rPr>
        <w:t xml:space="preserve"> </w:t>
      </w:r>
    </w:p>
    <w:p w14:paraId="7A27BE62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b/>
          <w:bCs/>
          <w:color w:val="000000"/>
          <w:kern w:val="0"/>
          <w:sz w:val="24"/>
          <w:szCs w:val="24"/>
          <w:u w:val="single"/>
          <w:lang w:val="en-US" w:bidi="ar-EG"/>
          <w14:ligatures w14:val="none"/>
        </w:rPr>
        <w:t>The cognitive impairment, delirium, and depression</w:t>
      </w: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 xml:space="preserve"> were diagnosed based on the clinical assessment fulfilling the diagnostic criteria of each according to DSM 5.</w:t>
      </w:r>
    </w:p>
    <w:p w14:paraId="61BFAF5C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bidi="ar-EG"/>
          <w14:ligatures w14:val="none"/>
        </w:rPr>
        <w:t>Ref:</w:t>
      </w:r>
    </w:p>
    <w:p w14:paraId="3DA0AEE4" w14:textId="3C222070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Diagnostic and Statistical Manual of Mental Disorders - DSM-5™, 5th ed, Arlington, VA, US,</w:t>
      </w:r>
    </w:p>
    <w:p w14:paraId="58623113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b/>
          <w:bCs/>
          <w:color w:val="000000"/>
          <w:kern w:val="0"/>
          <w:sz w:val="24"/>
          <w:szCs w:val="24"/>
          <w:u w:val="single"/>
          <w:lang w:val="en-US" w:bidi="ar-EG"/>
          <w14:ligatures w14:val="none"/>
        </w:rPr>
        <w:t>Functional impairment</w:t>
      </w: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 xml:space="preserve"> is defined as the acquired difficulty in performing basic self-care tasks or more complex activities necessary for independent living, assessed using validated tools such as Katz Activities of Daily Living (ADL) and Instrumental Activities of Daily Living (IADL).</w:t>
      </w:r>
    </w:p>
    <w:p w14:paraId="4A019459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bidi="ar-EG"/>
          <w14:ligatures w14:val="none"/>
        </w:rPr>
        <w:t>Ref:</w:t>
      </w:r>
    </w:p>
    <w:p w14:paraId="39A4EA22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Rodrigues MA, Facchini LA, Thumé E, Maia F. Gender and incidence of functional disability in the elderly: A systematic review. Cad SaúePública. 2009;25:464–76. doi: 10.1590/s0102-311x2009001500011</w:t>
      </w:r>
    </w:p>
    <w:p w14:paraId="06B6DEFD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b/>
          <w:bCs/>
          <w:color w:val="000000"/>
          <w:kern w:val="0"/>
          <w:sz w:val="24"/>
          <w:szCs w:val="24"/>
          <w:u w:val="single"/>
          <w:lang w:val="en-US" w:bidi="ar-EG"/>
          <w14:ligatures w14:val="none"/>
        </w:rPr>
        <w:t>Frailty phenotype</w:t>
      </w: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 xml:space="preserve"> is diagnosed according to the Fried Frailty Phenotype criteria. Individuals are diagnosed with frailty syndrome if they meet three or more of the following five criteria: weight loss of more than 4.5 kg or greater than 5%, fatigue, reduced physical activity, slow walking pace, and weak handgrip strength.</w:t>
      </w:r>
    </w:p>
    <w:p w14:paraId="30955213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bidi="ar-EG"/>
          <w14:ligatures w14:val="none"/>
        </w:rPr>
        <w:t>Ref:</w:t>
      </w:r>
    </w:p>
    <w:p w14:paraId="6B7A6549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Fried LP, Tangen CM, Walston J, Newman AB, Hirsch C, Gottdiener J, et al.</w:t>
      </w:r>
    </w:p>
    <w:p w14:paraId="1AC34C5A" w14:textId="10A23B8A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Frailty in older adults: evidence for a phenotype. J Gerontol A Biol Sci Med Sci. 2001;56(3):M146–56.</w:t>
      </w:r>
    </w:p>
    <w:p w14:paraId="5154EBB7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4"/>
          <w:szCs w:val="24"/>
          <w:u w:val="single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b/>
          <w:bCs/>
          <w:color w:val="000000"/>
          <w:kern w:val="0"/>
          <w:sz w:val="24"/>
          <w:szCs w:val="24"/>
          <w:u w:val="single"/>
          <w:lang w:val="en-US" w:bidi="ar-EG"/>
          <w14:ligatures w14:val="none"/>
        </w:rPr>
        <w:t>Pressure ulcer</w:t>
      </w:r>
    </w:p>
    <w:p w14:paraId="41E3AF36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Pressure ulcers are defined as localized damage to the skin and underlying tissue, usually over a bony prominence, resulting from prolonged pressure or friction.</w:t>
      </w:r>
    </w:p>
    <w:p w14:paraId="56C57B64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National Pressure Injury Advisory Panel (NPIAP) staging system, which includes:</w:t>
      </w:r>
    </w:p>
    <w:p w14:paraId="711B7DD2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• Stage 1: Non-blanchable erythema of intact skin</w:t>
      </w:r>
    </w:p>
    <w:p w14:paraId="46B6E0F7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• Stage 2: Partial-thickness loss of dermis</w:t>
      </w:r>
    </w:p>
    <w:p w14:paraId="70E15159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lastRenderedPageBreak/>
        <w:t>• Stage 3: Full-thickness tissue loss</w:t>
      </w:r>
    </w:p>
    <w:p w14:paraId="0EFAB992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• Stage 4: Full-thickness tissue loss with exposed bone, tendon, or muscle</w:t>
      </w:r>
    </w:p>
    <w:p w14:paraId="43ADE1CB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• Unstageable: Full-thickness tissue loss where the base is covered by slough or eschar</w:t>
      </w:r>
    </w:p>
    <w:p w14:paraId="45A83E17" w14:textId="610EDC72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• Deep Tissue Pressure Injury: Intact or non-intact skin with localized purple or maroon discoloration.</w:t>
      </w:r>
    </w:p>
    <w:p w14:paraId="6262CCE0" w14:textId="77777777" w:rsidR="006B6401" w:rsidRPr="006B6401" w:rsidRDefault="006B6401" w:rsidP="006B6401">
      <w:pPr>
        <w:spacing w:line="360" w:lineRule="auto"/>
        <w:rPr>
          <w:rFonts w:ascii="Times New Roman" w:eastAsia="MS Mincho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bidi="ar-EG"/>
          <w14:ligatures w14:val="none"/>
        </w:rPr>
        <w:t>Ref</w:t>
      </w:r>
    </w:p>
    <w:p w14:paraId="035A8E7C" w14:textId="77777777" w:rsidR="006B6401" w:rsidRPr="006B6401" w:rsidRDefault="006B6401" w:rsidP="006B6401">
      <w:pPr>
        <w:spacing w:line="360" w:lineRule="auto"/>
        <w:jc w:val="both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</w:pPr>
      <w:r w:rsidRPr="006B6401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en-US" w:bidi="ar-EG"/>
          <w14:ligatures w14:val="none"/>
        </w:rPr>
        <w:t>Black J, Baharestani M, Cuddigan J, Dorner B, Edsberg L, Langemo D, et al. National Pressure Ulcer Advisory Panel’s updated pressure ulcer staging system. Dermatol Nurs. 2007 Aug;19(4):343–9</w:t>
      </w:r>
    </w:p>
    <w:p w14:paraId="74AE0CE3" w14:textId="77777777" w:rsidR="006B6401" w:rsidRPr="00E227E8" w:rsidRDefault="006B6401" w:rsidP="00C13C7A">
      <w:pPr>
        <w:spacing w:line="278" w:lineRule="auto"/>
        <w:jc w:val="both"/>
        <w:rPr>
          <w:rFonts w:ascii="Aptos" w:eastAsia="Times New Roman" w:hAnsi="Aptos" w:cs="Arial"/>
          <w:b/>
          <w:bCs/>
          <w:sz w:val="28"/>
          <w:szCs w:val="28"/>
          <w:u w:val="single"/>
          <w:rtl/>
          <w:lang w:val="en-US"/>
        </w:rPr>
      </w:pPr>
    </w:p>
    <w:sectPr w:rsidR="006B6401" w:rsidRPr="00E227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6D7053"/>
    <w:multiLevelType w:val="hybridMultilevel"/>
    <w:tmpl w:val="2076AC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A65062"/>
    <w:multiLevelType w:val="hybridMultilevel"/>
    <w:tmpl w:val="C032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891718">
    <w:abstractNumId w:val="1"/>
  </w:num>
  <w:num w:numId="2" w16cid:durableId="180342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78"/>
    <w:rsid w:val="0015630B"/>
    <w:rsid w:val="00165767"/>
    <w:rsid w:val="003262A3"/>
    <w:rsid w:val="003701D4"/>
    <w:rsid w:val="00460E78"/>
    <w:rsid w:val="005305D3"/>
    <w:rsid w:val="006B6401"/>
    <w:rsid w:val="00730613"/>
    <w:rsid w:val="00941DBA"/>
    <w:rsid w:val="009C6318"/>
    <w:rsid w:val="009F5F19"/>
    <w:rsid w:val="00C13C7A"/>
    <w:rsid w:val="00D46C18"/>
    <w:rsid w:val="00D86E94"/>
    <w:rsid w:val="00E1126A"/>
    <w:rsid w:val="00E227E8"/>
    <w:rsid w:val="00E6165A"/>
    <w:rsid w:val="00EC457C"/>
    <w:rsid w:val="00ED7DC5"/>
    <w:rsid w:val="00FA3431"/>
    <w:rsid w:val="00FA368E"/>
    <w:rsid w:val="00FA74C5"/>
    <w:rsid w:val="00F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7B1B"/>
  <w15:chartTrackingRefBased/>
  <w15:docId w15:val="{0BDFADB1-F50F-40B1-910E-78F698BB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E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E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E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E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E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E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E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E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E78"/>
    <w:rPr>
      <w:b/>
      <w:bCs/>
      <w:smallCaps/>
      <w:color w:val="0F4761" w:themeColor="accent1" w:themeShade="BF"/>
      <w:spacing w:val="5"/>
    </w:rPr>
  </w:style>
  <w:style w:type="table" w:customStyle="1" w:styleId="LightGrid1">
    <w:name w:val="Light Grid1"/>
    <w:basedOn w:val="TableNormal"/>
    <w:next w:val="LightGrid"/>
    <w:uiPriority w:val="62"/>
    <w:unhideWhenUsed/>
    <w:rsid w:val="00941DBA"/>
    <w:pPr>
      <w:spacing w:after="0" w:line="240" w:lineRule="auto"/>
    </w:pPr>
    <w:rPr>
      <w:rFonts w:eastAsia="MS Mincho"/>
      <w:kern w:val="0"/>
      <w:lang w:val="en-US" w:eastAsia="ja-JP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MS Gothic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MS Gothic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MS Gothic" w:hAnsi="Calibri Light" w:cs="Times New Roman"/>
        <w:b/>
        <w:bCs/>
      </w:rPr>
    </w:tblStylePr>
    <w:tblStylePr w:type="lastCol">
      <w:rPr>
        <w:rFonts w:ascii="Calibri Light" w:eastAsia="MS Gothic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941DB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ahmedP2259</dc:creator>
  <cp:keywords/>
  <dc:description/>
  <cp:lastModifiedBy>ahmedP2259</cp:lastModifiedBy>
  <cp:revision>14</cp:revision>
  <dcterms:created xsi:type="dcterms:W3CDTF">2024-10-17T10:56:00Z</dcterms:created>
  <dcterms:modified xsi:type="dcterms:W3CDTF">2024-12-08T21:10:00Z</dcterms:modified>
</cp:coreProperties>
</file>