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26D5" w14:textId="77777777" w:rsidR="00B0306A" w:rsidRDefault="00000000">
      <w:pPr>
        <w:spacing w:after="120"/>
      </w:pPr>
      <w:r>
        <w:rPr>
          <w:b/>
          <w:bCs/>
          <w:sz w:val="26"/>
          <w:szCs w:val="26"/>
        </w:rPr>
        <w:t>Supplementary File 1. Completed STROBE checklist</w:t>
      </w:r>
    </w:p>
    <w:p w14:paraId="22989E3C" w14:textId="77777777" w:rsidR="00B0306A" w:rsidRDefault="00000000">
      <w:pPr>
        <w:spacing w:after="120"/>
        <w:jc w:val="both"/>
      </w:pPr>
      <w:r>
        <w:rPr>
          <w:i/>
          <w:iCs/>
          <w:sz w:val="21"/>
          <w:szCs w:val="21"/>
        </w:rPr>
        <w:t>Neutrophil-to-Albumin Ratio, Systemic Immune-Inflammation Index and Pan-Immune-Inflammation Value as Predictors of Primary Non-Response to Infliximab in Biologic-Naïve Ulcerative Colitis: A Prospective Cohort Study</w:t>
      </w:r>
    </w:p>
    <w:p w14:paraId="53FB2A01" w14:textId="77777777" w:rsidR="00B0306A" w:rsidRDefault="00000000">
      <w:pPr>
        <w:spacing w:after="240"/>
        <w:jc w:val="both"/>
      </w:pPr>
      <w:r>
        <w:rPr>
          <w:sz w:val="19"/>
          <w:szCs w:val="19"/>
        </w:rPr>
        <w:t>STROBE Statement — checklist of items that should be included in reports of cohort studies. Page numbers refer to the main manuscript file; section numbers are given alongside so that the checklist remains accurate if pagination changes during typesetting.</w:t>
      </w:r>
    </w:p>
    <w:tbl>
      <w:tblPr>
        <w:tblW w:w="9746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2" w:space="0" w:color="AAAAAA"/>
          <w:insideV w:val="single" w:sz="2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8"/>
        <w:gridCol w:w="745"/>
        <w:gridCol w:w="4474"/>
        <w:gridCol w:w="2699"/>
      </w:tblGrid>
      <w:tr w:rsidR="00B0306A" w14:paraId="4D593F6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shd w:val="clear" w:color="auto" w:fill="E8EDF3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58749C5" w14:textId="77777777" w:rsidR="00B0306A" w:rsidRDefault="00000000">
            <w:r>
              <w:rPr>
                <w:b/>
                <w:bCs/>
                <w:sz w:val="19"/>
                <w:szCs w:val="19"/>
              </w:rPr>
              <w:t>Section/Topic</w:t>
            </w:r>
          </w:p>
        </w:tc>
        <w:tc>
          <w:tcPr>
            <w:tcW w:w="760" w:type="dxa"/>
            <w:shd w:val="clear" w:color="auto" w:fill="E8EDF3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225E981" w14:textId="77777777" w:rsidR="00B0306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Item No</w:t>
            </w:r>
          </w:p>
        </w:tc>
        <w:tc>
          <w:tcPr>
            <w:tcW w:w="4700" w:type="dxa"/>
            <w:shd w:val="clear" w:color="auto" w:fill="E8EDF3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37BB2A8" w14:textId="77777777" w:rsidR="00B0306A" w:rsidRDefault="00000000">
            <w:r>
              <w:rPr>
                <w:b/>
                <w:bCs/>
                <w:sz w:val="19"/>
                <w:szCs w:val="19"/>
              </w:rPr>
              <w:t>Recommendation</w:t>
            </w:r>
          </w:p>
        </w:tc>
        <w:tc>
          <w:tcPr>
            <w:tcW w:w="2786" w:type="dxa"/>
            <w:shd w:val="clear" w:color="auto" w:fill="E8EDF3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B81CB18" w14:textId="77777777" w:rsidR="00B0306A" w:rsidRDefault="00000000">
            <w:r>
              <w:rPr>
                <w:b/>
                <w:bCs/>
                <w:sz w:val="19"/>
                <w:szCs w:val="19"/>
              </w:rPr>
              <w:t>Reported in manuscript</w:t>
            </w:r>
          </w:p>
        </w:tc>
      </w:tr>
      <w:tr w:rsidR="00B0306A" w14:paraId="60068EEC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gridSpan w:val="4"/>
            <w:shd w:val="clear" w:color="auto" w:fill="D9E2E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3E2D4B1" w14:textId="77777777" w:rsidR="00B0306A" w:rsidRDefault="00000000">
            <w:r>
              <w:rPr>
                <w:b/>
                <w:bCs/>
                <w:sz w:val="19"/>
                <w:szCs w:val="19"/>
              </w:rPr>
              <w:t>Title and abstract</w:t>
            </w:r>
          </w:p>
        </w:tc>
      </w:tr>
      <w:tr w:rsidR="00B0306A" w14:paraId="0F2ED86F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A5E10D" w14:textId="77777777" w:rsidR="00B0306A" w:rsidRDefault="00000000">
            <w:r>
              <w:rPr>
                <w:sz w:val="19"/>
                <w:szCs w:val="19"/>
              </w:rPr>
              <w:t>Title and abstract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4B7B073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F90804" w14:textId="77777777" w:rsidR="00B0306A" w:rsidRDefault="00000000">
            <w:r>
              <w:rPr>
                <w:sz w:val="19"/>
                <w:szCs w:val="19"/>
              </w:rPr>
              <w:t>(a) Indicate the study’s design with a commonly used term in the title or the abstract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DB54BEE" w14:textId="77777777" w:rsidR="00B0306A" w:rsidRDefault="00000000">
            <w:r>
              <w:rPr>
                <w:sz w:val="19"/>
                <w:szCs w:val="19"/>
              </w:rPr>
              <w:t>Page 1, Title (“A Prospective Cohort Study”); Page 2, Abstract, Methods</w:t>
            </w:r>
          </w:p>
        </w:tc>
      </w:tr>
      <w:tr w:rsidR="00B0306A" w14:paraId="4F14C2A6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331CE2D" w14:textId="77777777" w:rsidR="00B0306A" w:rsidRDefault="00B0306A"/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8BF627F" w14:textId="77777777" w:rsidR="00B0306A" w:rsidRDefault="00B0306A">
            <w:pPr>
              <w:jc w:val="center"/>
            </w:pP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1328D48" w14:textId="77777777" w:rsidR="00B0306A" w:rsidRDefault="00000000">
            <w:r>
              <w:rPr>
                <w:sz w:val="19"/>
                <w:szCs w:val="19"/>
              </w:rPr>
              <w:t>(b) Provide in the abstract an informative and balanced summary of what was done and what was found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B62F9C4" w14:textId="77777777" w:rsidR="00B0306A" w:rsidRDefault="00000000">
            <w:r>
              <w:rPr>
                <w:sz w:val="19"/>
                <w:szCs w:val="19"/>
              </w:rPr>
              <w:t>Page 2, Abstract (Background and aims; Methods; Results; Conclusions)</w:t>
            </w:r>
          </w:p>
        </w:tc>
      </w:tr>
      <w:tr w:rsidR="00B0306A" w14:paraId="386DD22F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gridSpan w:val="4"/>
            <w:shd w:val="clear" w:color="auto" w:fill="D9E2E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A7C2A40" w14:textId="77777777" w:rsidR="00B0306A" w:rsidRDefault="00000000">
            <w:r>
              <w:rPr>
                <w:b/>
                <w:bCs/>
                <w:sz w:val="19"/>
                <w:szCs w:val="19"/>
              </w:rPr>
              <w:t>Introduction</w:t>
            </w:r>
          </w:p>
        </w:tc>
      </w:tr>
      <w:tr w:rsidR="00B0306A" w14:paraId="18DAFB58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825355B" w14:textId="77777777" w:rsidR="00B0306A" w:rsidRDefault="00000000">
            <w:r>
              <w:rPr>
                <w:sz w:val="19"/>
                <w:szCs w:val="19"/>
              </w:rPr>
              <w:t>Background/rationale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7CCD8E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CE6B733" w14:textId="77777777" w:rsidR="00B0306A" w:rsidRDefault="00000000">
            <w:r>
              <w:rPr>
                <w:sz w:val="19"/>
                <w:szCs w:val="19"/>
              </w:rPr>
              <w:t>Explain the scientific background and rationale for the investigation being reported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A0EE7AF" w14:textId="77777777" w:rsidR="00B0306A" w:rsidRDefault="00000000">
            <w:r>
              <w:rPr>
                <w:sz w:val="19"/>
                <w:szCs w:val="19"/>
              </w:rPr>
              <w:t>Page 3, Section 1, paragraphs 1–3</w:t>
            </w:r>
          </w:p>
        </w:tc>
      </w:tr>
      <w:tr w:rsidR="00B0306A" w14:paraId="709A9DF9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3E91F7C" w14:textId="77777777" w:rsidR="00B0306A" w:rsidRDefault="00000000">
            <w:r>
              <w:rPr>
                <w:sz w:val="19"/>
                <w:szCs w:val="19"/>
              </w:rPr>
              <w:t>Objectives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1699A95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B5C2B5C" w14:textId="77777777" w:rsidR="00B0306A" w:rsidRDefault="00000000">
            <w:r>
              <w:rPr>
                <w:sz w:val="19"/>
                <w:szCs w:val="19"/>
              </w:rPr>
              <w:t>State specific objectives, including any prespecified hypotheses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9F82B1B" w14:textId="77777777" w:rsidR="00B0306A" w:rsidRDefault="00000000">
            <w:r>
              <w:rPr>
                <w:sz w:val="19"/>
                <w:szCs w:val="19"/>
              </w:rPr>
              <w:t>Page 3, Section 1, final paragraph. Pre-specified primary comparisons (NAR vs SII; NAR vs PIV) stated on Page 5, Section 2.7</w:t>
            </w:r>
          </w:p>
        </w:tc>
      </w:tr>
      <w:tr w:rsidR="00B0306A" w14:paraId="21E71042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gridSpan w:val="4"/>
            <w:shd w:val="clear" w:color="auto" w:fill="D9E2E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AB3A43" w14:textId="77777777" w:rsidR="00B0306A" w:rsidRDefault="00000000">
            <w:r>
              <w:rPr>
                <w:b/>
                <w:bCs/>
                <w:sz w:val="19"/>
                <w:szCs w:val="19"/>
              </w:rPr>
              <w:t>Methods</w:t>
            </w:r>
          </w:p>
        </w:tc>
      </w:tr>
      <w:tr w:rsidR="00B0306A" w14:paraId="4FE25045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8676774" w14:textId="77777777" w:rsidR="00B0306A" w:rsidRDefault="00000000">
            <w:r>
              <w:rPr>
                <w:sz w:val="19"/>
                <w:szCs w:val="19"/>
              </w:rPr>
              <w:t>Study design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1F89ECF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9F16AF3" w14:textId="77777777" w:rsidR="00B0306A" w:rsidRDefault="00000000">
            <w:r>
              <w:rPr>
                <w:sz w:val="19"/>
                <w:szCs w:val="19"/>
              </w:rPr>
              <w:t>Present key elements of study design early in the paper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A0E0F0" w14:textId="77777777" w:rsidR="00B0306A" w:rsidRDefault="00000000">
            <w:r>
              <w:rPr>
                <w:sz w:val="19"/>
                <w:szCs w:val="19"/>
              </w:rPr>
              <w:t>Page 1, Title; Page 2, Abstract, Methods; Page 4, Section 2.1, first sentence</w:t>
            </w:r>
          </w:p>
        </w:tc>
      </w:tr>
      <w:tr w:rsidR="00B0306A" w14:paraId="76197878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82E5549" w14:textId="77777777" w:rsidR="00B0306A" w:rsidRDefault="00000000">
            <w:r>
              <w:rPr>
                <w:sz w:val="19"/>
                <w:szCs w:val="19"/>
              </w:rPr>
              <w:t>Setting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48AB2C6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F94D4B" w14:textId="77777777" w:rsidR="00B0306A" w:rsidRDefault="00000000">
            <w:r>
              <w:rPr>
                <w:sz w:val="19"/>
                <w:szCs w:val="19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216F748" w14:textId="77777777" w:rsidR="00B0306A" w:rsidRDefault="00000000">
            <w:r>
              <w:rPr>
                <w:sz w:val="19"/>
                <w:szCs w:val="19"/>
              </w:rPr>
              <w:t>Page 4, Section 2.1 (tertiary university hospital; October 2024 to July 2025; 24-week follow-up); Page 4, Section 2.3</w:t>
            </w:r>
          </w:p>
        </w:tc>
      </w:tr>
      <w:tr w:rsidR="00B0306A" w14:paraId="56AC2ED7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A2F826A" w14:textId="77777777" w:rsidR="00B0306A" w:rsidRDefault="00000000">
            <w:r>
              <w:rPr>
                <w:sz w:val="19"/>
                <w:szCs w:val="19"/>
              </w:rPr>
              <w:t>Participants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BAAE8DD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B41D49" w14:textId="77777777" w:rsidR="00B0306A" w:rsidRDefault="00000000">
            <w:r>
              <w:rPr>
                <w:sz w:val="19"/>
                <w:szCs w:val="19"/>
              </w:rPr>
              <w:t>(a) Give the eligibility criteria, and the sources and methods of selection of participants. Describe methods of follow-up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D4396F" w14:textId="77777777" w:rsidR="00B0306A" w:rsidRDefault="00000000">
            <w:r>
              <w:rPr>
                <w:sz w:val="19"/>
                <w:szCs w:val="19"/>
              </w:rPr>
              <w:t>Page 4, Sections 2.1 (consecutive screening) and 2.2 (inclusion and exclusion criteria; treatment protocol); Page 4, Section 2.3 (follow-up assessments); Page 23, Figure 1</w:t>
            </w:r>
          </w:p>
        </w:tc>
      </w:tr>
      <w:tr w:rsidR="00B0306A" w14:paraId="5F0A36C9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68DCDF1" w14:textId="77777777" w:rsidR="00B0306A" w:rsidRDefault="00B0306A"/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922563E" w14:textId="77777777" w:rsidR="00B0306A" w:rsidRDefault="00B0306A">
            <w:pPr>
              <w:jc w:val="center"/>
            </w:pP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534B23" w14:textId="77777777" w:rsidR="00B0306A" w:rsidRDefault="00000000">
            <w:r>
              <w:rPr>
                <w:sz w:val="19"/>
                <w:szCs w:val="19"/>
              </w:rPr>
              <w:t>(b) For matched studies, give matching criteria and number of exposed and unexposed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776438D" w14:textId="77777777" w:rsidR="00B0306A" w:rsidRDefault="00000000">
            <w:r>
              <w:rPr>
                <w:sz w:val="19"/>
                <w:szCs w:val="19"/>
              </w:rPr>
              <w:t>Not applicable – unmatched single-cohort design</w:t>
            </w:r>
          </w:p>
        </w:tc>
      </w:tr>
      <w:tr w:rsidR="00B0306A" w14:paraId="53A68BF2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E4B090" w14:textId="77777777" w:rsidR="00B0306A" w:rsidRDefault="00000000">
            <w:r>
              <w:rPr>
                <w:sz w:val="19"/>
                <w:szCs w:val="19"/>
              </w:rPr>
              <w:t>Variables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1563B3C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42B4C1A" w14:textId="77777777" w:rsidR="00B0306A" w:rsidRDefault="00000000">
            <w:r>
              <w:rPr>
                <w:sz w:val="19"/>
                <w:szCs w:val="19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C138372" w14:textId="77777777" w:rsidR="00B0306A" w:rsidRDefault="00000000">
            <w:r>
              <w:rPr>
                <w:sz w:val="19"/>
                <w:szCs w:val="19"/>
              </w:rPr>
              <w:t>Outcome: Page 5, Section 2.5. Exposures (NAR, SII, PIV definitions): Page 4, Section 2.3. Diagnostic criteria: Page 4, Section 2.2. Confounders entered in models: Page 5, Section 2.7</w:t>
            </w:r>
          </w:p>
        </w:tc>
      </w:tr>
      <w:tr w:rsidR="00B0306A" w14:paraId="58A7D812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53B375" w14:textId="77777777" w:rsidR="00B0306A" w:rsidRDefault="00000000">
            <w:r>
              <w:rPr>
                <w:sz w:val="19"/>
                <w:szCs w:val="19"/>
              </w:rPr>
              <w:t>Data sources/ measurement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118629A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8*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F8B7248" w14:textId="77777777" w:rsidR="00B0306A" w:rsidRDefault="00000000">
            <w:r>
              <w:rPr>
                <w:sz w:val="19"/>
                <w:szCs w:val="19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3AC00CE" w14:textId="77777777" w:rsidR="00B0306A" w:rsidRDefault="00000000">
            <w:r>
              <w:rPr>
                <w:sz w:val="19"/>
                <w:szCs w:val="19"/>
              </w:rPr>
              <w:t xml:space="preserve">Page 4, Section 2.3 (standard automated methods; calprotectin by ELISA); Pages 4–5, Section 2.4 (Montreal, Mayo endoscopic </w:t>
            </w:r>
            <w:proofErr w:type="spellStart"/>
            <w:r>
              <w:rPr>
                <w:sz w:val="19"/>
                <w:szCs w:val="19"/>
              </w:rPr>
              <w:t>subscore</w:t>
            </w:r>
            <w:proofErr w:type="spellEnd"/>
            <w:r>
              <w:rPr>
                <w:sz w:val="19"/>
                <w:szCs w:val="19"/>
              </w:rPr>
              <w:t>, UCEIS, Geboes). Identical protocol, laboratory and time points applied to both response groups</w:t>
            </w:r>
          </w:p>
        </w:tc>
      </w:tr>
      <w:tr w:rsidR="00B0306A" w14:paraId="0E395AD6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A190055" w14:textId="77777777" w:rsidR="00B0306A" w:rsidRDefault="00000000">
            <w:r>
              <w:rPr>
                <w:sz w:val="19"/>
                <w:szCs w:val="19"/>
              </w:rPr>
              <w:lastRenderedPageBreak/>
              <w:t>Bias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C2E95E4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23943F0" w14:textId="77777777" w:rsidR="00B0306A" w:rsidRDefault="00000000">
            <w:r>
              <w:rPr>
                <w:sz w:val="19"/>
                <w:szCs w:val="19"/>
              </w:rPr>
              <w:t>Describe any efforts to address potential sources of bias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9F02E9E" w14:textId="77777777" w:rsidR="00B0306A" w:rsidRDefault="00000000">
            <w:r>
              <w:rPr>
                <w:sz w:val="19"/>
                <w:szCs w:val="19"/>
              </w:rPr>
              <w:t>Page 5, Section 2.4 (endoscopy scored blinded to laboratory results and outcome; 30 examinations double-read, weighted κ = 0.882; consensus scoring); Page 4, Section 2.2 (strictly biologic-naïve cohort); Page 5, Section 2.5 (pre-defined outcome algorithm, no indeterminate cases); Pages 5–6, Section 2.7 (pre-specified primary comparisons; Holm adjustment; Firth penalization)</w:t>
            </w:r>
          </w:p>
        </w:tc>
      </w:tr>
      <w:tr w:rsidR="00B0306A" w14:paraId="70D35D42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5E8BE6" w14:textId="77777777" w:rsidR="00B0306A" w:rsidRDefault="00000000">
            <w:r>
              <w:rPr>
                <w:sz w:val="19"/>
                <w:szCs w:val="19"/>
              </w:rPr>
              <w:t>Study size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B29CD52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B6A9AB" w14:textId="77777777" w:rsidR="00B0306A" w:rsidRDefault="00000000">
            <w:r>
              <w:rPr>
                <w:sz w:val="19"/>
                <w:szCs w:val="19"/>
              </w:rPr>
              <w:t>Explain how the study size was arrived at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397C7A9" w14:textId="77777777" w:rsidR="00B0306A" w:rsidRDefault="00000000">
            <w:r>
              <w:rPr>
                <w:sz w:val="19"/>
                <w:szCs w:val="19"/>
              </w:rPr>
              <w:t>Page 5, Section 2.6 (a priori calculation, method of Hanley and McNeil; AUC 0.70 vs null 0.50, 90% power, two-sided α = 0.05; 29 events and 92 patients required; 100 enrolled)</w:t>
            </w:r>
          </w:p>
        </w:tc>
      </w:tr>
      <w:tr w:rsidR="00B0306A" w14:paraId="37474888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7AD9606" w14:textId="77777777" w:rsidR="00B0306A" w:rsidRDefault="00000000">
            <w:r>
              <w:rPr>
                <w:sz w:val="19"/>
                <w:szCs w:val="19"/>
              </w:rPr>
              <w:t>Quantitative variables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961577E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666B99" w14:textId="77777777" w:rsidR="00B0306A" w:rsidRDefault="00000000">
            <w:r>
              <w:rPr>
                <w:sz w:val="19"/>
                <w:szCs w:val="19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23A727F" w14:textId="77777777" w:rsidR="00B0306A" w:rsidRDefault="00000000">
            <w:r>
              <w:rPr>
                <w:sz w:val="19"/>
                <w:szCs w:val="19"/>
              </w:rPr>
              <w:t>Pages 5–6, Section 2.7 (normality testing determining mean ± SD vs median [IQR]); Page 6, Section 2.7 and Page 21, Table 4 footnote (NAR scaled per 0.1-unit increase, reflecting its interquartile range; baseline severity re-entered as a continuous partial Mayo score after quasi-separation arose with the categorical form); Page 5, Section 2.4 (UCEIS categories)</w:t>
            </w:r>
          </w:p>
        </w:tc>
      </w:tr>
      <w:tr w:rsidR="00B0306A" w14:paraId="01B4DDC2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4B64D71" w14:textId="77777777" w:rsidR="00B0306A" w:rsidRDefault="00000000">
            <w:r>
              <w:rPr>
                <w:sz w:val="19"/>
                <w:szCs w:val="19"/>
              </w:rPr>
              <w:t>Statistical methods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0C5BF32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D449E27" w14:textId="77777777" w:rsidR="00B0306A" w:rsidRDefault="00000000">
            <w:r>
              <w:rPr>
                <w:sz w:val="19"/>
                <w:szCs w:val="19"/>
              </w:rPr>
              <w:t>(a) Describe all statistical methods, including those used to control for confounding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C7438D4" w14:textId="77777777" w:rsidR="00B0306A" w:rsidRDefault="00000000">
            <w:r>
              <w:rPr>
                <w:sz w:val="19"/>
                <w:szCs w:val="19"/>
              </w:rPr>
              <w:t>Pages 5–6, Section 2.7 (Firth penalized multivariable logistic regression with four clinically pre-specified covariates; profile penalized likelihood intervals; DeLong test for correlated ROC curves)</w:t>
            </w:r>
          </w:p>
        </w:tc>
      </w:tr>
      <w:tr w:rsidR="00B0306A" w14:paraId="3BA6C087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2AC0C8F" w14:textId="77777777" w:rsidR="00B0306A" w:rsidRDefault="00B0306A"/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6A7C73" w14:textId="77777777" w:rsidR="00B0306A" w:rsidRDefault="00B0306A">
            <w:pPr>
              <w:jc w:val="center"/>
            </w:pP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93548F5" w14:textId="77777777" w:rsidR="00B0306A" w:rsidRDefault="00000000">
            <w:r>
              <w:rPr>
                <w:sz w:val="19"/>
                <w:szCs w:val="19"/>
              </w:rPr>
              <w:t>(b) Describe any methods used to examine subgroups and interactions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C3C982C" w14:textId="77777777" w:rsidR="00B0306A" w:rsidRDefault="00000000">
            <w:r>
              <w:rPr>
                <w:sz w:val="19"/>
                <w:szCs w:val="19"/>
              </w:rPr>
              <w:t>Page 6, Section 2.7; Page 8, Section 3.3 (neutrophil × albumin interaction) and Section 3.4 (severe-disease subgroup, n = 69)</w:t>
            </w:r>
          </w:p>
        </w:tc>
      </w:tr>
      <w:tr w:rsidR="00B0306A" w14:paraId="3A1300BC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734CE4B" w14:textId="77777777" w:rsidR="00B0306A" w:rsidRDefault="00B0306A"/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FDABF28" w14:textId="77777777" w:rsidR="00B0306A" w:rsidRDefault="00B0306A">
            <w:pPr>
              <w:jc w:val="center"/>
            </w:pP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E425F1" w14:textId="77777777" w:rsidR="00B0306A" w:rsidRDefault="00000000">
            <w:r>
              <w:rPr>
                <w:sz w:val="19"/>
                <w:szCs w:val="19"/>
              </w:rPr>
              <w:t>(c) Explain how missing data were addressed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C90622C" w14:textId="77777777" w:rsidR="00B0306A" w:rsidRDefault="00000000">
            <w:r>
              <w:rPr>
                <w:sz w:val="19"/>
                <w:szCs w:val="19"/>
              </w:rPr>
              <w:t>Page 6, Section 2.7 – no missing data; all 98 analysed patients had complete baseline and week-24 assessments</w:t>
            </w:r>
          </w:p>
        </w:tc>
      </w:tr>
      <w:tr w:rsidR="00B0306A" w14:paraId="5EF82D31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100278" w14:textId="77777777" w:rsidR="00B0306A" w:rsidRDefault="00B0306A"/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3B64BA" w14:textId="77777777" w:rsidR="00B0306A" w:rsidRDefault="00B0306A">
            <w:pPr>
              <w:jc w:val="center"/>
            </w:pP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493F0B7" w14:textId="77777777" w:rsidR="00B0306A" w:rsidRDefault="00000000">
            <w:r>
              <w:rPr>
                <w:sz w:val="19"/>
                <w:szCs w:val="19"/>
              </w:rPr>
              <w:t>(d) If applicable, explain how loss to follow-up was addressed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86585A" w14:textId="77777777" w:rsidR="00B0306A" w:rsidRDefault="00000000">
            <w:r>
              <w:rPr>
                <w:sz w:val="19"/>
                <w:szCs w:val="19"/>
              </w:rPr>
              <w:t>Page 5, Section 2.6 and Page 7, Section 3.1 (100 enrolled to allow for attrition; 2 lost to follow-up; 98 analysed); Page 23, Figure 1</w:t>
            </w:r>
          </w:p>
        </w:tc>
      </w:tr>
      <w:tr w:rsidR="00B0306A" w14:paraId="7344F878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1EA88FD" w14:textId="77777777" w:rsidR="00B0306A" w:rsidRDefault="00B0306A"/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D964A18" w14:textId="77777777" w:rsidR="00B0306A" w:rsidRDefault="00B0306A">
            <w:pPr>
              <w:jc w:val="center"/>
            </w:pP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9A5620C" w14:textId="77777777" w:rsidR="00B0306A" w:rsidRDefault="00000000">
            <w:r>
              <w:rPr>
                <w:sz w:val="19"/>
                <w:szCs w:val="19"/>
              </w:rPr>
              <w:t>(e) Describe any sensitivity analyses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8AF2C57" w14:textId="77777777" w:rsidR="00B0306A" w:rsidRDefault="00000000">
            <w:r>
              <w:rPr>
                <w:sz w:val="19"/>
                <w:szCs w:val="19"/>
              </w:rPr>
              <w:t>Page 6, Section 2.7 (pre-specified sensitivity analyses adding baseline partial Mayo score and baseline corticosteroid and immunomodulator use); results on Page 8, Section 3.4 and Page 21, Table 4</w:t>
            </w:r>
          </w:p>
        </w:tc>
      </w:tr>
      <w:tr w:rsidR="00B0306A" w14:paraId="7FCE2ECE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gridSpan w:val="4"/>
            <w:shd w:val="clear" w:color="auto" w:fill="D9E2E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FCFEF8" w14:textId="77777777" w:rsidR="00B0306A" w:rsidRDefault="00000000">
            <w:r>
              <w:rPr>
                <w:b/>
                <w:bCs/>
                <w:sz w:val="19"/>
                <w:szCs w:val="19"/>
              </w:rPr>
              <w:lastRenderedPageBreak/>
              <w:t>Results</w:t>
            </w:r>
          </w:p>
        </w:tc>
      </w:tr>
      <w:tr w:rsidR="00B0306A" w14:paraId="3C794F36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3E69650" w14:textId="77777777" w:rsidR="00B0306A" w:rsidRDefault="00000000">
            <w:r>
              <w:rPr>
                <w:sz w:val="19"/>
                <w:szCs w:val="19"/>
              </w:rPr>
              <w:t>Participants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021501B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13*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90AFBDD" w14:textId="77777777" w:rsidR="00B0306A" w:rsidRDefault="00000000">
            <w:r>
              <w:rPr>
                <w:sz w:val="19"/>
                <w:szCs w:val="19"/>
              </w:rPr>
              <w:t>(a) Report numbers of individuals at each stage of study—</w:t>
            </w:r>
            <w:proofErr w:type="spellStart"/>
            <w:r>
              <w:rPr>
                <w:sz w:val="19"/>
                <w:szCs w:val="19"/>
              </w:rPr>
              <w:t>eg</w:t>
            </w:r>
            <w:proofErr w:type="spellEnd"/>
            <w:r>
              <w:rPr>
                <w:sz w:val="19"/>
                <w:szCs w:val="19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56D483E" w14:textId="77777777" w:rsidR="00B0306A" w:rsidRDefault="00000000">
            <w:r>
              <w:rPr>
                <w:sz w:val="19"/>
                <w:szCs w:val="19"/>
              </w:rPr>
              <w:t>Page 7, Section 3.1 (168 screened, 100 enrolled, 2 lost to follow-up, 98 analysed); Page 23, Figure 1</w:t>
            </w:r>
          </w:p>
        </w:tc>
      </w:tr>
      <w:tr w:rsidR="00B0306A" w14:paraId="311FE18C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4E0988C" w14:textId="77777777" w:rsidR="00B0306A" w:rsidRDefault="00B0306A"/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748E2BE" w14:textId="77777777" w:rsidR="00B0306A" w:rsidRDefault="00B0306A">
            <w:pPr>
              <w:jc w:val="center"/>
            </w:pP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22F4920" w14:textId="77777777" w:rsidR="00B0306A" w:rsidRDefault="00000000">
            <w:r>
              <w:rPr>
                <w:sz w:val="19"/>
                <w:szCs w:val="19"/>
              </w:rPr>
              <w:t>(b) Give reasons for non-participation at each stage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B1509A5" w14:textId="77777777" w:rsidR="00B0306A" w:rsidRDefault="00000000">
            <w:r>
              <w:rPr>
                <w:sz w:val="19"/>
                <w:szCs w:val="19"/>
              </w:rPr>
              <w:t>Page 23, Figure 1 and its legend (68 exclusions with reasons)</w:t>
            </w:r>
          </w:p>
        </w:tc>
      </w:tr>
      <w:tr w:rsidR="00B0306A" w14:paraId="71B9FA15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1C9333" w14:textId="77777777" w:rsidR="00B0306A" w:rsidRDefault="00B0306A"/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47CF1C" w14:textId="77777777" w:rsidR="00B0306A" w:rsidRDefault="00B0306A">
            <w:pPr>
              <w:jc w:val="center"/>
            </w:pP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BE15F3B" w14:textId="77777777" w:rsidR="00B0306A" w:rsidRDefault="00000000">
            <w:r>
              <w:rPr>
                <w:sz w:val="19"/>
                <w:szCs w:val="19"/>
              </w:rPr>
              <w:t>(c) Consider use of a flow diagram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00F303A" w14:textId="77777777" w:rsidR="00B0306A" w:rsidRDefault="00000000">
            <w:r>
              <w:rPr>
                <w:sz w:val="19"/>
                <w:szCs w:val="19"/>
              </w:rPr>
              <w:t>Page 23, Figure 1 – STROBE flow diagram</w:t>
            </w:r>
          </w:p>
        </w:tc>
      </w:tr>
      <w:tr w:rsidR="00B0306A" w14:paraId="55178AC2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BBEFBE" w14:textId="77777777" w:rsidR="00B0306A" w:rsidRDefault="00000000">
            <w:r>
              <w:rPr>
                <w:sz w:val="19"/>
                <w:szCs w:val="19"/>
              </w:rPr>
              <w:t>Descriptive data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2E90617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14*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09B97CA" w14:textId="77777777" w:rsidR="00B0306A" w:rsidRDefault="00000000">
            <w:r>
              <w:rPr>
                <w:sz w:val="19"/>
                <w:szCs w:val="19"/>
              </w:rPr>
              <w:t>(a) Give characteristics of study participants (</w:t>
            </w:r>
            <w:proofErr w:type="spellStart"/>
            <w:r>
              <w:rPr>
                <w:sz w:val="19"/>
                <w:szCs w:val="19"/>
              </w:rPr>
              <w:t>eg</w:t>
            </w:r>
            <w:proofErr w:type="spellEnd"/>
            <w:r>
              <w:rPr>
                <w:sz w:val="19"/>
                <w:szCs w:val="19"/>
              </w:rPr>
              <w:t xml:space="preserve"> demographic, clinical, social) and information on exposures and potential confounders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C1B0EE8" w14:textId="77777777" w:rsidR="00B0306A" w:rsidRDefault="00000000">
            <w:r>
              <w:rPr>
                <w:sz w:val="19"/>
                <w:szCs w:val="19"/>
              </w:rPr>
              <w:t>Page 7, Section 3.1; Pages 17–18, Table 1 (demographic, anthropometric, clinical, endoscopic, histological and laboratory characteristics by response group)</w:t>
            </w:r>
          </w:p>
        </w:tc>
      </w:tr>
      <w:tr w:rsidR="00B0306A" w14:paraId="3F98ADA5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3332253" w14:textId="77777777" w:rsidR="00B0306A" w:rsidRDefault="00B0306A"/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B88891" w14:textId="77777777" w:rsidR="00B0306A" w:rsidRDefault="00B0306A">
            <w:pPr>
              <w:jc w:val="center"/>
            </w:pP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15C0848" w14:textId="77777777" w:rsidR="00B0306A" w:rsidRDefault="00000000">
            <w:r>
              <w:rPr>
                <w:sz w:val="19"/>
                <w:szCs w:val="19"/>
              </w:rPr>
              <w:t>(b) Indicate number of participants with missing data for each variable of interest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2B68853" w14:textId="77777777" w:rsidR="00B0306A" w:rsidRDefault="00000000">
            <w:r>
              <w:rPr>
                <w:sz w:val="19"/>
                <w:szCs w:val="19"/>
              </w:rPr>
              <w:t>Page 6, Section 2.7 – no missing data for any variable; all cells in Table 1 are based on the complete cohort</w:t>
            </w:r>
          </w:p>
        </w:tc>
      </w:tr>
      <w:tr w:rsidR="00B0306A" w14:paraId="71E81C94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F4A7672" w14:textId="77777777" w:rsidR="00B0306A" w:rsidRDefault="00B0306A"/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AED5A5" w14:textId="77777777" w:rsidR="00B0306A" w:rsidRDefault="00B0306A">
            <w:pPr>
              <w:jc w:val="center"/>
            </w:pP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C46F9CD" w14:textId="77777777" w:rsidR="00B0306A" w:rsidRDefault="00000000">
            <w:r>
              <w:rPr>
                <w:sz w:val="19"/>
                <w:szCs w:val="19"/>
              </w:rPr>
              <w:t>(c) Summarise follow-up time (</w:t>
            </w:r>
            <w:proofErr w:type="spellStart"/>
            <w:r>
              <w:rPr>
                <w:sz w:val="19"/>
                <w:szCs w:val="19"/>
              </w:rPr>
              <w:t>eg</w:t>
            </w:r>
            <w:proofErr w:type="spellEnd"/>
            <w:r>
              <w:rPr>
                <w:sz w:val="19"/>
                <w:szCs w:val="19"/>
              </w:rPr>
              <w:t>, average and total amount)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9EA05AB" w14:textId="77777777" w:rsidR="00B0306A" w:rsidRDefault="00000000">
            <w:r>
              <w:rPr>
                <w:sz w:val="19"/>
                <w:szCs w:val="19"/>
              </w:rPr>
              <w:t>Page 4, Section 2.1 and Page 7, Section 3.1 – uniform 24-week follow-up; all 98 analysed patients completed the full period</w:t>
            </w:r>
          </w:p>
        </w:tc>
      </w:tr>
      <w:tr w:rsidR="00B0306A" w14:paraId="33F8F5C1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09D4117" w14:textId="77777777" w:rsidR="00B0306A" w:rsidRDefault="00000000">
            <w:r>
              <w:rPr>
                <w:sz w:val="19"/>
                <w:szCs w:val="19"/>
              </w:rPr>
              <w:t>Outcome data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D6FBC6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15*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185D4D6" w14:textId="77777777" w:rsidR="00B0306A" w:rsidRDefault="00000000">
            <w:r>
              <w:rPr>
                <w:sz w:val="19"/>
                <w:szCs w:val="19"/>
              </w:rPr>
              <w:t>Report numbers of outcome events or summary measures over time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64303E2" w14:textId="77777777" w:rsidR="00B0306A" w:rsidRDefault="00000000">
            <w:r>
              <w:rPr>
                <w:sz w:val="19"/>
                <w:szCs w:val="19"/>
              </w:rPr>
              <w:t>Page 7, Sections 3.1 and 3.2 (31 primary non-responders, 31.6%); Page 19, Table 2 (week-24 outcomes); Page 22, Table 5 (baseline to week-24 changes)</w:t>
            </w:r>
          </w:p>
        </w:tc>
      </w:tr>
      <w:tr w:rsidR="00B0306A" w14:paraId="78AC518B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0F8C23B" w14:textId="77777777" w:rsidR="00B0306A" w:rsidRDefault="00000000">
            <w:r>
              <w:rPr>
                <w:sz w:val="19"/>
                <w:szCs w:val="19"/>
              </w:rPr>
              <w:t>Main results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2403877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4C2D76A" w14:textId="77777777" w:rsidR="00B0306A" w:rsidRDefault="00000000">
            <w:r>
              <w:rPr>
                <w:sz w:val="19"/>
                <w:szCs w:val="19"/>
              </w:rPr>
              <w:t>(a) Give unadjusted estimates and, if applicable, confounder-adjusted estimates and their precision (</w:t>
            </w:r>
            <w:proofErr w:type="spellStart"/>
            <w:r>
              <w:rPr>
                <w:sz w:val="19"/>
                <w:szCs w:val="19"/>
              </w:rPr>
              <w:t>eg</w:t>
            </w:r>
            <w:proofErr w:type="spellEnd"/>
            <w:r>
              <w:rPr>
                <w:sz w:val="19"/>
                <w:szCs w:val="19"/>
              </w:rPr>
              <w:t>, 95% confidence interval). Make clear which confounders were adjusted for and why they were included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CEE177" w14:textId="77777777" w:rsidR="00B0306A" w:rsidRDefault="00000000">
            <w:r>
              <w:rPr>
                <w:sz w:val="19"/>
                <w:szCs w:val="19"/>
              </w:rPr>
              <w:t>Unadjusted: Page 7, Section 3.3 and Page 20, Table 3 (AUCs with DeLong 95% CI). Adjusted: Page 8, Section 3.4 and Page 21, Table 4 (odds ratios with 95% CI). Rationale for covariate selection: Page 5, Section 2.7</w:t>
            </w:r>
          </w:p>
        </w:tc>
      </w:tr>
      <w:tr w:rsidR="00B0306A" w14:paraId="14FD333E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5C12E00" w14:textId="77777777" w:rsidR="00B0306A" w:rsidRDefault="00B0306A"/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F0E5ACA" w14:textId="77777777" w:rsidR="00B0306A" w:rsidRDefault="00B0306A">
            <w:pPr>
              <w:jc w:val="center"/>
            </w:pP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4BDD857" w14:textId="77777777" w:rsidR="00B0306A" w:rsidRDefault="00000000">
            <w:r>
              <w:rPr>
                <w:sz w:val="19"/>
                <w:szCs w:val="19"/>
              </w:rPr>
              <w:t>(b) Report category boundaries when continuous variables were categorized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2215D18" w14:textId="77777777" w:rsidR="00B0306A" w:rsidRDefault="00000000">
            <w:r>
              <w:rPr>
                <w:sz w:val="19"/>
                <w:szCs w:val="19"/>
              </w:rPr>
              <w:t xml:space="preserve">Page 5, Sections 2.4 (UCEIS: 0–1, 2–4, 5–6, 7–8) and 2.5 (partial Mayo &lt;3 vs ≥3; Mayo endoscopic </w:t>
            </w:r>
            <w:proofErr w:type="spellStart"/>
            <w:r>
              <w:rPr>
                <w:sz w:val="19"/>
                <w:szCs w:val="19"/>
              </w:rPr>
              <w:t>subscore</w:t>
            </w:r>
            <w:proofErr w:type="spellEnd"/>
            <w:r>
              <w:rPr>
                <w:sz w:val="19"/>
                <w:szCs w:val="19"/>
              </w:rPr>
              <w:t>); Pages 7–8, Section 3.3 (NAR ≥1.04; neutrophil count ≥4.65); Page 20, Table 3</w:t>
            </w:r>
          </w:p>
        </w:tc>
      </w:tr>
      <w:tr w:rsidR="00B0306A" w14:paraId="296419C7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0A39CFA" w14:textId="77777777" w:rsidR="00B0306A" w:rsidRDefault="00B0306A"/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C9F94A" w14:textId="77777777" w:rsidR="00B0306A" w:rsidRDefault="00B0306A">
            <w:pPr>
              <w:jc w:val="center"/>
            </w:pP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26D56E2" w14:textId="77777777" w:rsidR="00B0306A" w:rsidRDefault="00000000">
            <w:r>
              <w:rPr>
                <w:sz w:val="19"/>
                <w:szCs w:val="19"/>
              </w:rPr>
              <w:t xml:space="preserve">(c) If relevant, consider translating estimates of relative risk into absolute risk for a meaningful </w:t>
            </w:r>
            <w:proofErr w:type="gramStart"/>
            <w:r>
              <w:rPr>
                <w:sz w:val="19"/>
                <w:szCs w:val="19"/>
              </w:rPr>
              <w:t>time period</w:t>
            </w:r>
            <w:proofErr w:type="gramEnd"/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7AB157C" w14:textId="77777777" w:rsidR="00B0306A" w:rsidRDefault="00000000">
            <w:r>
              <w:rPr>
                <w:sz w:val="19"/>
                <w:szCs w:val="19"/>
              </w:rPr>
              <w:t>Page 8, Section 3.3 and Page 11, Section 4.4 – predictive values at the observed 24-week event rate of 31.6% (PPV 58.7%, NPV 92.3%); Supplementary Figure S2 reports net benefit across threshold probabilities</w:t>
            </w:r>
          </w:p>
        </w:tc>
      </w:tr>
      <w:tr w:rsidR="00B0306A" w14:paraId="70D5C4F9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03DB812" w14:textId="77777777" w:rsidR="00B0306A" w:rsidRDefault="00000000">
            <w:r>
              <w:rPr>
                <w:sz w:val="19"/>
                <w:szCs w:val="19"/>
              </w:rPr>
              <w:t>Other analyses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ACB36AC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0FD3DCD" w14:textId="77777777" w:rsidR="00B0306A" w:rsidRDefault="00000000">
            <w:r>
              <w:rPr>
                <w:sz w:val="19"/>
                <w:szCs w:val="19"/>
              </w:rPr>
              <w:t>Report other analyses done—</w:t>
            </w:r>
            <w:proofErr w:type="spellStart"/>
            <w:r>
              <w:rPr>
                <w:sz w:val="19"/>
                <w:szCs w:val="19"/>
              </w:rPr>
              <w:t>eg</w:t>
            </w:r>
            <w:proofErr w:type="spellEnd"/>
            <w:r>
              <w:rPr>
                <w:sz w:val="19"/>
                <w:szCs w:val="19"/>
              </w:rPr>
              <w:t xml:space="preserve"> analyses of subgroups and interactions, and sensitivity analyses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E38B71D" w14:textId="77777777" w:rsidR="00B0306A" w:rsidRDefault="00000000">
            <w:r>
              <w:rPr>
                <w:sz w:val="19"/>
                <w:szCs w:val="19"/>
              </w:rPr>
              <w:t xml:space="preserve">Page 7, Section 3.3 (pairwise ROC comparisons, unadjusted and Holm-adjusted; albumin–neutrophil interaction); Page 8, Section 3.4 (five adjusted specifications; severe-disease </w:t>
            </w:r>
            <w:r>
              <w:rPr>
                <w:sz w:val="19"/>
                <w:szCs w:val="19"/>
              </w:rPr>
              <w:lastRenderedPageBreak/>
              <w:t>subgroup); Page 8, Section 3.5 (bootstrap validation, calibration, decision-curve analysis); Page 8, Section 3.6 (marker trajectories); Supplementary Figures S1 and S2</w:t>
            </w:r>
          </w:p>
        </w:tc>
      </w:tr>
      <w:tr w:rsidR="00B0306A" w14:paraId="19DDD8E3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gridSpan w:val="4"/>
            <w:shd w:val="clear" w:color="auto" w:fill="D9E2E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3F284CF" w14:textId="77777777" w:rsidR="00B0306A" w:rsidRDefault="00000000">
            <w:r>
              <w:rPr>
                <w:b/>
                <w:bCs/>
                <w:sz w:val="19"/>
                <w:szCs w:val="19"/>
              </w:rPr>
              <w:lastRenderedPageBreak/>
              <w:t>Discussion</w:t>
            </w:r>
          </w:p>
        </w:tc>
      </w:tr>
      <w:tr w:rsidR="00B0306A" w14:paraId="2EEE79DB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ED62E37" w14:textId="77777777" w:rsidR="00B0306A" w:rsidRDefault="00000000">
            <w:r>
              <w:rPr>
                <w:sz w:val="19"/>
                <w:szCs w:val="19"/>
              </w:rPr>
              <w:t>Key results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9B7E533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EE09AB1" w14:textId="77777777" w:rsidR="00B0306A" w:rsidRDefault="00000000">
            <w:r>
              <w:rPr>
                <w:sz w:val="19"/>
                <w:szCs w:val="19"/>
              </w:rPr>
              <w:t>Summarise key results with reference to study objectives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99B1E83" w14:textId="77777777" w:rsidR="00B0306A" w:rsidRDefault="00000000">
            <w:r>
              <w:rPr>
                <w:sz w:val="19"/>
                <w:szCs w:val="19"/>
              </w:rPr>
              <w:t>Page 9, Section 4, opening paragraph; Page 12, Section 5</w:t>
            </w:r>
          </w:p>
        </w:tc>
      </w:tr>
      <w:tr w:rsidR="00B0306A" w14:paraId="389BE315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DC5A07A" w14:textId="77777777" w:rsidR="00B0306A" w:rsidRDefault="00000000">
            <w:r>
              <w:rPr>
                <w:sz w:val="19"/>
                <w:szCs w:val="19"/>
              </w:rPr>
              <w:t>Limitations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1AA1A98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19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CB34DA" w14:textId="77777777" w:rsidR="00B0306A" w:rsidRDefault="00000000">
            <w:r>
              <w:rPr>
                <w:sz w:val="19"/>
                <w:szCs w:val="19"/>
              </w:rPr>
              <w:t xml:space="preserve">Discuss limitations of the study, </w:t>
            </w:r>
            <w:proofErr w:type="gramStart"/>
            <w:r>
              <w:rPr>
                <w:sz w:val="19"/>
                <w:szCs w:val="19"/>
              </w:rPr>
              <w:t>taking into account</w:t>
            </w:r>
            <w:proofErr w:type="gramEnd"/>
            <w:r>
              <w:rPr>
                <w:sz w:val="19"/>
                <w:szCs w:val="19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FB75DF1" w14:textId="77777777" w:rsidR="00B0306A" w:rsidRDefault="00000000">
            <w:r>
              <w:rPr>
                <w:sz w:val="19"/>
                <w:szCs w:val="19"/>
              </w:rPr>
              <w:t>Pages 11–12, Section 4.5, second paragraph (single centre; events-per-variable ratio of 7.75 with wide confidence intervals; internally derived threshold; multiplicity; subgroup imprecision; unmeasured trough concentrations and immunological markers; cross-sectional nature of week-24 comparisons)</w:t>
            </w:r>
          </w:p>
        </w:tc>
      </w:tr>
      <w:tr w:rsidR="00B0306A" w14:paraId="4D033201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637245" w14:textId="77777777" w:rsidR="00B0306A" w:rsidRDefault="00000000">
            <w:r>
              <w:rPr>
                <w:sz w:val="19"/>
                <w:szCs w:val="19"/>
              </w:rPr>
              <w:t>Interpretation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523B282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583FF37" w14:textId="77777777" w:rsidR="00B0306A" w:rsidRDefault="00000000">
            <w:r>
              <w:rPr>
                <w:sz w:val="19"/>
                <w:szCs w:val="19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3E2C097" w14:textId="77777777" w:rsidR="00B0306A" w:rsidRDefault="00000000">
            <w:r>
              <w:rPr>
                <w:sz w:val="19"/>
                <w:szCs w:val="19"/>
              </w:rPr>
              <w:t>Pages 9–11, Sections 4.1–4.4 (equivalence rather than superiority; comparison with Lee et al., Ishida et al. and prior index literature; hypothesis framing of the albumin trajectory finding); Page 12, Section 5</w:t>
            </w:r>
          </w:p>
        </w:tc>
      </w:tr>
      <w:tr w:rsidR="00B0306A" w14:paraId="5119B2A5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EA21F57" w14:textId="77777777" w:rsidR="00B0306A" w:rsidRDefault="00000000">
            <w:r>
              <w:rPr>
                <w:sz w:val="19"/>
                <w:szCs w:val="19"/>
              </w:rPr>
              <w:t>Generalisability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C991150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3A198F" w14:textId="77777777" w:rsidR="00B0306A" w:rsidRDefault="00000000">
            <w:r>
              <w:rPr>
                <w:sz w:val="19"/>
                <w:szCs w:val="19"/>
              </w:rPr>
              <w:t>Discuss the generalisability (external validity) of the study results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AF34137" w14:textId="77777777" w:rsidR="00B0306A" w:rsidRDefault="00000000">
            <w:r>
              <w:rPr>
                <w:sz w:val="19"/>
                <w:szCs w:val="19"/>
              </w:rPr>
              <w:t>Pages 11–12, Section 4.5 (single tertiary centre and referral patterns; nutritionally replete elective outpatient cohort limiting extrapolation to acutely decompensated or malnourished populations; need for external validation of the threshold); Page 9, Section 4.2 (clinical setting contrasted with published cohorts)</w:t>
            </w:r>
          </w:p>
        </w:tc>
      </w:tr>
      <w:tr w:rsidR="00B0306A" w14:paraId="023690EE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gridSpan w:val="4"/>
            <w:shd w:val="clear" w:color="auto" w:fill="D9E2E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1E751B6" w14:textId="77777777" w:rsidR="00B0306A" w:rsidRDefault="00000000">
            <w:r>
              <w:rPr>
                <w:b/>
                <w:bCs/>
                <w:sz w:val="19"/>
                <w:szCs w:val="19"/>
              </w:rPr>
              <w:t>Other information</w:t>
            </w:r>
          </w:p>
        </w:tc>
      </w:tr>
      <w:tr w:rsidR="00B0306A" w14:paraId="319E45B4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262BDD3" w14:textId="77777777" w:rsidR="00B0306A" w:rsidRDefault="00000000">
            <w:r>
              <w:rPr>
                <w:sz w:val="19"/>
                <w:szCs w:val="19"/>
              </w:rPr>
              <w:t>Funding</w:t>
            </w:r>
          </w:p>
        </w:tc>
        <w:tc>
          <w:tcPr>
            <w:tcW w:w="76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1190672" w14:textId="77777777" w:rsidR="00B0306A" w:rsidRDefault="00000000">
            <w:pPr>
              <w:jc w:val="center"/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4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191621" w14:textId="77777777" w:rsidR="00B0306A" w:rsidRDefault="00000000">
            <w:r>
              <w:rPr>
                <w:sz w:val="19"/>
                <w:szCs w:val="19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27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72D690" w14:textId="77777777" w:rsidR="00B0306A" w:rsidRDefault="00000000">
            <w:r>
              <w:rPr>
                <w:sz w:val="19"/>
                <w:szCs w:val="19"/>
              </w:rPr>
              <w:t>Page 1, Title page – Funding statement</w:t>
            </w:r>
          </w:p>
        </w:tc>
      </w:tr>
    </w:tbl>
    <w:p w14:paraId="1FE4D9BE" w14:textId="77777777" w:rsidR="00B0306A" w:rsidRDefault="00000000">
      <w:pPr>
        <w:spacing w:before="200" w:after="60"/>
      </w:pPr>
      <w:r>
        <w:rPr>
          <w:sz w:val="18"/>
          <w:szCs w:val="18"/>
        </w:rPr>
        <w:t>*Give information separately for exposed and unexposed groups.</w:t>
      </w:r>
    </w:p>
    <w:p w14:paraId="29820F36" w14:textId="763549CC" w:rsidR="00B0306A" w:rsidRDefault="00B0306A">
      <w:pPr>
        <w:spacing w:after="60"/>
        <w:jc w:val="both"/>
      </w:pPr>
    </w:p>
    <w:sectPr w:rsidR="00B0306A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6DB2"/>
    <w:multiLevelType w:val="hybridMultilevel"/>
    <w:tmpl w:val="3CA4C1FE"/>
    <w:lvl w:ilvl="0" w:tplc="B56A2054">
      <w:start w:val="1"/>
      <w:numFmt w:val="bullet"/>
      <w:lvlText w:val="●"/>
      <w:lvlJc w:val="left"/>
      <w:pPr>
        <w:ind w:left="720" w:hanging="360"/>
      </w:pPr>
    </w:lvl>
    <w:lvl w:ilvl="1" w:tplc="B70A7BD6">
      <w:start w:val="1"/>
      <w:numFmt w:val="bullet"/>
      <w:lvlText w:val="○"/>
      <w:lvlJc w:val="left"/>
      <w:pPr>
        <w:ind w:left="1440" w:hanging="360"/>
      </w:pPr>
    </w:lvl>
    <w:lvl w:ilvl="2" w:tplc="67627DD4">
      <w:start w:val="1"/>
      <w:numFmt w:val="bullet"/>
      <w:lvlText w:val="■"/>
      <w:lvlJc w:val="left"/>
      <w:pPr>
        <w:ind w:left="2160" w:hanging="360"/>
      </w:pPr>
    </w:lvl>
    <w:lvl w:ilvl="3" w:tplc="9E6E7448">
      <w:start w:val="1"/>
      <w:numFmt w:val="bullet"/>
      <w:lvlText w:val="●"/>
      <w:lvlJc w:val="left"/>
      <w:pPr>
        <w:ind w:left="2880" w:hanging="360"/>
      </w:pPr>
    </w:lvl>
    <w:lvl w:ilvl="4" w:tplc="5114EBB0">
      <w:start w:val="1"/>
      <w:numFmt w:val="bullet"/>
      <w:lvlText w:val="○"/>
      <w:lvlJc w:val="left"/>
      <w:pPr>
        <w:ind w:left="3600" w:hanging="360"/>
      </w:pPr>
    </w:lvl>
    <w:lvl w:ilvl="5" w:tplc="6C324D92">
      <w:start w:val="1"/>
      <w:numFmt w:val="bullet"/>
      <w:lvlText w:val="■"/>
      <w:lvlJc w:val="left"/>
      <w:pPr>
        <w:ind w:left="4320" w:hanging="360"/>
      </w:pPr>
    </w:lvl>
    <w:lvl w:ilvl="6" w:tplc="5D7E1F12">
      <w:start w:val="1"/>
      <w:numFmt w:val="bullet"/>
      <w:lvlText w:val="●"/>
      <w:lvlJc w:val="left"/>
      <w:pPr>
        <w:ind w:left="5040" w:hanging="360"/>
      </w:pPr>
    </w:lvl>
    <w:lvl w:ilvl="7" w:tplc="3F841BE6">
      <w:start w:val="1"/>
      <w:numFmt w:val="bullet"/>
      <w:lvlText w:val="●"/>
      <w:lvlJc w:val="left"/>
      <w:pPr>
        <w:ind w:left="5760" w:hanging="360"/>
      </w:pPr>
    </w:lvl>
    <w:lvl w:ilvl="8" w:tplc="8E747C2A">
      <w:start w:val="1"/>
      <w:numFmt w:val="bullet"/>
      <w:lvlText w:val="●"/>
      <w:lvlJc w:val="left"/>
      <w:pPr>
        <w:ind w:left="6480" w:hanging="360"/>
      </w:pPr>
    </w:lvl>
  </w:abstractNum>
  <w:num w:numId="1" w16cid:durableId="18428950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06A"/>
    <w:rsid w:val="00791E68"/>
    <w:rsid w:val="00B0306A"/>
    <w:rsid w:val="00E5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BFCB8"/>
  <w15:docId w15:val="{08872C8A-3222-4D29-A3C4-7C22CC69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1475</Words>
  <Characters>8412</Characters>
  <Application>Microsoft Office Word</Application>
  <DocSecurity>0</DocSecurity>
  <Lines>70</Lines>
  <Paragraphs>19</Paragraphs>
  <ScaleCrop>false</ScaleCrop>
  <Company/>
  <LinksUpToDate>false</LinksUpToDate>
  <CharactersWithSpaces>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Osama.med_0296</cp:lastModifiedBy>
  <cp:revision>2</cp:revision>
  <dcterms:created xsi:type="dcterms:W3CDTF">2026-08-04T20:53:00Z</dcterms:created>
  <dcterms:modified xsi:type="dcterms:W3CDTF">2026-08-04T20:53:00Z</dcterms:modified>
</cp:coreProperties>
</file>