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4888E" w14:textId="77777777" w:rsidR="003B53BE" w:rsidRPr="00F43A76" w:rsidRDefault="00000000" w:rsidP="00F43A76">
      <w:pPr>
        <w:spacing w:before="157" w:after="157" w:line="480" w:lineRule="auto"/>
        <w:jc w:val="both"/>
        <w:rPr>
          <w:rFonts w:asciiTheme="majorBidi" w:hAnsiTheme="majorBidi" w:cstheme="majorBidi"/>
          <w:sz w:val="24"/>
          <w:szCs w:val="24"/>
        </w:rPr>
      </w:pPr>
      <w:bookmarkStart w:id="0" w:name="supplementary_appendix"/>
      <w:r w:rsidRPr="00F43A76">
        <w:rPr>
          <w:rFonts w:asciiTheme="majorBidi" w:eastAsia="source serif 4" w:hAnsiTheme="majorBidi" w:cstheme="majorBidi"/>
          <w:b/>
          <w:color w:val="000000"/>
          <w:sz w:val="24"/>
          <w:szCs w:val="24"/>
        </w:rPr>
        <w:t>Supplementary Appendix</w:t>
      </w:r>
      <w:bookmarkEnd w:id="0"/>
    </w:p>
    <w:p w14:paraId="3007A839" w14:textId="77777777" w:rsidR="003B53BE" w:rsidRPr="00F43A76" w:rsidRDefault="00000000" w:rsidP="00F43A76">
      <w:pPr>
        <w:spacing w:before="315" w:after="105" w:line="480" w:lineRule="auto"/>
        <w:ind w:left="-30"/>
        <w:jc w:val="both"/>
        <w:rPr>
          <w:rFonts w:asciiTheme="majorBidi" w:hAnsiTheme="majorBidi" w:cstheme="majorBidi"/>
          <w:sz w:val="24"/>
          <w:szCs w:val="24"/>
        </w:rPr>
      </w:pPr>
      <w:bookmarkStart w:id="1" w:name="special_clinical_scenarios_in_ant_68e101"/>
      <w:r w:rsidRPr="00F43A76">
        <w:rPr>
          <w:rFonts w:asciiTheme="majorBidi" w:eastAsia="source serif 4" w:hAnsiTheme="majorBidi" w:cstheme="majorBidi"/>
          <w:b/>
          <w:color w:val="000000"/>
          <w:sz w:val="24"/>
          <w:szCs w:val="24"/>
        </w:rPr>
        <w:t>Special Clinical Scenarios in Anticoagulation and Renal Disease</w:t>
      </w:r>
      <w:bookmarkEnd w:id="1"/>
    </w:p>
    <w:p w14:paraId="30CD5745" w14:textId="77777777" w:rsidR="003B53BE" w:rsidRPr="00F43A76" w:rsidRDefault="00000000" w:rsidP="00F43A76">
      <w:pPr>
        <w:spacing w:after="210" w:line="480" w:lineRule="auto"/>
        <w:jc w:val="both"/>
        <w:rPr>
          <w:rFonts w:asciiTheme="majorBidi" w:hAnsiTheme="majorBidi" w:cstheme="majorBidi"/>
          <w:sz w:val="20"/>
          <w:szCs w:val="20"/>
        </w:rPr>
      </w:pPr>
      <w:r w:rsidRPr="00F43A76">
        <w:rPr>
          <w:rFonts w:asciiTheme="majorBidi" w:eastAsia="source serif 4" w:hAnsiTheme="majorBidi" w:cstheme="majorBidi"/>
          <w:color w:val="000000"/>
          <w:sz w:val="20"/>
          <w:szCs w:val="20"/>
        </w:rPr>
        <w:t>The case-based appendix presents four representative clinical scenarios illustrating how the recommendations in the main text can be applied in practice. Figure 4 in the main text depicts these scenarios with insets highlighting predominant drug-clearance pathways and principles of dose adjustment or reversal in impaired kidney function.</w:t>
      </w:r>
    </w:p>
    <w:p w14:paraId="5099AD42" w14:textId="77777777" w:rsidR="003B53BE" w:rsidRPr="00F43A76" w:rsidRDefault="00000000" w:rsidP="00F43A76">
      <w:pPr>
        <w:spacing w:after="210" w:line="480" w:lineRule="auto"/>
        <w:jc w:val="both"/>
        <w:rPr>
          <w:rFonts w:asciiTheme="majorBidi" w:hAnsiTheme="majorBidi" w:cstheme="majorBidi"/>
          <w:sz w:val="20"/>
          <w:szCs w:val="20"/>
        </w:rPr>
      </w:pPr>
      <w:r w:rsidRPr="00F43A76">
        <w:rPr>
          <w:rFonts w:asciiTheme="majorBidi" w:eastAsia="source serif 4" w:hAnsiTheme="majorBidi" w:cstheme="majorBidi"/>
          <w:b/>
          <w:color w:val="000000"/>
          <w:sz w:val="20"/>
          <w:szCs w:val="20"/>
        </w:rPr>
        <w:t>Panel A:</w:t>
      </w:r>
      <w:r w:rsidRPr="00F43A76">
        <w:rPr>
          <w:rFonts w:asciiTheme="majorBidi" w:eastAsia="source serif 4" w:hAnsiTheme="majorBidi" w:cstheme="majorBidi"/>
          <w:color w:val="000000"/>
          <w:sz w:val="20"/>
          <w:szCs w:val="20"/>
        </w:rPr>
        <w:t xml:space="preserve"> Acute-on-chronic CKD with proliferative diabetic retinopathy after myocardial infarction (Scenario 1).</w:t>
      </w:r>
    </w:p>
    <w:p w14:paraId="3298A9D9" w14:textId="77777777" w:rsidR="003B53BE" w:rsidRPr="00F43A76" w:rsidRDefault="00000000" w:rsidP="00F43A76">
      <w:pPr>
        <w:spacing w:after="210" w:line="480" w:lineRule="auto"/>
        <w:jc w:val="both"/>
        <w:rPr>
          <w:rFonts w:asciiTheme="majorBidi" w:hAnsiTheme="majorBidi" w:cstheme="majorBidi"/>
          <w:sz w:val="20"/>
          <w:szCs w:val="20"/>
        </w:rPr>
      </w:pPr>
      <w:r w:rsidRPr="00F43A76">
        <w:rPr>
          <w:rFonts w:asciiTheme="majorBidi" w:eastAsia="source serif 4" w:hAnsiTheme="majorBidi" w:cstheme="majorBidi"/>
          <w:b/>
          <w:color w:val="000000"/>
          <w:sz w:val="20"/>
          <w:szCs w:val="20"/>
        </w:rPr>
        <w:t>Panel B:</w:t>
      </w:r>
      <w:r w:rsidRPr="00F43A76">
        <w:rPr>
          <w:rFonts w:asciiTheme="majorBidi" w:eastAsia="source serif 4" w:hAnsiTheme="majorBidi" w:cstheme="majorBidi"/>
          <w:color w:val="000000"/>
          <w:sz w:val="20"/>
          <w:szCs w:val="20"/>
        </w:rPr>
        <w:t xml:space="preserve"> Renal transplantation and perioperative anticoagulation in a patient with prior mechanical valve replacement and deep vein thrombosis (Scenario 2).</w:t>
      </w:r>
    </w:p>
    <w:p w14:paraId="25B8C0C0" w14:textId="77777777" w:rsidR="003B53BE" w:rsidRPr="00F43A76" w:rsidRDefault="00000000" w:rsidP="00F43A76">
      <w:pPr>
        <w:spacing w:after="210" w:line="480" w:lineRule="auto"/>
        <w:jc w:val="both"/>
        <w:rPr>
          <w:rFonts w:asciiTheme="majorBidi" w:hAnsiTheme="majorBidi" w:cstheme="majorBidi"/>
          <w:sz w:val="20"/>
          <w:szCs w:val="20"/>
        </w:rPr>
      </w:pPr>
      <w:r w:rsidRPr="00F43A76">
        <w:rPr>
          <w:rFonts w:asciiTheme="majorBidi" w:eastAsia="source serif 4" w:hAnsiTheme="majorBidi" w:cstheme="majorBidi"/>
          <w:b/>
          <w:color w:val="000000"/>
          <w:sz w:val="20"/>
          <w:szCs w:val="20"/>
        </w:rPr>
        <w:t>Panel C:</w:t>
      </w:r>
      <w:r w:rsidRPr="00F43A76">
        <w:rPr>
          <w:rFonts w:asciiTheme="majorBidi" w:eastAsia="source serif 4" w:hAnsiTheme="majorBidi" w:cstheme="majorBidi"/>
          <w:color w:val="000000"/>
          <w:sz w:val="20"/>
          <w:szCs w:val="20"/>
        </w:rPr>
        <w:t xml:space="preserve"> Elderly patient with CKD and recurrent cerebrovascular events on antiplatelet therapy (Scenario 3).</w:t>
      </w:r>
    </w:p>
    <w:p w14:paraId="3BC75433" w14:textId="77777777" w:rsidR="003B53BE" w:rsidRPr="00F43A76" w:rsidRDefault="00000000" w:rsidP="00F43A76">
      <w:pPr>
        <w:spacing w:after="210" w:line="480" w:lineRule="auto"/>
        <w:jc w:val="both"/>
        <w:rPr>
          <w:rFonts w:asciiTheme="majorBidi" w:hAnsiTheme="majorBidi" w:cstheme="majorBidi"/>
          <w:sz w:val="20"/>
          <w:szCs w:val="20"/>
        </w:rPr>
      </w:pPr>
      <w:r w:rsidRPr="00F43A76">
        <w:rPr>
          <w:rFonts w:asciiTheme="majorBidi" w:eastAsia="source serif 4" w:hAnsiTheme="majorBidi" w:cstheme="majorBidi"/>
          <w:b/>
          <w:color w:val="000000"/>
          <w:sz w:val="20"/>
          <w:szCs w:val="20"/>
        </w:rPr>
        <w:t>Panel D:</w:t>
      </w:r>
      <w:r w:rsidRPr="00F43A76">
        <w:rPr>
          <w:rFonts w:asciiTheme="majorBidi" w:eastAsia="source serif 4" w:hAnsiTheme="majorBidi" w:cstheme="majorBidi"/>
          <w:color w:val="000000"/>
          <w:sz w:val="20"/>
          <w:szCs w:val="20"/>
        </w:rPr>
        <w:t xml:space="preserve"> Life-threatening gastrointestinal bleeding on combination anticoagulant and antiplatelet therapy in advanced CKD (Scenario 4).</w:t>
      </w:r>
    </w:p>
    <w:p w14:paraId="68F6092F" w14:textId="77777777" w:rsidR="003B53BE" w:rsidRPr="00F43A76" w:rsidRDefault="00000000" w:rsidP="00F43A76">
      <w:pPr>
        <w:spacing w:before="315" w:after="105" w:line="480" w:lineRule="auto"/>
        <w:ind w:left="-30"/>
        <w:jc w:val="both"/>
        <w:rPr>
          <w:rFonts w:asciiTheme="majorBidi" w:hAnsiTheme="majorBidi" w:cstheme="majorBidi"/>
          <w:sz w:val="24"/>
          <w:szCs w:val="24"/>
        </w:rPr>
      </w:pPr>
      <w:bookmarkStart w:id="2" w:name="scenario_1_acute_on_chronic_ckd_w_347153"/>
      <w:r w:rsidRPr="00F43A76">
        <w:rPr>
          <w:rFonts w:asciiTheme="majorBidi" w:eastAsia="source serif 4" w:hAnsiTheme="majorBidi" w:cstheme="majorBidi"/>
          <w:b/>
          <w:color w:val="000000"/>
          <w:sz w:val="24"/>
          <w:szCs w:val="24"/>
        </w:rPr>
        <w:t>Scenario 1 — Acute-on-Chronic CKD With Proliferative Diabetic Retinopathy After Myocardial Infarction</w:t>
      </w:r>
      <w:bookmarkEnd w:id="2"/>
    </w:p>
    <w:p w14:paraId="41CB360D" w14:textId="4B9C0ACE" w:rsidR="003B53BE" w:rsidRPr="00F43A76" w:rsidRDefault="00000000" w:rsidP="00F43A76">
      <w:pPr>
        <w:spacing w:after="210" w:line="480" w:lineRule="auto"/>
        <w:jc w:val="both"/>
        <w:rPr>
          <w:rFonts w:asciiTheme="majorBidi" w:hAnsiTheme="majorBidi" w:cstheme="majorBidi"/>
          <w:sz w:val="20"/>
          <w:szCs w:val="20"/>
        </w:rPr>
      </w:pPr>
      <w:r w:rsidRPr="00F43A76">
        <w:rPr>
          <w:rFonts w:asciiTheme="majorBidi" w:eastAsia="source serif 4" w:hAnsiTheme="majorBidi" w:cstheme="majorBidi"/>
          <w:color w:val="000000"/>
          <w:sz w:val="20"/>
          <w:szCs w:val="20"/>
        </w:rPr>
        <w:t xml:space="preserve">A 65-year-old man with CKD stage 4 due to diabetic nephropathy (serum creatinine 4.0 mg/dL) and proliferative diabetic retinopathy has a high ocular bleeding risk. Ophthalmology advises avoiding antithrombotics—particularly aspirin—because of concern for retinal hemorrhage, which is plausible given uremic platelet dysfunction and fragile retinal vessels, with conflicting data on aspirin’s ocular safety in this setting </w:t>
      </w:r>
      <w:r w:rsidR="00F43A76">
        <w:rPr>
          <w:rFonts w:asciiTheme="majorBidi" w:eastAsia="source serif 4" w:hAnsiTheme="majorBidi" w:cstheme="majorBidi"/>
          <w:color w:val="000000"/>
          <w:sz w:val="20"/>
          <w:szCs w:val="20"/>
        </w:rPr>
        <w:t>(</w:t>
      </w:r>
      <w:r w:rsidR="00A94AD0" w:rsidRPr="00A94AD0">
        <w:rPr>
          <w:rFonts w:asciiTheme="majorBidi" w:eastAsia="source serif 4" w:hAnsiTheme="majorBidi" w:cstheme="majorBidi"/>
          <w:color w:val="000000"/>
          <w:sz w:val="20"/>
          <w:szCs w:val="20"/>
        </w:rPr>
        <w:t>Additional file</w:t>
      </w:r>
      <w:r w:rsidRPr="00F43A76">
        <w:rPr>
          <w:rFonts w:asciiTheme="majorBidi" w:eastAsia="source serif 4" w:hAnsiTheme="majorBidi" w:cstheme="majorBidi"/>
          <w:color w:val="000000"/>
          <w:sz w:val="20"/>
          <w:szCs w:val="20"/>
        </w:rPr>
        <w:t>15,16,19,24</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 After ST-elevation myocardial infarction treated with drug-eluting stent implantation, antithrombotic therapy is nevertheless essential, and management must balance coronary-thrombosis prevention against ocular and systemic bleeding.</w:t>
      </w:r>
    </w:p>
    <w:p w14:paraId="2BE572BB" w14:textId="77777777" w:rsidR="003B53BE" w:rsidRPr="00F43A76" w:rsidRDefault="00000000" w:rsidP="00F43A76">
      <w:pPr>
        <w:spacing w:after="210" w:line="480" w:lineRule="auto"/>
        <w:jc w:val="both"/>
        <w:rPr>
          <w:rFonts w:asciiTheme="majorBidi" w:hAnsiTheme="majorBidi" w:cstheme="majorBidi"/>
          <w:sz w:val="20"/>
          <w:szCs w:val="20"/>
        </w:rPr>
      </w:pPr>
      <w:r w:rsidRPr="00F43A76">
        <w:rPr>
          <w:rFonts w:asciiTheme="majorBidi" w:eastAsia="source serif 4" w:hAnsiTheme="majorBidi" w:cstheme="majorBidi"/>
          <w:color w:val="000000"/>
          <w:sz w:val="20"/>
          <w:szCs w:val="20"/>
        </w:rPr>
        <w:t>Key considerations include:</w:t>
      </w:r>
    </w:p>
    <w:p w14:paraId="1C6F39E4" w14:textId="244E7376" w:rsidR="003B53BE" w:rsidRPr="00F43A76" w:rsidRDefault="00000000" w:rsidP="00F43A76">
      <w:pPr>
        <w:numPr>
          <w:ilvl w:val="0"/>
          <w:numId w:val="1"/>
        </w:numPr>
        <w:spacing w:before="105" w:after="105" w:line="480" w:lineRule="auto"/>
        <w:jc w:val="both"/>
        <w:rPr>
          <w:rFonts w:asciiTheme="majorBidi" w:hAnsiTheme="majorBidi" w:cstheme="majorBidi"/>
          <w:sz w:val="20"/>
          <w:szCs w:val="20"/>
        </w:rPr>
      </w:pPr>
      <w:r w:rsidRPr="00F43A76">
        <w:rPr>
          <w:rFonts w:asciiTheme="majorBidi" w:eastAsia="source serif 4" w:hAnsiTheme="majorBidi" w:cstheme="majorBidi"/>
          <w:color w:val="000000"/>
          <w:sz w:val="20"/>
          <w:szCs w:val="20"/>
        </w:rPr>
        <w:t xml:space="preserve">Contemporary guidance supports dual antiplatelet therapy (DAPT) with low-dose aspirin (≤100 mg/day) plus clopidogrel after PCI, with abbreviated DAPT duration in patients at high bleeding risk </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39,45,46</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w:t>
      </w:r>
    </w:p>
    <w:p w14:paraId="720C9E04" w14:textId="0DD92A15" w:rsidR="003B53BE" w:rsidRPr="00F43A76" w:rsidRDefault="00000000" w:rsidP="00F43A76">
      <w:pPr>
        <w:numPr>
          <w:ilvl w:val="0"/>
          <w:numId w:val="1"/>
        </w:numPr>
        <w:spacing w:before="105" w:after="105" w:line="480" w:lineRule="auto"/>
        <w:jc w:val="both"/>
        <w:rPr>
          <w:rFonts w:asciiTheme="majorBidi" w:hAnsiTheme="majorBidi" w:cstheme="majorBidi"/>
          <w:sz w:val="20"/>
          <w:szCs w:val="20"/>
        </w:rPr>
      </w:pPr>
      <w:r w:rsidRPr="00F43A76">
        <w:rPr>
          <w:rFonts w:asciiTheme="majorBidi" w:eastAsia="source serif 4" w:hAnsiTheme="majorBidi" w:cstheme="majorBidi"/>
          <w:color w:val="000000"/>
          <w:sz w:val="20"/>
          <w:szCs w:val="20"/>
        </w:rPr>
        <w:lastRenderedPageBreak/>
        <w:t xml:space="preserve">In severe CKD, selection of a P2Y12 inhibitor should be individualized because bleeding risk is high and robust randomized evidence is limited </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32,33,39,40</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w:t>
      </w:r>
    </w:p>
    <w:p w14:paraId="6916F683" w14:textId="2E670FCB" w:rsidR="003B53BE" w:rsidRPr="00F43A76" w:rsidRDefault="00000000" w:rsidP="00F43A76">
      <w:pPr>
        <w:numPr>
          <w:ilvl w:val="0"/>
          <w:numId w:val="1"/>
        </w:numPr>
        <w:spacing w:before="105" w:after="105" w:line="480" w:lineRule="auto"/>
        <w:jc w:val="both"/>
        <w:rPr>
          <w:rFonts w:asciiTheme="majorBidi" w:hAnsiTheme="majorBidi" w:cstheme="majorBidi"/>
          <w:sz w:val="20"/>
          <w:szCs w:val="20"/>
        </w:rPr>
      </w:pPr>
      <w:r w:rsidRPr="00F43A76">
        <w:rPr>
          <w:rFonts w:asciiTheme="majorBidi" w:eastAsia="source serif 4" w:hAnsiTheme="majorBidi" w:cstheme="majorBidi"/>
          <w:color w:val="000000"/>
          <w:sz w:val="20"/>
          <w:szCs w:val="20"/>
        </w:rPr>
        <w:t xml:space="preserve">Following the early high-risk period, antiplatelet de-escalation or single-antiplatelet therapy may be appropriate according to ischemic risk, bleeding history, and the coronary indication </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39,45,46</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w:t>
      </w:r>
    </w:p>
    <w:p w14:paraId="30FBF18F" w14:textId="77777777" w:rsidR="003B53BE" w:rsidRPr="00F43A76" w:rsidRDefault="00000000" w:rsidP="00F43A76">
      <w:pPr>
        <w:numPr>
          <w:ilvl w:val="0"/>
          <w:numId w:val="1"/>
        </w:numPr>
        <w:spacing w:before="105" w:after="105" w:line="480" w:lineRule="auto"/>
        <w:jc w:val="both"/>
        <w:rPr>
          <w:rFonts w:asciiTheme="majorBidi" w:hAnsiTheme="majorBidi" w:cstheme="majorBidi"/>
          <w:sz w:val="20"/>
          <w:szCs w:val="20"/>
        </w:rPr>
      </w:pPr>
      <w:r w:rsidRPr="00F43A76">
        <w:rPr>
          <w:rFonts w:asciiTheme="majorBidi" w:eastAsia="source serif 4" w:hAnsiTheme="majorBidi" w:cstheme="majorBidi"/>
          <w:color w:val="000000"/>
          <w:sz w:val="20"/>
          <w:szCs w:val="20"/>
        </w:rPr>
        <w:t>For low-bleeding-risk minor interventions such as routine cataract surgery, continuation of aspirin monotherapy is often feasible; the final decision should be made with the ophthalmic surgeon and anaesthesia team.</w:t>
      </w:r>
    </w:p>
    <w:p w14:paraId="4C6EB8FD" w14:textId="69148080" w:rsidR="003B53BE" w:rsidRPr="00F43A76" w:rsidRDefault="00000000" w:rsidP="00F43A76">
      <w:pPr>
        <w:spacing w:after="210" w:line="480" w:lineRule="auto"/>
        <w:jc w:val="both"/>
        <w:rPr>
          <w:rFonts w:asciiTheme="majorBidi" w:hAnsiTheme="majorBidi" w:cstheme="majorBidi"/>
          <w:sz w:val="20"/>
          <w:szCs w:val="20"/>
        </w:rPr>
      </w:pPr>
      <w:r w:rsidRPr="00F43A76">
        <w:rPr>
          <w:rFonts w:asciiTheme="majorBidi" w:eastAsia="source serif 4" w:hAnsiTheme="majorBidi" w:cstheme="majorBidi"/>
          <w:color w:val="000000"/>
          <w:sz w:val="20"/>
          <w:szCs w:val="20"/>
        </w:rPr>
        <w:t xml:space="preserve">During PCI, unfractionated heparin (UFH) is preferred for intraprocedural anticoagulation because of its rapid offset and reversibility with protamine, whereas therapeutic-dose LMWH may accumulate as renal function worsens </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13,67</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 xml:space="preserve">. With recurrent ocular hemorrhage, heparin-free hemodialysis using saline flushes may be required. For subsequent DVT, warfarin may be considered because it is hepatically metabolized, but it carries risks of labile INR, vascular calcification, and calciphylaxis in advanced CKD </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13,55,56</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 xml:space="preserve">. DOAC use in kidney failure/dialysis has uncertain outcome evidence and should be individualized; apixaban has the most available pharmacokinetic and observational data, although it is not established as standard therapy </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49-72</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w:t>
      </w:r>
    </w:p>
    <w:p w14:paraId="4EBBAB09" w14:textId="77777777" w:rsidR="003B53BE" w:rsidRPr="00F43A76" w:rsidRDefault="00000000" w:rsidP="00F43A76">
      <w:pPr>
        <w:spacing w:before="315" w:after="105" w:line="480" w:lineRule="auto"/>
        <w:ind w:left="-30"/>
        <w:jc w:val="both"/>
        <w:rPr>
          <w:rFonts w:asciiTheme="majorBidi" w:hAnsiTheme="majorBidi" w:cstheme="majorBidi"/>
          <w:sz w:val="24"/>
          <w:szCs w:val="24"/>
        </w:rPr>
      </w:pPr>
      <w:bookmarkStart w:id="3" w:name="scenario_2_anticoagulation_in_ren_159ec8"/>
      <w:r w:rsidRPr="00F43A76">
        <w:rPr>
          <w:rFonts w:asciiTheme="majorBidi" w:eastAsia="source serif 4" w:hAnsiTheme="majorBidi" w:cstheme="majorBidi"/>
          <w:b/>
          <w:color w:val="000000"/>
          <w:sz w:val="24"/>
          <w:szCs w:val="24"/>
        </w:rPr>
        <w:t>Scenario 2 — Anticoagulation in Renal Transplantation After Mechanical Valve Replacement and DVT</w:t>
      </w:r>
      <w:bookmarkEnd w:id="3"/>
    </w:p>
    <w:p w14:paraId="109D4C0B" w14:textId="69E79C5B" w:rsidR="003B53BE" w:rsidRPr="00F43A76" w:rsidRDefault="00000000" w:rsidP="00F43A76">
      <w:pPr>
        <w:spacing w:after="210" w:line="480" w:lineRule="auto"/>
        <w:jc w:val="both"/>
        <w:rPr>
          <w:rFonts w:asciiTheme="majorBidi" w:hAnsiTheme="majorBidi" w:cstheme="majorBidi"/>
          <w:sz w:val="20"/>
          <w:szCs w:val="20"/>
        </w:rPr>
      </w:pPr>
      <w:r w:rsidRPr="00F43A76">
        <w:rPr>
          <w:rFonts w:asciiTheme="majorBidi" w:eastAsia="source serif 4" w:hAnsiTheme="majorBidi" w:cstheme="majorBidi"/>
          <w:color w:val="000000"/>
          <w:sz w:val="20"/>
          <w:szCs w:val="20"/>
        </w:rPr>
        <w:t xml:space="preserve">A 60-year-old man with ESKD due to diabetic nephropathy, on hemodialysis for 5 years, presents with severe calcific aortic stenosis. Mechanical aortic valve replacement is selected for durability but mandates lifelong VKA therapy; the target INR must be determined by valve type, position, and patient-specific thromboembolic risk. Uremia increases the bleeding hazard </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13,15,16</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 Bioprosthetic valves avoid lifelong VKA therapy but may have reduced durability and accelerated calcification in CKD.</w:t>
      </w:r>
    </w:p>
    <w:p w14:paraId="7D7AF851" w14:textId="371B23B5" w:rsidR="003B53BE" w:rsidRPr="00F43A76" w:rsidRDefault="00000000" w:rsidP="00F43A76">
      <w:pPr>
        <w:spacing w:after="210" w:line="480" w:lineRule="auto"/>
        <w:jc w:val="both"/>
        <w:rPr>
          <w:rFonts w:asciiTheme="majorBidi" w:hAnsiTheme="majorBidi" w:cstheme="majorBidi"/>
          <w:sz w:val="20"/>
          <w:szCs w:val="20"/>
        </w:rPr>
      </w:pPr>
      <w:r w:rsidRPr="00F43A76">
        <w:rPr>
          <w:rFonts w:asciiTheme="majorBidi" w:eastAsia="source serif 4" w:hAnsiTheme="majorBidi" w:cstheme="majorBidi"/>
          <w:color w:val="000000"/>
          <w:sz w:val="20"/>
          <w:szCs w:val="20"/>
        </w:rPr>
        <w:t xml:space="preserve">After valve implantation, warfarin and low-dose aspirin are initiated where indicated. When DVT occurs, warfarin is continued, and hemodialysis may be performed without systemic heparin to reduce bleeding risk, following the principles summarized in Table 4 of the main text </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67</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 Perioperative management for a subsequent kidney transplant must carefully balance valve-related thrombotic risk, VTE risk, and surgical bleeding.</w:t>
      </w:r>
    </w:p>
    <w:p w14:paraId="71952FB6" w14:textId="77777777" w:rsidR="003B53BE" w:rsidRPr="00F43A76" w:rsidRDefault="00000000" w:rsidP="00F43A76">
      <w:pPr>
        <w:spacing w:before="315" w:after="105" w:line="480" w:lineRule="auto"/>
        <w:ind w:left="-30"/>
        <w:jc w:val="both"/>
        <w:rPr>
          <w:rFonts w:asciiTheme="majorBidi" w:hAnsiTheme="majorBidi" w:cstheme="majorBidi"/>
          <w:sz w:val="20"/>
          <w:szCs w:val="20"/>
        </w:rPr>
      </w:pPr>
      <w:bookmarkStart w:id="4" w:name="perioperative_strategy_and_anaesthesia"/>
      <w:r w:rsidRPr="00F43A76">
        <w:rPr>
          <w:rFonts w:asciiTheme="majorBidi" w:eastAsia="source serif 4" w:hAnsiTheme="majorBidi" w:cstheme="majorBidi"/>
          <w:b/>
          <w:color w:val="000000"/>
          <w:sz w:val="20"/>
          <w:szCs w:val="20"/>
        </w:rPr>
        <w:t>Perioperative strategy and anaesthesia</w:t>
      </w:r>
      <w:bookmarkEnd w:id="4"/>
    </w:p>
    <w:p w14:paraId="035455BA" w14:textId="1AB8A798" w:rsidR="003B53BE" w:rsidRPr="00F43A76" w:rsidRDefault="00000000" w:rsidP="00F43A76">
      <w:pPr>
        <w:spacing w:after="210" w:line="480" w:lineRule="auto"/>
        <w:jc w:val="both"/>
        <w:rPr>
          <w:rFonts w:asciiTheme="majorBidi" w:hAnsiTheme="majorBidi" w:cstheme="majorBidi"/>
          <w:sz w:val="20"/>
          <w:szCs w:val="20"/>
        </w:rPr>
      </w:pPr>
      <w:r w:rsidRPr="00F43A76">
        <w:rPr>
          <w:rFonts w:asciiTheme="majorBidi" w:eastAsia="source serif 4" w:hAnsiTheme="majorBidi" w:cstheme="majorBidi"/>
          <w:color w:val="000000"/>
          <w:sz w:val="20"/>
          <w:szCs w:val="20"/>
        </w:rPr>
        <w:lastRenderedPageBreak/>
        <w:t xml:space="preserve">Warfarin is generally stopped about 5 days before elective surgery, with INR confirmation before high-bleeding-risk procedures </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83,86</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 xml:space="preserve">. Bridging with therapeutic-dose LMWH or UFH is reserved for carefully selected patients with very high thrombotic risk, such as some patients with a mechanical valve or very recent VTE; UFH is generally favored over LMWH in advanced CKD because of accumulation concerns and reversibility </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13,83</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 xml:space="preserve">. If therapeutic LMWH is used, it should be stopped at least 24 hours preoperatively and may require a longer interval in advanced CKD </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83,86</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w:t>
      </w:r>
    </w:p>
    <w:p w14:paraId="556976BE" w14:textId="10994885" w:rsidR="003B53BE" w:rsidRPr="00F43A76" w:rsidRDefault="00000000" w:rsidP="00F43A76">
      <w:pPr>
        <w:spacing w:after="210" w:line="480" w:lineRule="auto"/>
        <w:jc w:val="both"/>
        <w:rPr>
          <w:rFonts w:asciiTheme="majorBidi" w:hAnsiTheme="majorBidi" w:cstheme="majorBidi"/>
          <w:sz w:val="20"/>
          <w:szCs w:val="20"/>
        </w:rPr>
      </w:pPr>
      <w:r w:rsidRPr="00F43A76">
        <w:rPr>
          <w:rFonts w:asciiTheme="majorBidi" w:eastAsia="source serif 4" w:hAnsiTheme="majorBidi" w:cstheme="majorBidi"/>
          <w:color w:val="000000"/>
          <w:sz w:val="20"/>
          <w:szCs w:val="20"/>
        </w:rPr>
        <w:t xml:space="preserve">The choice between neuraxial (spinal/epidural) and general anaesthesia is critical. Neuraxial techniques require strict adherence to anticoagulant-interruption intervals to reduce the risk of spinal or epidural hematoma </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85,87</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w:t>
      </w:r>
    </w:p>
    <w:p w14:paraId="49FD3D61" w14:textId="77777777" w:rsidR="003B53BE" w:rsidRPr="00F43A76" w:rsidRDefault="00000000" w:rsidP="00F43A76">
      <w:pPr>
        <w:spacing w:before="315" w:after="105" w:line="480" w:lineRule="auto"/>
        <w:ind w:left="-30"/>
        <w:jc w:val="both"/>
        <w:rPr>
          <w:rFonts w:asciiTheme="majorBidi" w:hAnsiTheme="majorBidi" w:cstheme="majorBidi"/>
          <w:sz w:val="20"/>
          <w:szCs w:val="20"/>
        </w:rPr>
      </w:pPr>
      <w:bookmarkStart w:id="5" w:name="antiplatelet_management"/>
      <w:r w:rsidRPr="00F43A76">
        <w:rPr>
          <w:rFonts w:asciiTheme="majorBidi" w:eastAsia="source serif 4" w:hAnsiTheme="majorBidi" w:cstheme="majorBidi"/>
          <w:b/>
          <w:color w:val="000000"/>
          <w:sz w:val="20"/>
          <w:szCs w:val="20"/>
        </w:rPr>
        <w:t>Antiplatelet management</w:t>
      </w:r>
      <w:bookmarkEnd w:id="5"/>
    </w:p>
    <w:p w14:paraId="1328815E" w14:textId="6E92DDF9" w:rsidR="003B53BE" w:rsidRPr="00F43A76" w:rsidRDefault="00000000" w:rsidP="00F43A76">
      <w:pPr>
        <w:spacing w:after="210" w:line="480" w:lineRule="auto"/>
        <w:jc w:val="both"/>
        <w:rPr>
          <w:rFonts w:asciiTheme="majorBidi" w:hAnsiTheme="majorBidi" w:cstheme="majorBidi"/>
          <w:sz w:val="20"/>
          <w:szCs w:val="20"/>
        </w:rPr>
      </w:pPr>
      <w:r w:rsidRPr="00F43A76">
        <w:rPr>
          <w:rFonts w:asciiTheme="majorBidi" w:eastAsia="source serif 4" w:hAnsiTheme="majorBidi" w:cstheme="majorBidi"/>
          <w:color w:val="000000"/>
          <w:sz w:val="20"/>
          <w:szCs w:val="20"/>
        </w:rPr>
        <w:t xml:space="preserve">Aspirin and clopidogrel are commonly withheld before major non-cardiac surgery to reduce intraoperative bleeding, except when ischemic risk—especially recent coronary stenting—requires continuing aspirin after multidisciplinary discussion </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39,45,46</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w:t>
      </w:r>
    </w:p>
    <w:p w14:paraId="13F79F6F" w14:textId="77777777" w:rsidR="003B53BE" w:rsidRPr="00F43A76" w:rsidRDefault="00000000" w:rsidP="00F43A76">
      <w:pPr>
        <w:spacing w:before="315" w:after="105" w:line="480" w:lineRule="auto"/>
        <w:ind w:left="-30"/>
        <w:jc w:val="both"/>
        <w:rPr>
          <w:rFonts w:asciiTheme="majorBidi" w:hAnsiTheme="majorBidi" w:cstheme="majorBidi"/>
          <w:sz w:val="20"/>
          <w:szCs w:val="20"/>
        </w:rPr>
      </w:pPr>
      <w:bookmarkStart w:id="6" w:name="postoperative_course"/>
      <w:r w:rsidRPr="00F43A76">
        <w:rPr>
          <w:rFonts w:asciiTheme="majorBidi" w:eastAsia="source serif 4" w:hAnsiTheme="majorBidi" w:cstheme="majorBidi"/>
          <w:b/>
          <w:color w:val="000000"/>
          <w:sz w:val="20"/>
          <w:szCs w:val="20"/>
        </w:rPr>
        <w:t>Postoperative course</w:t>
      </w:r>
      <w:bookmarkEnd w:id="6"/>
    </w:p>
    <w:p w14:paraId="1DAC2637" w14:textId="0D8D6AA6" w:rsidR="003B53BE" w:rsidRPr="00F43A76" w:rsidRDefault="00000000" w:rsidP="00F43A76">
      <w:pPr>
        <w:spacing w:after="210" w:line="480" w:lineRule="auto"/>
        <w:jc w:val="both"/>
        <w:rPr>
          <w:rFonts w:asciiTheme="majorBidi" w:hAnsiTheme="majorBidi" w:cstheme="majorBidi"/>
          <w:sz w:val="20"/>
          <w:szCs w:val="20"/>
        </w:rPr>
      </w:pPr>
      <w:r w:rsidRPr="00F43A76">
        <w:rPr>
          <w:rFonts w:asciiTheme="majorBidi" w:eastAsia="source serif 4" w:hAnsiTheme="majorBidi" w:cstheme="majorBidi"/>
          <w:color w:val="000000"/>
          <w:sz w:val="20"/>
          <w:szCs w:val="20"/>
        </w:rPr>
        <w:t xml:space="preserve">Once haemostasis is secure and oral intake resumes, pharmacologic VTE prophylaxis can be restarted when indicated, using dose-adjusted LMWH or UFH in reduced kidney function, followed by transition back to warfarin for long-term mechanical-valve protection </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13,82,83</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 xml:space="preserve">. DOACs are not indicated for mechanical heart valves </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45,46</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w:t>
      </w:r>
    </w:p>
    <w:p w14:paraId="7042CAFE" w14:textId="77777777" w:rsidR="003B53BE" w:rsidRPr="00F43A76" w:rsidRDefault="00000000" w:rsidP="00F43A76">
      <w:pPr>
        <w:spacing w:after="210" w:line="480" w:lineRule="auto"/>
        <w:jc w:val="both"/>
        <w:rPr>
          <w:rFonts w:asciiTheme="majorBidi" w:hAnsiTheme="majorBidi" w:cstheme="majorBidi"/>
          <w:sz w:val="20"/>
          <w:szCs w:val="20"/>
        </w:rPr>
      </w:pPr>
      <w:r w:rsidRPr="00F43A76">
        <w:rPr>
          <w:rFonts w:asciiTheme="majorBidi" w:eastAsia="source serif 4" w:hAnsiTheme="majorBidi" w:cstheme="majorBidi"/>
          <w:color w:val="000000"/>
          <w:sz w:val="20"/>
          <w:szCs w:val="20"/>
        </w:rPr>
        <w:t>After transplantation, potential drug interactions and fluctuating kidney function can cause substantial INR variability; warfarin therefore requires close monitoring. Low-dose aspirin or clopidogrel may be cautiously resumed in stable patients with a cardiovascular indication, guided by graft function and bleeding history.</w:t>
      </w:r>
    </w:p>
    <w:p w14:paraId="4D726942" w14:textId="37E00005" w:rsidR="003B53BE" w:rsidRPr="00F43A76" w:rsidRDefault="00000000" w:rsidP="00F43A76">
      <w:pPr>
        <w:spacing w:before="315" w:after="105" w:line="480" w:lineRule="auto"/>
        <w:ind w:left="-30"/>
        <w:jc w:val="both"/>
        <w:rPr>
          <w:rFonts w:asciiTheme="majorBidi" w:hAnsiTheme="majorBidi" w:cstheme="majorBidi"/>
          <w:sz w:val="24"/>
          <w:szCs w:val="24"/>
        </w:rPr>
      </w:pPr>
      <w:bookmarkStart w:id="7" w:name="scenario_3_elderly_ckd_patient_wi_a7a597"/>
      <w:r w:rsidRPr="00F43A76">
        <w:rPr>
          <w:rFonts w:asciiTheme="majorBidi" w:eastAsia="source serif 4" w:hAnsiTheme="majorBidi" w:cstheme="majorBidi"/>
          <w:b/>
          <w:color w:val="000000"/>
          <w:sz w:val="24"/>
          <w:szCs w:val="24"/>
        </w:rPr>
        <w:t xml:space="preserve">Scenario 3 — Elderly CKD Patient </w:t>
      </w:r>
      <w:r w:rsidR="00F43A76" w:rsidRPr="00F43A76">
        <w:rPr>
          <w:rFonts w:asciiTheme="majorBidi" w:eastAsia="source serif 4" w:hAnsiTheme="majorBidi" w:cstheme="majorBidi"/>
          <w:b/>
          <w:color w:val="000000"/>
          <w:sz w:val="24"/>
          <w:szCs w:val="24"/>
        </w:rPr>
        <w:t>with</w:t>
      </w:r>
      <w:r w:rsidRPr="00F43A76">
        <w:rPr>
          <w:rFonts w:asciiTheme="majorBidi" w:eastAsia="source serif 4" w:hAnsiTheme="majorBidi" w:cstheme="majorBidi"/>
          <w:b/>
          <w:color w:val="000000"/>
          <w:sz w:val="24"/>
          <w:szCs w:val="24"/>
        </w:rPr>
        <w:t xml:space="preserve"> Recurrent Cerebrovascular Events</w:t>
      </w:r>
      <w:bookmarkEnd w:id="7"/>
    </w:p>
    <w:p w14:paraId="393CF3E6" w14:textId="77777777" w:rsidR="003B53BE" w:rsidRPr="00F43A76" w:rsidRDefault="00000000" w:rsidP="00F43A76">
      <w:pPr>
        <w:spacing w:after="210" w:line="480" w:lineRule="auto"/>
        <w:jc w:val="both"/>
        <w:rPr>
          <w:rFonts w:asciiTheme="majorBidi" w:hAnsiTheme="majorBidi" w:cstheme="majorBidi"/>
          <w:sz w:val="20"/>
          <w:szCs w:val="20"/>
        </w:rPr>
      </w:pPr>
      <w:r w:rsidRPr="00F43A76">
        <w:rPr>
          <w:rFonts w:asciiTheme="majorBidi" w:eastAsia="source serif 4" w:hAnsiTheme="majorBidi" w:cstheme="majorBidi"/>
          <w:color w:val="000000"/>
          <w:sz w:val="20"/>
          <w:szCs w:val="20"/>
        </w:rPr>
        <w:t>A 70-year-old man with CKD stage 2 and recurrent transient ischemic attacks (TIAs) and non-cardioembolic ischemic strokes is evaluated for secondary prevention. There is no atrial fibrillation or other cardioembolic source.</w:t>
      </w:r>
    </w:p>
    <w:p w14:paraId="7265A01C" w14:textId="77777777" w:rsidR="003B53BE" w:rsidRPr="00F43A76" w:rsidRDefault="00000000" w:rsidP="00F43A76">
      <w:pPr>
        <w:spacing w:after="210" w:line="480" w:lineRule="auto"/>
        <w:jc w:val="both"/>
        <w:rPr>
          <w:rFonts w:asciiTheme="majorBidi" w:hAnsiTheme="majorBidi" w:cstheme="majorBidi"/>
          <w:sz w:val="20"/>
          <w:szCs w:val="20"/>
        </w:rPr>
      </w:pPr>
      <w:r w:rsidRPr="00F43A76">
        <w:rPr>
          <w:rFonts w:asciiTheme="majorBidi" w:eastAsia="source serif 4" w:hAnsiTheme="majorBidi" w:cstheme="majorBidi"/>
          <w:color w:val="000000"/>
          <w:sz w:val="20"/>
          <w:szCs w:val="20"/>
        </w:rPr>
        <w:t>Key points:</w:t>
      </w:r>
    </w:p>
    <w:p w14:paraId="3FBC3F0B" w14:textId="00B54DD7" w:rsidR="003B53BE" w:rsidRPr="00F43A76" w:rsidRDefault="00000000" w:rsidP="00F43A76">
      <w:pPr>
        <w:numPr>
          <w:ilvl w:val="0"/>
          <w:numId w:val="2"/>
        </w:numPr>
        <w:spacing w:before="105" w:after="105" w:line="480" w:lineRule="auto"/>
        <w:jc w:val="both"/>
        <w:rPr>
          <w:rFonts w:asciiTheme="majorBidi" w:hAnsiTheme="majorBidi" w:cstheme="majorBidi"/>
          <w:sz w:val="20"/>
          <w:szCs w:val="20"/>
        </w:rPr>
      </w:pPr>
      <w:r w:rsidRPr="00F43A76">
        <w:rPr>
          <w:rFonts w:asciiTheme="majorBidi" w:eastAsia="source serif 4" w:hAnsiTheme="majorBidi" w:cstheme="majorBidi"/>
          <w:color w:val="000000"/>
          <w:sz w:val="20"/>
          <w:szCs w:val="20"/>
        </w:rPr>
        <w:lastRenderedPageBreak/>
        <w:t xml:space="preserve">Antiplatelet therapy is recommended for secondary prevention after non-cardioembolic ischemic stroke or TIA; selection of aspirin, clopidogrel, or another evidence-based antiplatelet strategy should reflect the broader cerebrovascular guideline context and the patient’s bleeding risk </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45,46</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w:t>
      </w:r>
    </w:p>
    <w:p w14:paraId="33CB5FFD" w14:textId="77777777" w:rsidR="003B53BE" w:rsidRPr="00F43A76" w:rsidRDefault="00000000" w:rsidP="00F43A76">
      <w:pPr>
        <w:numPr>
          <w:ilvl w:val="0"/>
          <w:numId w:val="2"/>
        </w:numPr>
        <w:spacing w:before="105" w:after="105" w:line="480" w:lineRule="auto"/>
        <w:jc w:val="both"/>
        <w:rPr>
          <w:rFonts w:asciiTheme="majorBidi" w:hAnsiTheme="majorBidi" w:cstheme="majorBidi"/>
          <w:sz w:val="20"/>
          <w:szCs w:val="20"/>
        </w:rPr>
      </w:pPr>
      <w:r w:rsidRPr="00F43A76">
        <w:rPr>
          <w:rFonts w:asciiTheme="majorBidi" w:eastAsia="source serif 4" w:hAnsiTheme="majorBidi" w:cstheme="majorBidi"/>
          <w:color w:val="000000"/>
          <w:sz w:val="20"/>
          <w:szCs w:val="20"/>
        </w:rPr>
        <w:t>Oral anticoagulation with warfarin or a DOAC is not indicated solely for isolated non-cardioembolic TIA or stroke in the absence of AF or another definite cardioembolic source; it adds bleeding risk without established benefit.</w:t>
      </w:r>
    </w:p>
    <w:p w14:paraId="1C2E4255" w14:textId="6C1E7227" w:rsidR="003B53BE" w:rsidRPr="00F43A76" w:rsidRDefault="00000000" w:rsidP="00F43A76">
      <w:pPr>
        <w:numPr>
          <w:ilvl w:val="0"/>
          <w:numId w:val="2"/>
        </w:numPr>
        <w:spacing w:before="105" w:after="105" w:line="480" w:lineRule="auto"/>
        <w:jc w:val="both"/>
        <w:rPr>
          <w:rFonts w:asciiTheme="majorBidi" w:hAnsiTheme="majorBidi" w:cstheme="majorBidi"/>
          <w:sz w:val="20"/>
          <w:szCs w:val="20"/>
        </w:rPr>
      </w:pPr>
      <w:r w:rsidRPr="00F43A76">
        <w:rPr>
          <w:rFonts w:asciiTheme="majorBidi" w:eastAsia="source serif 4" w:hAnsiTheme="majorBidi" w:cstheme="majorBidi"/>
          <w:color w:val="000000"/>
          <w:sz w:val="20"/>
          <w:szCs w:val="20"/>
        </w:rPr>
        <w:t xml:space="preserve">In diabetic CKD, gastrointestinal and retinal bleeding risk should still be considered; gastroprotection and regular ophthalmologic follow-up are appropriate in higher-risk patients </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15,16,19,24</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w:t>
      </w:r>
    </w:p>
    <w:p w14:paraId="35B36D0E" w14:textId="77777777" w:rsidR="003B53BE" w:rsidRPr="00F43A76" w:rsidRDefault="00000000" w:rsidP="00F43A76">
      <w:pPr>
        <w:numPr>
          <w:ilvl w:val="0"/>
          <w:numId w:val="2"/>
        </w:numPr>
        <w:spacing w:before="105" w:after="105" w:line="480" w:lineRule="auto"/>
        <w:jc w:val="both"/>
        <w:rPr>
          <w:rFonts w:asciiTheme="majorBidi" w:hAnsiTheme="majorBidi" w:cstheme="majorBidi"/>
          <w:sz w:val="20"/>
          <w:szCs w:val="20"/>
        </w:rPr>
      </w:pPr>
      <w:r w:rsidRPr="00F43A76">
        <w:rPr>
          <w:rFonts w:asciiTheme="majorBidi" w:eastAsia="source serif 4" w:hAnsiTheme="majorBidi" w:cstheme="majorBidi"/>
          <w:color w:val="000000"/>
          <w:sz w:val="20"/>
          <w:szCs w:val="20"/>
        </w:rPr>
        <w:t>In this scenario, antiplatelet therapy rather than anticoagulation is preferred, and DOACs should not be prescribed without an independent indication for anticoagulation.</w:t>
      </w:r>
    </w:p>
    <w:p w14:paraId="3F6B7213" w14:textId="77777777" w:rsidR="003B53BE" w:rsidRPr="00F43A76" w:rsidRDefault="00000000" w:rsidP="00F43A76">
      <w:pPr>
        <w:spacing w:before="315" w:after="105" w:line="480" w:lineRule="auto"/>
        <w:ind w:left="-30"/>
        <w:jc w:val="both"/>
        <w:rPr>
          <w:rFonts w:asciiTheme="majorBidi" w:hAnsiTheme="majorBidi" w:cstheme="majorBidi"/>
          <w:sz w:val="24"/>
          <w:szCs w:val="24"/>
        </w:rPr>
      </w:pPr>
      <w:bookmarkStart w:id="8" w:name="scenario_4_life_threatening_gastr_eda07c"/>
      <w:r w:rsidRPr="00F43A76">
        <w:rPr>
          <w:rFonts w:asciiTheme="majorBidi" w:eastAsia="source serif 4" w:hAnsiTheme="majorBidi" w:cstheme="majorBidi"/>
          <w:b/>
          <w:color w:val="000000"/>
          <w:sz w:val="24"/>
          <w:szCs w:val="24"/>
        </w:rPr>
        <w:t>Scenario 4 — Life-Threatening Gastrointestinal Bleeding on Anticoagulation in Advanced CKD</w:t>
      </w:r>
      <w:bookmarkEnd w:id="8"/>
    </w:p>
    <w:p w14:paraId="18042164" w14:textId="77777777" w:rsidR="003B53BE" w:rsidRPr="00F43A76" w:rsidRDefault="00000000" w:rsidP="00F43A76">
      <w:pPr>
        <w:spacing w:after="210" w:line="480" w:lineRule="auto"/>
        <w:jc w:val="both"/>
        <w:rPr>
          <w:rFonts w:asciiTheme="majorBidi" w:hAnsiTheme="majorBidi" w:cstheme="majorBidi"/>
          <w:sz w:val="20"/>
          <w:szCs w:val="20"/>
        </w:rPr>
      </w:pPr>
      <w:r w:rsidRPr="00F43A76">
        <w:rPr>
          <w:rFonts w:asciiTheme="majorBidi" w:eastAsia="source serif 4" w:hAnsiTheme="majorBidi" w:cstheme="majorBidi"/>
          <w:color w:val="000000"/>
          <w:sz w:val="20"/>
          <w:szCs w:val="20"/>
        </w:rPr>
        <w:t>A 68-year-old man with CKD stage 4 receiving warfarin plus dual antiplatelet therapy presents with life-threatening gastrointestinal bleeding.</w:t>
      </w:r>
    </w:p>
    <w:p w14:paraId="7181AEAD" w14:textId="77777777" w:rsidR="003B53BE" w:rsidRPr="00F43A76" w:rsidRDefault="00000000" w:rsidP="00F43A76">
      <w:pPr>
        <w:spacing w:before="315" w:after="105" w:line="480" w:lineRule="auto"/>
        <w:ind w:left="-30"/>
        <w:jc w:val="both"/>
        <w:rPr>
          <w:rFonts w:asciiTheme="majorBidi" w:hAnsiTheme="majorBidi" w:cstheme="majorBidi"/>
          <w:sz w:val="20"/>
          <w:szCs w:val="20"/>
        </w:rPr>
      </w:pPr>
      <w:bookmarkStart w:id="9" w:name="management_priorities"/>
      <w:r w:rsidRPr="00F43A76">
        <w:rPr>
          <w:rFonts w:asciiTheme="majorBidi" w:eastAsia="source serif 4" w:hAnsiTheme="majorBidi" w:cstheme="majorBidi"/>
          <w:b/>
          <w:color w:val="000000"/>
          <w:sz w:val="20"/>
          <w:szCs w:val="20"/>
        </w:rPr>
        <w:t>Management priorities</w:t>
      </w:r>
      <w:bookmarkEnd w:id="9"/>
    </w:p>
    <w:p w14:paraId="17170947" w14:textId="3BD0C7D4" w:rsidR="003B53BE" w:rsidRPr="00F43A76" w:rsidRDefault="00000000" w:rsidP="00F43A76">
      <w:pPr>
        <w:numPr>
          <w:ilvl w:val="0"/>
          <w:numId w:val="3"/>
        </w:numPr>
        <w:spacing w:before="105" w:after="105" w:line="480" w:lineRule="auto"/>
        <w:jc w:val="both"/>
        <w:rPr>
          <w:rFonts w:asciiTheme="majorBidi" w:hAnsiTheme="majorBidi" w:cstheme="majorBidi"/>
          <w:sz w:val="20"/>
          <w:szCs w:val="20"/>
        </w:rPr>
      </w:pPr>
      <w:r w:rsidRPr="00F43A76">
        <w:rPr>
          <w:rFonts w:asciiTheme="majorBidi" w:eastAsia="source serif 4" w:hAnsiTheme="majorBidi" w:cstheme="majorBidi"/>
          <w:color w:val="000000"/>
          <w:sz w:val="20"/>
          <w:szCs w:val="20"/>
        </w:rPr>
        <w:t xml:space="preserve">Provide immediate haemodynamic stabilization, packed red blood cell transfusion when clinically indicated, and careful volume management in advanced CKD </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83,86</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w:t>
      </w:r>
    </w:p>
    <w:p w14:paraId="69CBA7F5" w14:textId="2B9BD63E" w:rsidR="003B53BE" w:rsidRPr="00F43A76" w:rsidRDefault="00000000" w:rsidP="00F43A76">
      <w:pPr>
        <w:numPr>
          <w:ilvl w:val="0"/>
          <w:numId w:val="3"/>
        </w:numPr>
        <w:spacing w:before="105" w:after="105" w:line="480" w:lineRule="auto"/>
        <w:jc w:val="both"/>
        <w:rPr>
          <w:rFonts w:asciiTheme="majorBidi" w:hAnsiTheme="majorBidi" w:cstheme="majorBidi"/>
          <w:sz w:val="20"/>
          <w:szCs w:val="20"/>
        </w:rPr>
      </w:pPr>
      <w:r w:rsidRPr="00F43A76">
        <w:rPr>
          <w:rFonts w:asciiTheme="majorBidi" w:eastAsia="source serif 4" w:hAnsiTheme="majorBidi" w:cstheme="majorBidi"/>
          <w:color w:val="000000"/>
          <w:sz w:val="20"/>
          <w:szCs w:val="20"/>
        </w:rPr>
        <w:t xml:space="preserve">Reverse warfarin rapidly with intravenous vitamin K plus 4-factor prothrombin complex concentrate (PCC); PCC is generally preferred over fresh frozen plasma for life-threatening VKA-associated bleeding because reversal is faster and volume exposure is lower </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83,86</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w:t>
      </w:r>
    </w:p>
    <w:p w14:paraId="44F74090" w14:textId="5F3E950E" w:rsidR="003B53BE" w:rsidRPr="00F43A76" w:rsidRDefault="00000000" w:rsidP="00F43A76">
      <w:pPr>
        <w:numPr>
          <w:ilvl w:val="0"/>
          <w:numId w:val="3"/>
        </w:numPr>
        <w:spacing w:before="105" w:after="105" w:line="480" w:lineRule="auto"/>
        <w:jc w:val="both"/>
        <w:rPr>
          <w:rFonts w:asciiTheme="majorBidi" w:hAnsiTheme="majorBidi" w:cstheme="majorBidi"/>
          <w:sz w:val="20"/>
          <w:szCs w:val="20"/>
        </w:rPr>
      </w:pPr>
      <w:r w:rsidRPr="00F43A76">
        <w:rPr>
          <w:rFonts w:asciiTheme="majorBidi" w:eastAsia="source serif 4" w:hAnsiTheme="majorBidi" w:cstheme="majorBidi"/>
          <w:color w:val="000000"/>
          <w:sz w:val="20"/>
          <w:szCs w:val="20"/>
        </w:rPr>
        <w:t xml:space="preserve">Temporarily interrupt antiplatelet therapy, while urgently involving cardiology if there is recent coronary stenting or another high-risk ischemic indication </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39,45,46</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w:t>
      </w:r>
    </w:p>
    <w:p w14:paraId="5C74B6FE" w14:textId="2D15A208" w:rsidR="003B53BE" w:rsidRPr="00F43A76" w:rsidRDefault="00000000" w:rsidP="00F43A76">
      <w:pPr>
        <w:numPr>
          <w:ilvl w:val="0"/>
          <w:numId w:val="3"/>
        </w:numPr>
        <w:spacing w:before="105" w:after="105" w:line="480" w:lineRule="auto"/>
        <w:jc w:val="both"/>
        <w:rPr>
          <w:rFonts w:asciiTheme="majorBidi" w:hAnsiTheme="majorBidi" w:cstheme="majorBidi"/>
          <w:sz w:val="20"/>
          <w:szCs w:val="20"/>
        </w:rPr>
      </w:pPr>
      <w:r w:rsidRPr="00F43A76">
        <w:rPr>
          <w:rFonts w:asciiTheme="majorBidi" w:eastAsia="source serif 4" w:hAnsiTheme="majorBidi" w:cstheme="majorBidi"/>
          <w:color w:val="000000"/>
          <w:sz w:val="20"/>
          <w:szCs w:val="20"/>
        </w:rPr>
        <w:t xml:space="preserve">Perform hemodialysis without systemic anticoagulation when required. Regional citrate anticoagulation may be used where locally available and appropriate for a patient at very high bleeding risk </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67</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w:t>
      </w:r>
    </w:p>
    <w:p w14:paraId="049D1095" w14:textId="2A0F76F4" w:rsidR="003B53BE" w:rsidRPr="00F43A76" w:rsidRDefault="00000000" w:rsidP="00F43A76">
      <w:pPr>
        <w:numPr>
          <w:ilvl w:val="0"/>
          <w:numId w:val="3"/>
        </w:numPr>
        <w:spacing w:before="105" w:after="105" w:line="480" w:lineRule="auto"/>
        <w:jc w:val="both"/>
        <w:rPr>
          <w:rFonts w:asciiTheme="majorBidi" w:hAnsiTheme="majorBidi" w:cstheme="majorBidi"/>
          <w:sz w:val="20"/>
          <w:szCs w:val="20"/>
        </w:rPr>
      </w:pPr>
      <w:r w:rsidRPr="00F43A76">
        <w:rPr>
          <w:rFonts w:asciiTheme="majorBidi" w:eastAsia="source serif 4" w:hAnsiTheme="majorBidi" w:cstheme="majorBidi"/>
          <w:color w:val="000000"/>
          <w:sz w:val="20"/>
          <w:szCs w:val="20"/>
        </w:rPr>
        <w:lastRenderedPageBreak/>
        <w:t xml:space="preserve">After endoscopic haemostasis and clinical stabilization, reassess the indication, timing, and intensity of antithrombotic therapy on an individualized basis. Restart warfarin only for a compelling indication, such as a mechanical valve or recent VTE, with close INR monitoring. Given the history of life-threatening bleeding, de-escalation of antiplatelet treatment and continued reassessment of thrombotic versus bleeding risk are essential </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83,86</w:t>
      </w:r>
      <w:r w:rsidR="00F43A76">
        <w:rPr>
          <w:rFonts w:asciiTheme="majorBidi" w:eastAsia="source serif 4" w:hAnsiTheme="majorBidi" w:cstheme="majorBidi"/>
          <w:color w:val="000000"/>
          <w:sz w:val="20"/>
          <w:szCs w:val="20"/>
        </w:rPr>
        <w:t>)</w:t>
      </w:r>
      <w:r w:rsidRPr="00F43A76">
        <w:rPr>
          <w:rFonts w:asciiTheme="majorBidi" w:eastAsia="source serif 4" w:hAnsiTheme="majorBidi" w:cstheme="majorBidi"/>
          <w:color w:val="000000"/>
          <w:sz w:val="20"/>
          <w:szCs w:val="20"/>
        </w:rPr>
        <w:t>.</w:t>
      </w:r>
    </w:p>
    <w:p w14:paraId="55408302" w14:textId="7A170124" w:rsidR="003B53BE" w:rsidRDefault="003B53BE" w:rsidP="00F43A76">
      <w:pPr>
        <w:spacing w:after="210" w:line="360" w:lineRule="auto"/>
        <w:ind w:left="540"/>
      </w:pPr>
    </w:p>
    <w:sectPr w:rsidR="003B53BE">
      <w:footerReference w:type="default" r:id="rId7"/>
      <w:pgSz w:w="12240" w:h="15840"/>
      <w:pgMar w:top="1365" w:right="1365" w:bottom="1365" w:left="136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6AEE9" w14:textId="77777777" w:rsidR="00335560" w:rsidRDefault="00335560" w:rsidP="00F43A76">
      <w:pPr>
        <w:spacing w:after="0" w:line="240" w:lineRule="auto"/>
      </w:pPr>
      <w:r>
        <w:separator/>
      </w:r>
    </w:p>
  </w:endnote>
  <w:endnote w:type="continuationSeparator" w:id="0">
    <w:p w14:paraId="364A52BA" w14:textId="77777777" w:rsidR="00335560" w:rsidRDefault="00335560" w:rsidP="00F43A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ource serif 4">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1335283"/>
      <w:docPartObj>
        <w:docPartGallery w:val="Page Numbers (Bottom of Page)"/>
        <w:docPartUnique/>
      </w:docPartObj>
    </w:sdtPr>
    <w:sdtEndPr>
      <w:rPr>
        <w:noProof/>
      </w:rPr>
    </w:sdtEndPr>
    <w:sdtContent>
      <w:p w14:paraId="51AC33E2" w14:textId="0B828567" w:rsidR="00F43A76" w:rsidRDefault="00F43A7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94A7BC" w14:textId="77777777" w:rsidR="00F43A76" w:rsidRDefault="00F43A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99315" w14:textId="77777777" w:rsidR="00335560" w:rsidRDefault="00335560" w:rsidP="00F43A76">
      <w:pPr>
        <w:spacing w:after="0" w:line="240" w:lineRule="auto"/>
      </w:pPr>
      <w:r>
        <w:separator/>
      </w:r>
    </w:p>
  </w:footnote>
  <w:footnote w:type="continuationSeparator" w:id="0">
    <w:p w14:paraId="7242A231" w14:textId="77777777" w:rsidR="00335560" w:rsidRDefault="00335560" w:rsidP="00F43A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C1B27"/>
    <w:multiLevelType w:val="hybridMultilevel"/>
    <w:tmpl w:val="C3983584"/>
    <w:lvl w:ilvl="0" w:tplc="9ABC9320">
      <w:start w:val="55"/>
      <w:numFmt w:val="decimal"/>
      <w:lvlText w:val="%1."/>
      <w:lvlJc w:val="left"/>
      <w:pPr>
        <w:tabs>
          <w:tab w:val="num" w:pos="900"/>
        </w:tabs>
        <w:ind w:left="540" w:hanging="360"/>
      </w:pPr>
    </w:lvl>
    <w:lvl w:ilvl="1" w:tplc="C0B0DBBA">
      <w:numFmt w:val="decimal"/>
      <w:lvlText w:val=""/>
      <w:lvlJc w:val="left"/>
    </w:lvl>
    <w:lvl w:ilvl="2" w:tplc="E7BA86BA">
      <w:numFmt w:val="decimal"/>
      <w:lvlText w:val=""/>
      <w:lvlJc w:val="left"/>
    </w:lvl>
    <w:lvl w:ilvl="3" w:tplc="2D847416">
      <w:numFmt w:val="decimal"/>
      <w:lvlText w:val=""/>
      <w:lvlJc w:val="left"/>
    </w:lvl>
    <w:lvl w:ilvl="4" w:tplc="0040ECE2">
      <w:numFmt w:val="decimal"/>
      <w:lvlText w:val=""/>
      <w:lvlJc w:val="left"/>
    </w:lvl>
    <w:lvl w:ilvl="5" w:tplc="50205DE8">
      <w:numFmt w:val="decimal"/>
      <w:lvlText w:val=""/>
      <w:lvlJc w:val="left"/>
    </w:lvl>
    <w:lvl w:ilvl="6" w:tplc="10BC6784">
      <w:numFmt w:val="decimal"/>
      <w:lvlText w:val=""/>
      <w:lvlJc w:val="left"/>
    </w:lvl>
    <w:lvl w:ilvl="7" w:tplc="B2F2A33E">
      <w:numFmt w:val="decimal"/>
      <w:lvlText w:val=""/>
      <w:lvlJc w:val="left"/>
    </w:lvl>
    <w:lvl w:ilvl="8" w:tplc="EA6A71CC">
      <w:numFmt w:val="decimal"/>
      <w:lvlText w:val=""/>
      <w:lvlJc w:val="left"/>
    </w:lvl>
  </w:abstractNum>
  <w:abstractNum w:abstractNumId="1" w15:restartNumberingAfterBreak="0">
    <w:nsid w:val="130E36BD"/>
    <w:multiLevelType w:val="hybridMultilevel"/>
    <w:tmpl w:val="7C1A7B2C"/>
    <w:lvl w:ilvl="0" w:tplc="A9941072">
      <w:start w:val="1"/>
      <w:numFmt w:val="bullet"/>
      <w:lvlText w:val=""/>
      <w:lvlJc w:val="left"/>
      <w:pPr>
        <w:tabs>
          <w:tab w:val="num" w:pos="900"/>
        </w:tabs>
        <w:ind w:left="540" w:hanging="360"/>
      </w:pPr>
      <w:rPr>
        <w:rFonts w:ascii="Symbol" w:hAnsi="Symbol" w:hint="default"/>
      </w:rPr>
    </w:lvl>
    <w:lvl w:ilvl="1" w:tplc="651C40A4">
      <w:numFmt w:val="decimal"/>
      <w:lvlText w:val=""/>
      <w:lvlJc w:val="left"/>
    </w:lvl>
    <w:lvl w:ilvl="2" w:tplc="5E2A0ADA">
      <w:numFmt w:val="decimal"/>
      <w:lvlText w:val=""/>
      <w:lvlJc w:val="left"/>
    </w:lvl>
    <w:lvl w:ilvl="3" w:tplc="A6B0286A">
      <w:numFmt w:val="decimal"/>
      <w:lvlText w:val=""/>
      <w:lvlJc w:val="left"/>
    </w:lvl>
    <w:lvl w:ilvl="4" w:tplc="F260E1E6">
      <w:numFmt w:val="decimal"/>
      <w:lvlText w:val=""/>
      <w:lvlJc w:val="left"/>
    </w:lvl>
    <w:lvl w:ilvl="5" w:tplc="EDE028DC">
      <w:numFmt w:val="decimal"/>
      <w:lvlText w:val=""/>
      <w:lvlJc w:val="left"/>
    </w:lvl>
    <w:lvl w:ilvl="6" w:tplc="C2DE661A">
      <w:numFmt w:val="decimal"/>
      <w:lvlText w:val=""/>
      <w:lvlJc w:val="left"/>
    </w:lvl>
    <w:lvl w:ilvl="7" w:tplc="51F22938">
      <w:numFmt w:val="decimal"/>
      <w:lvlText w:val=""/>
      <w:lvlJc w:val="left"/>
    </w:lvl>
    <w:lvl w:ilvl="8" w:tplc="B91C1880">
      <w:numFmt w:val="decimal"/>
      <w:lvlText w:val=""/>
      <w:lvlJc w:val="left"/>
    </w:lvl>
  </w:abstractNum>
  <w:abstractNum w:abstractNumId="2" w15:restartNumberingAfterBreak="0">
    <w:nsid w:val="144303F2"/>
    <w:multiLevelType w:val="hybridMultilevel"/>
    <w:tmpl w:val="2AD6CD78"/>
    <w:lvl w:ilvl="0" w:tplc="F7948BA2">
      <w:start w:val="13"/>
      <w:numFmt w:val="decimal"/>
      <w:lvlText w:val="%1."/>
      <w:lvlJc w:val="left"/>
      <w:pPr>
        <w:tabs>
          <w:tab w:val="num" w:pos="900"/>
        </w:tabs>
        <w:ind w:left="540" w:hanging="360"/>
      </w:pPr>
    </w:lvl>
    <w:lvl w:ilvl="1" w:tplc="4A4A7F14">
      <w:numFmt w:val="decimal"/>
      <w:lvlText w:val=""/>
      <w:lvlJc w:val="left"/>
    </w:lvl>
    <w:lvl w:ilvl="2" w:tplc="B8B8FA6A">
      <w:numFmt w:val="decimal"/>
      <w:lvlText w:val=""/>
      <w:lvlJc w:val="left"/>
    </w:lvl>
    <w:lvl w:ilvl="3" w:tplc="692E8FC2">
      <w:numFmt w:val="decimal"/>
      <w:lvlText w:val=""/>
      <w:lvlJc w:val="left"/>
    </w:lvl>
    <w:lvl w:ilvl="4" w:tplc="ABEE4A62">
      <w:numFmt w:val="decimal"/>
      <w:lvlText w:val=""/>
      <w:lvlJc w:val="left"/>
    </w:lvl>
    <w:lvl w:ilvl="5" w:tplc="15A6F11C">
      <w:numFmt w:val="decimal"/>
      <w:lvlText w:val=""/>
      <w:lvlJc w:val="left"/>
    </w:lvl>
    <w:lvl w:ilvl="6" w:tplc="63529854">
      <w:numFmt w:val="decimal"/>
      <w:lvlText w:val=""/>
      <w:lvlJc w:val="left"/>
    </w:lvl>
    <w:lvl w:ilvl="7" w:tplc="33E4FE20">
      <w:numFmt w:val="decimal"/>
      <w:lvlText w:val=""/>
      <w:lvlJc w:val="left"/>
    </w:lvl>
    <w:lvl w:ilvl="8" w:tplc="CD466A5C">
      <w:numFmt w:val="decimal"/>
      <w:lvlText w:val=""/>
      <w:lvlJc w:val="left"/>
    </w:lvl>
  </w:abstractNum>
  <w:abstractNum w:abstractNumId="3" w15:restartNumberingAfterBreak="0">
    <w:nsid w:val="1C5B73F6"/>
    <w:multiLevelType w:val="hybridMultilevel"/>
    <w:tmpl w:val="0B68D3BC"/>
    <w:lvl w:ilvl="0" w:tplc="6F72EC56">
      <w:start w:val="1"/>
      <w:numFmt w:val="bullet"/>
      <w:lvlText w:val=""/>
      <w:lvlJc w:val="left"/>
      <w:pPr>
        <w:tabs>
          <w:tab w:val="num" w:pos="900"/>
        </w:tabs>
        <w:ind w:left="540" w:hanging="360"/>
      </w:pPr>
      <w:rPr>
        <w:rFonts w:ascii="Symbol" w:hAnsi="Symbol" w:hint="default"/>
      </w:rPr>
    </w:lvl>
    <w:lvl w:ilvl="1" w:tplc="5E625008">
      <w:numFmt w:val="decimal"/>
      <w:lvlText w:val=""/>
      <w:lvlJc w:val="left"/>
    </w:lvl>
    <w:lvl w:ilvl="2" w:tplc="C710246E">
      <w:numFmt w:val="decimal"/>
      <w:lvlText w:val=""/>
      <w:lvlJc w:val="left"/>
    </w:lvl>
    <w:lvl w:ilvl="3" w:tplc="0DC6D586">
      <w:numFmt w:val="decimal"/>
      <w:lvlText w:val=""/>
      <w:lvlJc w:val="left"/>
    </w:lvl>
    <w:lvl w:ilvl="4" w:tplc="0C849FD8">
      <w:numFmt w:val="decimal"/>
      <w:lvlText w:val=""/>
      <w:lvlJc w:val="left"/>
    </w:lvl>
    <w:lvl w:ilvl="5" w:tplc="C27E0FCC">
      <w:numFmt w:val="decimal"/>
      <w:lvlText w:val=""/>
      <w:lvlJc w:val="left"/>
    </w:lvl>
    <w:lvl w:ilvl="6" w:tplc="4944482E">
      <w:numFmt w:val="decimal"/>
      <w:lvlText w:val=""/>
      <w:lvlJc w:val="left"/>
    </w:lvl>
    <w:lvl w:ilvl="7" w:tplc="70666274">
      <w:numFmt w:val="decimal"/>
      <w:lvlText w:val=""/>
      <w:lvlJc w:val="left"/>
    </w:lvl>
    <w:lvl w:ilvl="8" w:tplc="8A8ED886">
      <w:numFmt w:val="decimal"/>
      <w:lvlText w:val=""/>
      <w:lvlJc w:val="left"/>
    </w:lvl>
  </w:abstractNum>
  <w:abstractNum w:abstractNumId="4" w15:restartNumberingAfterBreak="0">
    <w:nsid w:val="31636734"/>
    <w:multiLevelType w:val="hybridMultilevel"/>
    <w:tmpl w:val="E69A5856"/>
    <w:lvl w:ilvl="0" w:tplc="5DD63CD2">
      <w:start w:val="1"/>
      <w:numFmt w:val="bullet"/>
      <w:lvlText w:val=""/>
      <w:lvlJc w:val="left"/>
      <w:pPr>
        <w:tabs>
          <w:tab w:val="num" w:pos="900"/>
        </w:tabs>
        <w:ind w:left="540" w:hanging="360"/>
      </w:pPr>
      <w:rPr>
        <w:rFonts w:ascii="Symbol" w:hAnsi="Symbol" w:hint="default"/>
      </w:rPr>
    </w:lvl>
    <w:lvl w:ilvl="1" w:tplc="D2DE2DD6">
      <w:numFmt w:val="decimal"/>
      <w:lvlText w:val=""/>
      <w:lvlJc w:val="left"/>
    </w:lvl>
    <w:lvl w:ilvl="2" w:tplc="E23213AC">
      <w:numFmt w:val="decimal"/>
      <w:lvlText w:val=""/>
      <w:lvlJc w:val="left"/>
    </w:lvl>
    <w:lvl w:ilvl="3" w:tplc="FE7C68A0">
      <w:numFmt w:val="decimal"/>
      <w:lvlText w:val=""/>
      <w:lvlJc w:val="left"/>
    </w:lvl>
    <w:lvl w:ilvl="4" w:tplc="4840194E">
      <w:numFmt w:val="decimal"/>
      <w:lvlText w:val=""/>
      <w:lvlJc w:val="left"/>
    </w:lvl>
    <w:lvl w:ilvl="5" w:tplc="43162D24">
      <w:numFmt w:val="decimal"/>
      <w:lvlText w:val=""/>
      <w:lvlJc w:val="left"/>
    </w:lvl>
    <w:lvl w:ilvl="6" w:tplc="36DAB752">
      <w:numFmt w:val="decimal"/>
      <w:lvlText w:val=""/>
      <w:lvlJc w:val="left"/>
    </w:lvl>
    <w:lvl w:ilvl="7" w:tplc="7DF48A0A">
      <w:numFmt w:val="decimal"/>
      <w:lvlText w:val=""/>
      <w:lvlJc w:val="left"/>
    </w:lvl>
    <w:lvl w:ilvl="8" w:tplc="27101F18">
      <w:numFmt w:val="decimal"/>
      <w:lvlText w:val=""/>
      <w:lvlJc w:val="left"/>
    </w:lvl>
  </w:abstractNum>
  <w:num w:numId="1" w16cid:durableId="1854107598">
    <w:abstractNumId w:val="1"/>
  </w:num>
  <w:num w:numId="2" w16cid:durableId="1964144116">
    <w:abstractNumId w:val="4"/>
  </w:num>
  <w:num w:numId="3" w16cid:durableId="1677491120">
    <w:abstractNumId w:val="3"/>
  </w:num>
  <w:num w:numId="4" w16cid:durableId="52505612">
    <w:abstractNumId w:val="2"/>
  </w:num>
  <w:num w:numId="5" w16cid:durableId="1462647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3BE"/>
    <w:rsid w:val="00335560"/>
    <w:rsid w:val="003B53BE"/>
    <w:rsid w:val="00A94AD0"/>
    <w:rsid w:val="00BC3437"/>
    <w:rsid w:val="00F43A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F2698"/>
  <w15:docId w15:val="{BA2BD903-AC5B-4B91-AADD-75691E35D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Theme="minorHAnsi" w:cstheme="minorBidi"/>
        <w:sz w:val="21"/>
        <w:szCs w:val="22"/>
        <w:lang w:val="en-U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paragraph" w:styleId="Header">
    <w:name w:val="header"/>
    <w:basedOn w:val="Normal"/>
    <w:link w:val="HeaderChar"/>
    <w:uiPriority w:val="99"/>
    <w:unhideWhenUsed/>
    <w:rsid w:val="00F43A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3A76"/>
  </w:style>
  <w:style w:type="paragraph" w:styleId="Footer">
    <w:name w:val="footer"/>
    <w:basedOn w:val="Normal"/>
    <w:link w:val="FooterChar"/>
    <w:uiPriority w:val="99"/>
    <w:unhideWhenUsed/>
    <w:rsid w:val="00F43A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3A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1314</Words>
  <Characters>7496</Characters>
  <Application>Microsoft Office Word</Application>
  <DocSecurity>0</DocSecurity>
  <Lines>62</Lines>
  <Paragraphs>17</Paragraphs>
  <ScaleCrop>false</ScaleCrop>
  <Company/>
  <LinksUpToDate>false</LinksUpToDate>
  <CharactersWithSpaces>8793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hoda mohamed</cp:lastModifiedBy>
  <cp:revision>2</cp:revision>
  <dcterms:created xsi:type="dcterms:W3CDTF">2026-08-31T22:34:00Z</dcterms:created>
  <dcterms:modified xsi:type="dcterms:W3CDTF">2026-08-31T22:34:00Z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25f7ce13-3831-4ad0-9542-bb96f4cf2116</vt:lpwstr>
  </property>
</Properties>
</file>