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21" w:rsidRPr="00B73F46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b/>
          <w:bCs/>
          <w:lang w:val="en-GB"/>
        </w:rPr>
      </w:pPr>
      <w:r w:rsidRPr="00B73F46">
        <w:rPr>
          <w:rFonts w:ascii="Calibri" w:eastAsia="Calibri" w:hAnsi="Calibri" w:cs="Arial"/>
          <w:b/>
          <w:bCs/>
          <w:lang w:val="en-GB"/>
        </w:rPr>
        <w:t xml:space="preserve">Supplement (1): Population included </w:t>
      </w: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2B5B21" w:rsidRPr="002B5B21" w:rsidTr="00B73F46">
        <w:tc>
          <w:tcPr>
            <w:tcW w:w="2199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Polyarthritis</w:t>
            </w:r>
          </w:p>
        </w:tc>
        <w:tc>
          <w:tcPr>
            <w:tcW w:w="829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arthritis affecting 5 or more joints during the first 6 months of disease whether rheumatoid factor positive or negative</w:t>
            </w:r>
          </w:p>
        </w:tc>
      </w:tr>
      <w:tr w:rsidR="002B5B21" w:rsidRPr="002B5B21" w:rsidTr="00B73F46">
        <w:tc>
          <w:tcPr>
            <w:tcW w:w="2199" w:type="dxa"/>
            <w:vMerge w:val="restart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proofErr w:type="spellStart"/>
            <w:r w:rsidRPr="00B73F46">
              <w:rPr>
                <w:rFonts w:ascii="Calibri" w:eastAsia="Calibri" w:hAnsi="Calibri" w:cs="Arial"/>
                <w:b/>
                <w:bCs/>
              </w:rPr>
              <w:t>Oligoarthritis</w:t>
            </w:r>
            <w:proofErr w:type="spellEnd"/>
          </w:p>
        </w:tc>
        <w:tc>
          <w:tcPr>
            <w:tcW w:w="829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proofErr w:type="spellStart"/>
            <w:r w:rsidRPr="002B5B21">
              <w:rPr>
                <w:rFonts w:ascii="Calibri" w:eastAsia="Calibri" w:hAnsi="Calibri" w:cs="Arial"/>
              </w:rPr>
              <w:t>Oligoarthritis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is diagnosed if there is arthritis affecting 1 to 4 joints during the first 6 months.</w:t>
            </w:r>
          </w:p>
        </w:tc>
      </w:tr>
      <w:tr w:rsidR="002B5B21" w:rsidRPr="002B5B21" w:rsidTr="00B73F46">
        <w:tc>
          <w:tcPr>
            <w:tcW w:w="2199" w:type="dxa"/>
            <w:vMerge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29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Persistent </w:t>
            </w:r>
            <w:proofErr w:type="spellStart"/>
            <w:r w:rsidRPr="002B5B21">
              <w:rPr>
                <w:rFonts w:ascii="Calibri" w:eastAsia="Calibri" w:hAnsi="Calibri" w:cs="Arial"/>
              </w:rPr>
              <w:t>oligoarthritis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affects up to 4 joints throughout the course of the disease</w:t>
            </w:r>
          </w:p>
        </w:tc>
      </w:tr>
      <w:tr w:rsidR="002B5B21" w:rsidRPr="002B5B21" w:rsidTr="00B73F46">
        <w:tc>
          <w:tcPr>
            <w:tcW w:w="2199" w:type="dxa"/>
            <w:vMerge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29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Extended </w:t>
            </w:r>
            <w:proofErr w:type="spellStart"/>
            <w:r w:rsidRPr="002B5B21">
              <w:rPr>
                <w:rFonts w:ascii="Calibri" w:eastAsia="Calibri" w:hAnsi="Calibri" w:cs="Arial"/>
              </w:rPr>
              <w:t>Oligoarthritis</w:t>
            </w:r>
            <w:proofErr w:type="spellEnd"/>
            <w:r w:rsidRPr="002B5B21">
              <w:rPr>
                <w:rFonts w:ascii="Calibri" w:eastAsia="Calibri" w:hAnsi="Calibri" w:cs="Arial"/>
              </w:rPr>
              <w:t>: affects more than 4 joints after the first 6 months of disease</w:t>
            </w:r>
          </w:p>
        </w:tc>
      </w:tr>
      <w:tr w:rsidR="002B5B21" w:rsidRPr="002B5B21" w:rsidTr="00B73F46">
        <w:tc>
          <w:tcPr>
            <w:tcW w:w="2199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Systemic juvenile arthritis</w:t>
            </w:r>
          </w:p>
        </w:tc>
        <w:tc>
          <w:tcPr>
            <w:tcW w:w="8292" w:type="dxa"/>
          </w:tcPr>
          <w:p w:rsidR="002B5B21" w:rsidRPr="002B5B21" w:rsidRDefault="00B73F46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Is</w:t>
            </w:r>
            <w:r w:rsidR="002B5B21" w:rsidRPr="002B5B21">
              <w:rPr>
                <w:rFonts w:ascii="Calibri" w:eastAsia="Calibri" w:hAnsi="Calibri" w:cs="Arial"/>
              </w:rPr>
              <w:t xml:space="preserve"> diagnosed if there is arthritis in 1 or more joints with, or preceded by, fever of at least 2 weeks’ duration. Signs or symptoms must have been documented daily for at least 3 days and accompanied by 1 or more of the following: evanescent rash, generalised lymphadenopathy, </w:t>
            </w:r>
            <w:proofErr w:type="spellStart"/>
            <w:r w:rsidR="002B5B21" w:rsidRPr="002B5B21">
              <w:rPr>
                <w:rFonts w:ascii="Calibri" w:eastAsia="Calibri" w:hAnsi="Calibri" w:cs="Arial"/>
              </w:rPr>
              <w:t>hepato</w:t>
            </w:r>
            <w:proofErr w:type="spellEnd"/>
            <w:r w:rsidR="002B5B21" w:rsidRPr="002B5B21">
              <w:rPr>
                <w:rFonts w:ascii="Calibri" w:eastAsia="Calibri" w:hAnsi="Calibri" w:cs="Arial"/>
              </w:rPr>
              <w:t xml:space="preserve">/splenomegaly, </w:t>
            </w:r>
            <w:proofErr w:type="spellStart"/>
            <w:proofErr w:type="gramStart"/>
            <w:r w:rsidR="002B5B21" w:rsidRPr="002B5B21">
              <w:rPr>
                <w:rFonts w:ascii="Calibri" w:eastAsia="Calibri" w:hAnsi="Calibri" w:cs="Arial"/>
              </w:rPr>
              <w:t>serositis</w:t>
            </w:r>
            <w:proofErr w:type="spellEnd"/>
            <w:proofErr w:type="gramEnd"/>
            <w:r w:rsidR="002B5B21" w:rsidRPr="002B5B21">
              <w:rPr>
                <w:rFonts w:ascii="Calibri" w:eastAsia="Calibri" w:hAnsi="Calibri" w:cs="Arial"/>
              </w:rPr>
              <w:t>.</w:t>
            </w:r>
          </w:p>
        </w:tc>
      </w:tr>
      <w:tr w:rsidR="002B5B21" w:rsidRPr="002B5B21" w:rsidTr="00B73F46">
        <w:tc>
          <w:tcPr>
            <w:tcW w:w="2199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proofErr w:type="spellStart"/>
            <w:r w:rsidRPr="00B73F46">
              <w:rPr>
                <w:rFonts w:ascii="Calibri" w:eastAsia="Calibri" w:hAnsi="Calibri" w:cs="Arial"/>
                <w:b/>
                <w:bCs/>
              </w:rPr>
              <w:t>enthesitis</w:t>
            </w:r>
            <w:proofErr w:type="spellEnd"/>
            <w:r w:rsidRPr="00B73F46">
              <w:rPr>
                <w:rFonts w:ascii="Calibri" w:eastAsia="Calibri" w:hAnsi="Calibri" w:cs="Arial"/>
                <w:b/>
                <w:bCs/>
              </w:rPr>
              <w:t>/spondylitis-related JIA</w:t>
            </w:r>
          </w:p>
        </w:tc>
        <w:tc>
          <w:tcPr>
            <w:tcW w:w="829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-related arthritis is diagnosed if there is arthritis and/or 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with at least 2 of the following: presence or history of sacroiliac joint tenderness with or without inflammatory lumbosacral pain; presence of HLA B27 antigen; onset of arthritis in a male over 6 years of age; acute (symptomatic) anterior uveitis; history of </w:t>
            </w:r>
            <w:proofErr w:type="spellStart"/>
            <w:r w:rsidRPr="002B5B21">
              <w:rPr>
                <w:rFonts w:ascii="Calibri" w:eastAsia="Calibri" w:hAnsi="Calibri" w:cs="Arial"/>
              </w:rPr>
              <w:t>ankylosing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spondylitis, 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-related arthritis, 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with inflammatory bowel disease, Reiter’s syndrome, or acute anterior uveitis in a first-degree relative.</w:t>
            </w:r>
          </w:p>
        </w:tc>
      </w:tr>
    </w:tbl>
    <w:p w:rsidR="002B5B21" w:rsidRP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Pr="00B73F46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b/>
          <w:bCs/>
          <w:lang w:val="en-GB"/>
        </w:rPr>
      </w:pPr>
      <w:r w:rsidRPr="00B73F46">
        <w:rPr>
          <w:rFonts w:ascii="Calibri" w:eastAsia="Calibri" w:hAnsi="Calibri" w:cs="Arial"/>
          <w:b/>
          <w:bCs/>
          <w:lang w:val="en-GB"/>
        </w:rPr>
        <w:lastRenderedPageBreak/>
        <w:t>Supplement (2) Interventions included in the literature review:</w:t>
      </w:r>
    </w:p>
    <w:tbl>
      <w:tblPr>
        <w:tblStyle w:val="TableGrid"/>
        <w:tblW w:w="10632" w:type="dxa"/>
        <w:tblInd w:w="-1139" w:type="dxa"/>
        <w:tblLook w:val="04A0" w:firstRow="1" w:lastRow="0" w:firstColumn="1" w:lastColumn="0" w:noHBand="0" w:noVBand="1"/>
      </w:tblPr>
      <w:tblGrid>
        <w:gridCol w:w="2800"/>
        <w:gridCol w:w="7832"/>
      </w:tblGrid>
      <w:tr w:rsidR="002B5B21" w:rsidRPr="002B5B21" w:rsidTr="00B73F46">
        <w:tc>
          <w:tcPr>
            <w:tcW w:w="2800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NSAIDs</w:t>
            </w:r>
          </w:p>
        </w:tc>
        <w:tc>
          <w:tcPr>
            <w:tcW w:w="783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Diclofenac, Ibuprofen, Naproxen, Indomethacin, Meloxicam,  </w:t>
            </w:r>
            <w:proofErr w:type="spellStart"/>
            <w:r w:rsidRPr="002B5B21">
              <w:rPr>
                <w:rFonts w:ascii="Calibri" w:eastAsia="Calibri" w:hAnsi="Calibri" w:cs="Arial"/>
              </w:rPr>
              <w:t>Celecoxib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Etoricoxib</w:t>
            </w:r>
            <w:proofErr w:type="spellEnd"/>
          </w:p>
        </w:tc>
      </w:tr>
      <w:tr w:rsidR="002B5B21" w:rsidRPr="002B5B21" w:rsidTr="00B73F46">
        <w:tc>
          <w:tcPr>
            <w:tcW w:w="2800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DMARDs</w:t>
            </w:r>
          </w:p>
        </w:tc>
        <w:tc>
          <w:tcPr>
            <w:tcW w:w="783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Methotrexate, </w:t>
            </w:r>
            <w:proofErr w:type="spellStart"/>
            <w:r w:rsidRPr="002B5B21">
              <w:rPr>
                <w:rFonts w:ascii="Calibri" w:eastAsia="Calibri" w:hAnsi="Calibri" w:cs="Arial"/>
              </w:rPr>
              <w:t>Leflunomide</w:t>
            </w:r>
            <w:proofErr w:type="spellEnd"/>
            <w:r w:rsidRPr="002B5B21">
              <w:rPr>
                <w:rFonts w:ascii="Calibri" w:eastAsia="Calibri" w:hAnsi="Calibri" w:cs="Arial"/>
              </w:rPr>
              <w:t>, sulfasalazine</w:t>
            </w:r>
          </w:p>
        </w:tc>
      </w:tr>
      <w:tr w:rsidR="002B5B21" w:rsidRPr="002B5B21" w:rsidTr="00B73F46">
        <w:tc>
          <w:tcPr>
            <w:tcW w:w="2800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Biologics</w:t>
            </w:r>
          </w:p>
        </w:tc>
        <w:tc>
          <w:tcPr>
            <w:tcW w:w="783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TNF-inhibitor: </w:t>
            </w:r>
            <w:proofErr w:type="spellStart"/>
            <w:r w:rsidRPr="002B5B21">
              <w:rPr>
                <w:rFonts w:ascii="Calibri" w:eastAsia="Calibri" w:hAnsi="Calibri" w:cs="Arial"/>
              </w:rPr>
              <w:t>Adalimumab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etanercept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golimumab</w:t>
            </w:r>
            <w:proofErr w:type="spellEnd"/>
            <w:r w:rsidRPr="002B5B21">
              <w:rPr>
                <w:rFonts w:ascii="Calibri" w:eastAsia="Calibri" w:hAnsi="Calibri" w:cs="Arial"/>
              </w:rPr>
              <w:t>, and infliximab</w:t>
            </w:r>
          </w:p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Non-TNF: </w:t>
            </w:r>
            <w:proofErr w:type="spellStart"/>
            <w:r w:rsidRPr="002B5B21">
              <w:rPr>
                <w:rFonts w:ascii="Calibri" w:eastAsia="Calibri" w:hAnsi="Calibri" w:cs="Arial"/>
              </w:rPr>
              <w:t>Anakinra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canakinumab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Tocilizumab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</w:t>
            </w:r>
            <w:proofErr w:type="spellStart"/>
            <w:r w:rsidRPr="002B5B21">
              <w:rPr>
                <w:rFonts w:ascii="Calibri" w:eastAsia="Calibri" w:hAnsi="Calibri" w:cs="Arial"/>
              </w:rPr>
              <w:t>Abatacept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(CTLA-4Ig)</w:t>
            </w:r>
          </w:p>
        </w:tc>
      </w:tr>
      <w:tr w:rsidR="002B5B21" w:rsidRPr="002B5B21" w:rsidTr="00B73F46">
        <w:tc>
          <w:tcPr>
            <w:tcW w:w="2800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Glucocorticoids</w:t>
            </w:r>
          </w:p>
        </w:tc>
        <w:tc>
          <w:tcPr>
            <w:tcW w:w="783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Oral: prednisolone or any other type</w:t>
            </w:r>
          </w:p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Injection: Triamcinolone </w:t>
            </w:r>
            <w:proofErr w:type="spellStart"/>
            <w:r w:rsidRPr="002B5B21">
              <w:rPr>
                <w:rFonts w:ascii="Calibri" w:eastAsia="Calibri" w:hAnsi="Calibri" w:cs="Arial"/>
              </w:rPr>
              <w:t>acetonide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, triamcinolone </w:t>
            </w:r>
            <w:proofErr w:type="spellStart"/>
            <w:r w:rsidRPr="002B5B21">
              <w:rPr>
                <w:rFonts w:ascii="Calibri" w:eastAsia="Calibri" w:hAnsi="Calibri" w:cs="Arial"/>
              </w:rPr>
              <w:t>hexacetonide</w:t>
            </w:r>
            <w:proofErr w:type="spellEnd"/>
            <w:r w:rsidRPr="002B5B21">
              <w:rPr>
                <w:rFonts w:ascii="Calibri" w:eastAsia="Calibri" w:hAnsi="Calibri" w:cs="Arial"/>
              </w:rPr>
              <w:t>, methylprednisolone acetate</w:t>
            </w:r>
          </w:p>
        </w:tc>
      </w:tr>
      <w:tr w:rsidR="002B5B21" w:rsidRPr="002B5B21" w:rsidTr="00B73F46">
        <w:tc>
          <w:tcPr>
            <w:tcW w:w="2800" w:type="dxa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Others</w:t>
            </w:r>
          </w:p>
        </w:tc>
        <w:tc>
          <w:tcPr>
            <w:tcW w:w="783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IVIG</w:t>
            </w:r>
          </w:p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Physical therapy, Occupational therapy</w:t>
            </w:r>
          </w:p>
        </w:tc>
      </w:tr>
    </w:tbl>
    <w:p w:rsidR="002B5B21" w:rsidRP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Pr="00B73F46" w:rsidRDefault="002B5B21" w:rsidP="00B73F46">
      <w:pPr>
        <w:bidi w:val="0"/>
        <w:spacing w:after="200" w:line="480" w:lineRule="auto"/>
        <w:jc w:val="both"/>
        <w:rPr>
          <w:rFonts w:ascii="Calibri" w:eastAsia="Calibri" w:hAnsi="Calibri" w:cs="Arial"/>
          <w:b/>
          <w:bCs/>
          <w:lang w:val="en-GB"/>
        </w:rPr>
      </w:pPr>
      <w:bookmarkStart w:id="0" w:name="_GoBack"/>
      <w:bookmarkEnd w:id="0"/>
      <w:r w:rsidRPr="00B73F46">
        <w:rPr>
          <w:rFonts w:ascii="Calibri" w:eastAsia="Calibri" w:hAnsi="Calibri" w:cs="Arial"/>
          <w:b/>
          <w:bCs/>
          <w:lang w:val="en-GB"/>
        </w:rPr>
        <w:lastRenderedPageBreak/>
        <w:t xml:space="preserve">Supplement (3) </w:t>
      </w:r>
      <w:r w:rsidR="00B73F46" w:rsidRPr="00B73F46">
        <w:rPr>
          <w:rFonts w:ascii="Calibri" w:eastAsia="Calibri" w:hAnsi="Calibri" w:cs="Arial"/>
          <w:b/>
          <w:bCs/>
          <w:lang w:val="en-GB"/>
        </w:rPr>
        <w:t>the</w:t>
      </w:r>
      <w:r w:rsidRPr="00B73F46">
        <w:rPr>
          <w:rFonts w:ascii="Calibri" w:eastAsia="Calibri" w:hAnsi="Calibri" w:cs="Arial"/>
          <w:b/>
          <w:bCs/>
          <w:lang w:val="en-GB"/>
        </w:rPr>
        <w:t xml:space="preserve"> critical outcomes, as chosen by the Core Team. They varied among the different subgroups of </w:t>
      </w:r>
      <w:proofErr w:type="spellStart"/>
      <w:r w:rsidRPr="00B73F46">
        <w:rPr>
          <w:rFonts w:ascii="Calibri" w:eastAsia="Calibri" w:hAnsi="Calibri" w:cs="Arial"/>
          <w:b/>
          <w:bCs/>
          <w:lang w:val="en-GB"/>
        </w:rPr>
        <w:t>pediatric</w:t>
      </w:r>
      <w:proofErr w:type="spellEnd"/>
      <w:r w:rsidRPr="00B73F46">
        <w:rPr>
          <w:rFonts w:ascii="Calibri" w:eastAsia="Calibri" w:hAnsi="Calibri" w:cs="Arial"/>
          <w:b/>
          <w:bCs/>
          <w:lang w:val="en-GB"/>
        </w:rPr>
        <w:t xml:space="preserve"> patients with JIA (polyarthritis, </w:t>
      </w:r>
      <w:proofErr w:type="spellStart"/>
      <w:r w:rsidRPr="00B73F46">
        <w:rPr>
          <w:rFonts w:ascii="Calibri" w:eastAsia="Calibri" w:hAnsi="Calibri" w:cs="Arial"/>
          <w:b/>
          <w:bCs/>
          <w:lang w:val="en-GB"/>
        </w:rPr>
        <w:t>oligoarthritis</w:t>
      </w:r>
      <w:proofErr w:type="spellEnd"/>
      <w:r w:rsidRPr="00B73F46">
        <w:rPr>
          <w:rFonts w:ascii="Calibri" w:eastAsia="Calibri" w:hAnsi="Calibri" w:cs="Arial"/>
          <w:b/>
          <w:bCs/>
          <w:lang w:val="en-GB"/>
        </w:rPr>
        <w:t xml:space="preserve">, systemic juvenile arthritis, </w:t>
      </w:r>
      <w:proofErr w:type="spellStart"/>
      <w:proofErr w:type="gramStart"/>
      <w:r w:rsidRPr="00B73F46">
        <w:rPr>
          <w:rFonts w:ascii="Calibri" w:eastAsia="Calibri" w:hAnsi="Calibri" w:cs="Arial"/>
          <w:b/>
          <w:bCs/>
          <w:lang w:val="en-GB"/>
        </w:rPr>
        <w:t>sacroiilitis</w:t>
      </w:r>
      <w:proofErr w:type="spellEnd"/>
      <w:proofErr w:type="gramEnd"/>
      <w:r w:rsidRPr="00B73F46">
        <w:rPr>
          <w:rFonts w:ascii="Calibri" w:eastAsia="Calibri" w:hAnsi="Calibri" w:cs="Arial"/>
          <w:b/>
          <w:bCs/>
          <w:lang w:val="en-GB"/>
        </w:rPr>
        <w:t>/</w:t>
      </w:r>
      <w:proofErr w:type="spellStart"/>
      <w:r w:rsidRPr="00B73F46">
        <w:rPr>
          <w:rFonts w:ascii="Calibri" w:eastAsia="Calibri" w:hAnsi="Calibri" w:cs="Arial"/>
          <w:b/>
          <w:bCs/>
          <w:lang w:val="en-GB"/>
        </w:rPr>
        <w:t>enthesitis</w:t>
      </w:r>
      <w:proofErr w:type="spellEnd"/>
      <w:r w:rsidRPr="00B73F46">
        <w:rPr>
          <w:rFonts w:ascii="Calibri" w:eastAsia="Calibri" w:hAnsi="Calibri" w:cs="Arial"/>
          <w:b/>
          <w:bCs/>
          <w:lang w:val="en-GB"/>
        </w:rPr>
        <w:t>) and/or uveitis.</w:t>
      </w:r>
    </w:p>
    <w:tbl>
      <w:tblPr>
        <w:tblStyle w:val="TableGrid"/>
        <w:tblW w:w="10774" w:type="dxa"/>
        <w:tblInd w:w="-1281" w:type="dxa"/>
        <w:tblLook w:val="04A0" w:firstRow="1" w:lastRow="0" w:firstColumn="1" w:lastColumn="0" w:noHBand="0" w:noVBand="1"/>
      </w:tblPr>
      <w:tblGrid>
        <w:gridCol w:w="2552"/>
        <w:gridCol w:w="8222"/>
      </w:tblGrid>
      <w:tr w:rsidR="002B5B21" w:rsidRPr="002B5B21" w:rsidTr="00B73F46">
        <w:tc>
          <w:tcPr>
            <w:tcW w:w="2552" w:type="dxa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Disease Activity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proofErr w:type="spellStart"/>
            <w:r w:rsidRPr="002B5B21">
              <w:rPr>
                <w:rFonts w:ascii="Calibri" w:eastAsia="Calibri" w:hAnsi="Calibri" w:cs="Arial"/>
              </w:rPr>
              <w:t>Pediatric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ACR response, JADAS, active joint count, ESR/CRP, active </w:t>
            </w:r>
            <w:proofErr w:type="spellStart"/>
            <w:r w:rsidRPr="002B5B21">
              <w:rPr>
                <w:rFonts w:ascii="Calibri" w:eastAsia="Calibri" w:hAnsi="Calibri" w:cs="Arial"/>
              </w:rPr>
              <w:t>entheses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count [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only], BASDAI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[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/ 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only], BASFI [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/ 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only], other 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>/</w:t>
            </w:r>
            <w:proofErr w:type="spellStart"/>
            <w:r w:rsidRPr="002B5B21">
              <w:rPr>
                <w:rFonts w:ascii="Calibri" w:eastAsia="Calibri" w:hAnsi="Calibri" w:cs="Arial"/>
              </w:rPr>
              <w:t>enthesitis</w:t>
            </w:r>
            <w:proofErr w:type="spellEnd"/>
            <w:r w:rsidRPr="002B5B21">
              <w:rPr>
                <w:rFonts w:ascii="Calibri" w:eastAsia="Calibri" w:hAnsi="Calibri" w:cs="Arial"/>
              </w:rPr>
              <w:t>-specific measures),</w:t>
            </w:r>
          </w:p>
        </w:tc>
      </w:tr>
      <w:tr w:rsidR="002B5B21" w:rsidRPr="002B5B21" w:rsidTr="00B73F46">
        <w:tc>
          <w:tcPr>
            <w:tcW w:w="2552" w:type="dxa"/>
            <w:vMerge w:val="restart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Patient Reported Outcomes Measure (PROMs)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Functional Ability (CHAQ, PROMIS)</w:t>
            </w:r>
          </w:p>
        </w:tc>
      </w:tr>
      <w:tr w:rsidR="002B5B21" w:rsidRPr="002B5B21" w:rsidTr="00B73F46">
        <w:tc>
          <w:tcPr>
            <w:tcW w:w="2552" w:type="dxa"/>
            <w:vMerge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Quality of life</w:t>
            </w:r>
          </w:p>
        </w:tc>
      </w:tr>
      <w:tr w:rsidR="002B5B21" w:rsidRPr="002B5B21" w:rsidTr="00B73F46">
        <w:tc>
          <w:tcPr>
            <w:tcW w:w="2552" w:type="dxa"/>
            <w:vMerge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Patient reported Pain level</w:t>
            </w:r>
          </w:p>
        </w:tc>
      </w:tr>
      <w:tr w:rsidR="002B5B21" w:rsidRPr="002B5B21" w:rsidTr="00B73F46">
        <w:tc>
          <w:tcPr>
            <w:tcW w:w="2552" w:type="dxa"/>
            <w:vMerge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Patient/parent global assessment</w:t>
            </w:r>
          </w:p>
        </w:tc>
      </w:tr>
      <w:tr w:rsidR="002B5B21" w:rsidRPr="002B5B21" w:rsidTr="00B73F46">
        <w:tc>
          <w:tcPr>
            <w:tcW w:w="2552" w:type="dxa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Joint Damage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limited mobility, loss of cartilage thickness, erosion, loss of joint space, joint damage requiring surgical intervention</w:t>
            </w:r>
          </w:p>
        </w:tc>
      </w:tr>
      <w:tr w:rsidR="002B5B21" w:rsidRPr="002B5B21" w:rsidTr="00B73F46">
        <w:tc>
          <w:tcPr>
            <w:tcW w:w="2552" w:type="dxa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Serious Adverse Events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hospitalization, infection, malignancy</w:t>
            </w:r>
          </w:p>
        </w:tc>
      </w:tr>
      <w:tr w:rsidR="002B5B21" w:rsidRPr="002B5B21" w:rsidTr="00B73F46">
        <w:tc>
          <w:tcPr>
            <w:tcW w:w="2552" w:type="dxa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 xml:space="preserve">Radiological Outcomes: 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 xml:space="preserve">A critical outcome for 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 was resolution of MRI findings consistent with active</w:t>
            </w:r>
            <w:r w:rsidR="00B73F46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2B5B21">
              <w:rPr>
                <w:rFonts w:ascii="Calibri" w:eastAsia="Calibri" w:hAnsi="Calibri" w:cs="Arial"/>
              </w:rPr>
              <w:t>sacroiliitis</w:t>
            </w:r>
            <w:proofErr w:type="spellEnd"/>
            <w:r w:rsidRPr="002B5B21">
              <w:rPr>
                <w:rFonts w:ascii="Calibri" w:eastAsia="Calibri" w:hAnsi="Calibri" w:cs="Arial"/>
              </w:rPr>
              <w:t xml:space="preserve">. 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Musculoskeletal US examination of the joints carried out and scored by an experienced Health care Professional</w:t>
            </w:r>
          </w:p>
        </w:tc>
      </w:tr>
      <w:tr w:rsidR="002B5B21" w:rsidRPr="002B5B21" w:rsidTr="00B73F46">
        <w:tc>
          <w:tcPr>
            <w:tcW w:w="2552" w:type="dxa"/>
            <w:shd w:val="clear" w:color="auto" w:fill="E7E6E6" w:themeFill="background2"/>
          </w:tcPr>
          <w:p w:rsidR="00B73F46" w:rsidRDefault="00B73F46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  <w:p w:rsidR="00B73F46" w:rsidRDefault="00B73F46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  <w:p w:rsidR="00B73F46" w:rsidRDefault="00B73F46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</w:p>
          <w:p w:rsidR="002B5B21" w:rsidRPr="00B73F46" w:rsidRDefault="002B5B21" w:rsidP="00B73F46">
            <w:pPr>
              <w:bidi w:val="0"/>
              <w:spacing w:line="360" w:lineRule="auto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Uveitis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Critical ou</w:t>
            </w:r>
            <w:r w:rsidR="00B73F46">
              <w:rPr>
                <w:rFonts w:ascii="Calibri" w:eastAsia="Calibri" w:hAnsi="Calibri" w:cs="Arial"/>
              </w:rPr>
              <w:t xml:space="preserve">tcomes varied according to the </w:t>
            </w:r>
            <w:r w:rsidRPr="002B5B21">
              <w:rPr>
                <w:rFonts w:ascii="Calibri" w:eastAsia="Calibri" w:hAnsi="Calibri" w:cs="Arial"/>
              </w:rPr>
              <w:t xml:space="preserve">question whether related to screening, monitoring, and medication. 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For screening questions, critical</w:t>
            </w:r>
            <w:r w:rsidR="00B73F46">
              <w:rPr>
                <w:rFonts w:ascii="Calibri" w:eastAsia="Calibri" w:hAnsi="Calibri" w:cs="Arial"/>
              </w:rPr>
              <w:t xml:space="preserve"> </w:t>
            </w:r>
            <w:r w:rsidRPr="002B5B21">
              <w:rPr>
                <w:rFonts w:ascii="Calibri" w:eastAsia="Calibri" w:hAnsi="Calibri" w:cs="Arial"/>
              </w:rPr>
              <w:t xml:space="preserve">outcomes included new diagnosis of uveitis and new diagnosis of uveitis with any ocular complications. 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For monitoring questions, critical</w:t>
            </w:r>
            <w:r w:rsidR="00B73F46">
              <w:rPr>
                <w:rFonts w:ascii="Calibri" w:eastAsia="Calibri" w:hAnsi="Calibri" w:cs="Arial"/>
              </w:rPr>
              <w:t xml:space="preserve"> </w:t>
            </w:r>
            <w:r w:rsidRPr="002B5B21">
              <w:rPr>
                <w:rFonts w:ascii="Calibri" w:eastAsia="Calibri" w:hAnsi="Calibri" w:cs="Arial"/>
              </w:rPr>
              <w:t xml:space="preserve">outcomes included loss of control of uveitis and new complications due to inflammation. 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For medication questions, critical outcomes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included loss of control of uveitis, incidence of loss of control of uveitis, control of uveitis at 1 month and 3 months, new ocular steroid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complications (cataracts, glaucoma/increased IOP, infection), new ocular complications due to inflammation, incidence of uveitis, and</w:t>
            </w:r>
          </w:p>
          <w:p w:rsidR="002B5B21" w:rsidRPr="002B5B21" w:rsidRDefault="002B5B21" w:rsidP="00B73F46">
            <w:pPr>
              <w:bidi w:val="0"/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recurrence of uveitis</w:t>
            </w:r>
          </w:p>
        </w:tc>
      </w:tr>
    </w:tbl>
    <w:p w:rsidR="002B5B21" w:rsidRP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lang w:val="en-GB"/>
        </w:rPr>
      </w:pPr>
    </w:p>
    <w:p w:rsidR="002B5B21" w:rsidRPr="00B73F46" w:rsidRDefault="002B5B21" w:rsidP="002B5B21">
      <w:pPr>
        <w:bidi w:val="0"/>
        <w:spacing w:after="200" w:line="276" w:lineRule="auto"/>
        <w:jc w:val="both"/>
        <w:rPr>
          <w:rFonts w:ascii="Calibri" w:eastAsia="Calibri" w:hAnsi="Calibri" w:cs="Arial"/>
          <w:b/>
          <w:bCs/>
          <w:lang w:val="en-GB"/>
        </w:rPr>
      </w:pPr>
      <w:r w:rsidRPr="00B73F46">
        <w:rPr>
          <w:rFonts w:ascii="Calibri" w:eastAsia="Calibri" w:hAnsi="Calibri" w:cs="Arial"/>
          <w:b/>
          <w:bCs/>
          <w:lang w:val="en-GB"/>
        </w:rPr>
        <w:lastRenderedPageBreak/>
        <w:t>Supplement (4): Levels of evidence [12]</w:t>
      </w: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2269"/>
        <w:gridCol w:w="8222"/>
      </w:tblGrid>
      <w:tr w:rsidR="002B5B21" w:rsidRPr="002B5B21" w:rsidTr="00B73F46">
        <w:tc>
          <w:tcPr>
            <w:tcW w:w="10491" w:type="dxa"/>
            <w:gridSpan w:val="2"/>
            <w:shd w:val="clear" w:color="auto" w:fill="E7E6E6" w:themeFill="background2"/>
          </w:tcPr>
          <w:p w:rsidR="002B5B21" w:rsidRPr="00B73F46" w:rsidRDefault="002B5B21" w:rsidP="00B73F46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Level of evidence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Systematic review of all relevant randomized clinical trials or n-of-1 trials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Randomized trial or observational study with dramatic effect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3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Non-randomized controlled cohort/follow-up study (observational)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4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Case series, case-control study, or historically controlled study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Mechanism-based reasoning (expert opinion, based on physiology, animal or laboratory studies)</w:t>
            </w:r>
          </w:p>
        </w:tc>
      </w:tr>
      <w:tr w:rsidR="002B5B21" w:rsidRPr="002B5B21" w:rsidTr="00B73F46">
        <w:tc>
          <w:tcPr>
            <w:tcW w:w="10491" w:type="dxa"/>
            <w:gridSpan w:val="2"/>
            <w:shd w:val="clear" w:color="auto" w:fill="E7E6E6" w:themeFill="background2"/>
            <w:vAlign w:val="center"/>
          </w:tcPr>
          <w:p w:rsidR="002B5B21" w:rsidRPr="00B73F46" w:rsidRDefault="002B5B21" w:rsidP="00B73F46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B73F46">
              <w:rPr>
                <w:rFonts w:ascii="Calibri" w:eastAsia="Calibri" w:hAnsi="Calibri" w:cs="Arial"/>
                <w:b/>
                <w:bCs/>
              </w:rPr>
              <w:t>Grades of recommendation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A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Consistent level 1 studies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B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Consistent level 2 or 3 studies, or extrapolations from level 1 studies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C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Level 4 studies, or extrapolations from level 2 or 3 studies</w:t>
            </w:r>
          </w:p>
        </w:tc>
      </w:tr>
      <w:tr w:rsidR="002B5B21" w:rsidRPr="002B5B21" w:rsidTr="00B73F46">
        <w:tc>
          <w:tcPr>
            <w:tcW w:w="2269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D</w:t>
            </w:r>
          </w:p>
        </w:tc>
        <w:tc>
          <w:tcPr>
            <w:tcW w:w="8222" w:type="dxa"/>
          </w:tcPr>
          <w:p w:rsidR="002B5B21" w:rsidRPr="002B5B21" w:rsidRDefault="002B5B21" w:rsidP="00B73F46">
            <w:pPr>
              <w:bidi w:val="0"/>
              <w:spacing w:line="480" w:lineRule="auto"/>
              <w:jc w:val="both"/>
              <w:rPr>
                <w:rFonts w:ascii="Calibri" w:eastAsia="Calibri" w:hAnsi="Calibri" w:cs="Arial"/>
              </w:rPr>
            </w:pPr>
            <w:r w:rsidRPr="002B5B21">
              <w:rPr>
                <w:rFonts w:ascii="Calibri" w:eastAsia="Calibri" w:hAnsi="Calibri" w:cs="Arial"/>
              </w:rPr>
              <w:t>Level 5 evidence or troubling, inconsistent or inconclusive studies of any level</w:t>
            </w:r>
          </w:p>
        </w:tc>
      </w:tr>
    </w:tbl>
    <w:p w:rsidR="009011B0" w:rsidRPr="002B5B21" w:rsidRDefault="009011B0" w:rsidP="002B5B21">
      <w:pPr>
        <w:bidi w:val="0"/>
        <w:jc w:val="both"/>
        <w:rPr>
          <w:lang w:val="en-GB" w:bidi="ar-EG"/>
        </w:rPr>
      </w:pPr>
    </w:p>
    <w:sectPr w:rsidR="009011B0" w:rsidRPr="002B5B21" w:rsidSect="009011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2"/>
    <w:rsid w:val="00005A22"/>
    <w:rsid w:val="002B5B21"/>
    <w:rsid w:val="009011B0"/>
    <w:rsid w:val="00B7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F7A442-4160-4525-B224-0F6ACB2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2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3</cp:revision>
  <dcterms:created xsi:type="dcterms:W3CDTF">2022-02-04T07:35:00Z</dcterms:created>
  <dcterms:modified xsi:type="dcterms:W3CDTF">2022-02-14T21:14:00Z</dcterms:modified>
</cp:coreProperties>
</file>