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C2932">
      <w:pPr>
        <w:spacing w:line="360" w:lineRule="auto"/>
        <w:rPr>
          <w:rFonts w:hint="eastAsia" w:ascii="Times New Roman" w:hAnsi="Times New Roman" w:eastAsia="等线"/>
          <w:b/>
          <w:bCs/>
          <w:sz w:val="20"/>
          <w:szCs w:val="20"/>
          <w:lang w:val="en-US" w:eastAsia="zh-CN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Liquid biopsy using plasma proteomics in predicting </w:t>
      </w:r>
      <w:r>
        <w:rPr>
          <w:rFonts w:hint="eastAsia" w:ascii="Times New Roman" w:hAnsi="Times New Roman"/>
          <w:b/>
          <w:bCs/>
          <w:sz w:val="20"/>
          <w:szCs w:val="20"/>
        </w:rPr>
        <w:t xml:space="preserve">efficacy </w:t>
      </w:r>
      <w:r>
        <w:rPr>
          <w:rFonts w:ascii="Times New Roman" w:hAnsi="Times New Roman"/>
          <w:b/>
          <w:bCs/>
          <w:sz w:val="20"/>
          <w:szCs w:val="20"/>
        </w:rPr>
        <w:t xml:space="preserve">and </w:t>
      </w:r>
      <w:r>
        <w:rPr>
          <w:rFonts w:hint="eastAsia" w:ascii="Times New Roman" w:hAnsi="Times New Roman"/>
          <w:b/>
          <w:bCs/>
          <w:sz w:val="20"/>
          <w:szCs w:val="20"/>
        </w:rPr>
        <w:t>tolerance</w:t>
      </w:r>
      <w:r>
        <w:rPr>
          <w:rFonts w:ascii="Times New Roman" w:hAnsi="Times New Roman"/>
          <w:b/>
          <w:bCs/>
          <w:sz w:val="20"/>
          <w:szCs w:val="20"/>
        </w:rPr>
        <w:t xml:space="preserve"> of PD-1/PD-L1 blockades in NSCLC: a prospective exploratory study</w:t>
      </w:r>
    </w:p>
    <w:p w14:paraId="7AAE2D3F">
      <w:pPr>
        <w:spacing w:line="360" w:lineRule="auto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</w:rPr>
        <w:t>Yuan Gao</w:t>
      </w:r>
      <w:r>
        <w:rPr>
          <w:rFonts w:ascii="Times New Roman" w:hAnsi="Times New Roman"/>
          <w:sz w:val="20"/>
          <w:szCs w:val="20"/>
          <w:vertAlign w:val="superscript"/>
        </w:rPr>
        <w:t>1,2#</w:t>
      </w:r>
      <w:r>
        <w:rPr>
          <w:rFonts w:ascii="Times New Roman" w:hAnsi="Times New Roman"/>
          <w:sz w:val="20"/>
          <w:szCs w:val="20"/>
        </w:rPr>
        <w:t>, Fei Qi</w:t>
      </w:r>
      <w:r>
        <w:rPr>
          <w:rFonts w:ascii="Times New Roman" w:hAnsi="Times New Roman"/>
          <w:sz w:val="20"/>
          <w:szCs w:val="20"/>
          <w:vertAlign w:val="superscript"/>
        </w:rPr>
        <w:t>1,2#</w:t>
      </w:r>
      <w:r>
        <w:rPr>
          <w:rFonts w:ascii="Times New Roman" w:hAnsi="Times New Roman"/>
          <w:sz w:val="20"/>
          <w:szCs w:val="20"/>
        </w:rPr>
        <w:t>, Wenhao Zhou</w:t>
      </w:r>
      <w:r>
        <w:rPr>
          <w:rFonts w:ascii="Times New Roman" w:hAnsi="Times New Roman"/>
          <w:sz w:val="20"/>
          <w:szCs w:val="20"/>
          <w:vertAlign w:val="superscript"/>
        </w:rPr>
        <w:t>3#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hint="eastAsia" w:ascii="Times New Roman" w:hAnsi="Times New Roman"/>
          <w:sz w:val="20"/>
          <w:szCs w:val="20"/>
        </w:rPr>
        <w:t xml:space="preserve"> Peng Jiang</w:t>
      </w:r>
      <w:r>
        <w:rPr>
          <w:rFonts w:hint="eastAsia" w:ascii="Times New Roman" w:hAnsi="Times New Roman"/>
          <w:sz w:val="20"/>
          <w:szCs w:val="20"/>
          <w:vertAlign w:val="superscript"/>
        </w:rPr>
        <w:t>1</w:t>
      </w:r>
      <w:r>
        <w:rPr>
          <w:rFonts w:hint="eastAsia"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Mingming Hu</w:t>
      </w:r>
      <w:r>
        <w:rPr>
          <w:rFonts w:ascii="Times New Roman" w:hAnsi="Times New Roman"/>
          <w:sz w:val="20"/>
          <w:szCs w:val="20"/>
          <w:vertAlign w:val="superscript"/>
        </w:rPr>
        <w:t>1,2</w:t>
      </w:r>
      <w:r>
        <w:rPr>
          <w:rFonts w:ascii="Times New Roman" w:hAnsi="Times New Roman"/>
          <w:sz w:val="20"/>
          <w:szCs w:val="20"/>
        </w:rPr>
        <w:t>, Ying Wang</w:t>
      </w:r>
      <w:r>
        <w:rPr>
          <w:rFonts w:ascii="Times New Roman" w:hAnsi="Times New Roman"/>
          <w:sz w:val="20"/>
          <w:szCs w:val="20"/>
          <w:vertAlign w:val="superscript"/>
        </w:rPr>
        <w:t>1,2</w:t>
      </w:r>
      <w:r>
        <w:rPr>
          <w:rFonts w:ascii="Times New Roman" w:hAnsi="Times New Roman"/>
          <w:sz w:val="20"/>
          <w:szCs w:val="20"/>
        </w:rPr>
        <w:t>, Congcong Song</w:t>
      </w:r>
      <w:r>
        <w:rPr>
          <w:rFonts w:ascii="Times New Roman" w:hAnsi="Times New Roman"/>
          <w:sz w:val="20"/>
          <w:szCs w:val="20"/>
          <w:vertAlign w:val="superscript"/>
        </w:rPr>
        <w:t>3</w:t>
      </w:r>
      <w:r>
        <w:rPr>
          <w:rFonts w:ascii="Times New Roman" w:hAnsi="Times New Roman"/>
          <w:sz w:val="20"/>
          <w:szCs w:val="20"/>
        </w:rPr>
        <w:t>, Yi Han</w:t>
      </w:r>
      <w:r>
        <w:rPr>
          <w:rFonts w:ascii="Times New Roman" w:hAnsi="Times New Roman"/>
          <w:sz w:val="20"/>
          <w:szCs w:val="20"/>
          <w:vertAlign w:val="superscript"/>
        </w:rPr>
        <w:t>4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hint="eastAsia" w:ascii="Times New Roman" w:hAnsi="Times New Roman"/>
          <w:sz w:val="20"/>
          <w:szCs w:val="20"/>
        </w:rPr>
        <w:t>Dongdong Li</w:t>
      </w:r>
      <w:r>
        <w:rPr>
          <w:rFonts w:hint="eastAsia" w:ascii="Times New Roman" w:hAnsi="Times New Roman"/>
          <w:sz w:val="20"/>
          <w:szCs w:val="20"/>
          <w:vertAlign w:val="superscript"/>
        </w:rPr>
        <w:t>5</w:t>
      </w:r>
      <w:r>
        <w:rPr>
          <w:rFonts w:hint="eastAsia" w:ascii="Times New Roman" w:hAnsi="Times New Roman"/>
          <w:sz w:val="20"/>
          <w:szCs w:val="20"/>
        </w:rPr>
        <w:t>, Na Qin</w:t>
      </w:r>
      <w:r>
        <w:rPr>
          <w:rFonts w:hint="eastAsia" w:ascii="Times New Roman" w:hAnsi="Times New Roman"/>
          <w:sz w:val="20"/>
          <w:szCs w:val="20"/>
          <w:vertAlign w:val="superscript"/>
        </w:rPr>
        <w:t>6</w:t>
      </w:r>
      <w:r>
        <w:rPr>
          <w:rFonts w:hint="eastAsia"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Hongmei Zhang</w:t>
      </w:r>
      <w:r>
        <w:rPr>
          <w:rFonts w:ascii="Times New Roman" w:hAnsi="Times New Roman"/>
          <w:sz w:val="20"/>
          <w:szCs w:val="20"/>
          <w:vertAlign w:val="superscript"/>
        </w:rPr>
        <w:t>1,2</w:t>
      </w:r>
      <w:r>
        <w:rPr>
          <w:rFonts w:ascii="Times New Roman" w:hAnsi="Times New Roman"/>
          <w:sz w:val="20"/>
          <w:szCs w:val="20"/>
        </w:rPr>
        <w:t>, Haitao Luo</w:t>
      </w:r>
      <w:r>
        <w:rPr>
          <w:rFonts w:ascii="Times New Roman" w:hAnsi="Times New Roman"/>
          <w:sz w:val="20"/>
          <w:szCs w:val="20"/>
          <w:vertAlign w:val="superscript"/>
        </w:rPr>
        <w:t>3</w:t>
      </w:r>
      <w:r>
        <w:rPr>
          <w:rFonts w:ascii="Times New Roman" w:hAnsi="Times New Roman"/>
          <w:sz w:val="20"/>
          <w:szCs w:val="20"/>
        </w:rPr>
        <w:t>, Tongmei Zhang</w:t>
      </w:r>
      <w:r>
        <w:rPr>
          <w:rFonts w:ascii="Times New Roman" w:hAnsi="Times New Roman"/>
          <w:sz w:val="20"/>
          <w:szCs w:val="20"/>
          <w:vertAlign w:val="superscript"/>
        </w:rPr>
        <w:t>1,2*</w:t>
      </w:r>
      <w:r>
        <w:rPr>
          <w:rFonts w:ascii="Times New Roman" w:hAnsi="Times New Roman"/>
          <w:sz w:val="20"/>
          <w:szCs w:val="20"/>
        </w:rPr>
        <w:t>, Hongxia Li</w:t>
      </w:r>
      <w:r>
        <w:rPr>
          <w:rFonts w:ascii="Times New Roman" w:hAnsi="Times New Roman"/>
          <w:sz w:val="20"/>
          <w:szCs w:val="20"/>
          <w:vertAlign w:val="superscript"/>
        </w:rPr>
        <w:t>1,2*</w:t>
      </w:r>
    </w:p>
    <w:p w14:paraId="53C02EDA">
      <w:pPr>
        <w:spacing w:line="360" w:lineRule="auto"/>
        <w:rPr>
          <w:rFonts w:ascii="Times New Roman" w:hAnsi="Times New Roman"/>
          <w:sz w:val="20"/>
          <w:szCs w:val="20"/>
          <w:vertAlign w:val="superscript"/>
        </w:rPr>
      </w:pPr>
    </w:p>
    <w:p w14:paraId="4FB4000E">
      <w:pPr>
        <w:spacing w:line="360" w:lineRule="auto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>General Department, Beijing Chest Hospital, Capital Medical University</w:t>
      </w:r>
      <w:r>
        <w:rPr>
          <w:rFonts w:hint="eastAsia" w:ascii="Times New Roman" w:hAnsi="Times New Roman"/>
          <w:sz w:val="20"/>
          <w:szCs w:val="20"/>
        </w:rPr>
        <w:t xml:space="preserve">; Beijing Tuberculosis and Thoracic Tumor Research Institute, </w:t>
      </w:r>
      <w:r>
        <w:rPr>
          <w:rFonts w:ascii="Times New Roman" w:hAnsi="Times New Roman"/>
          <w:sz w:val="20"/>
          <w:szCs w:val="20"/>
        </w:rPr>
        <w:t>Beijing, China;</w:t>
      </w:r>
    </w:p>
    <w:p w14:paraId="3BCA368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sz w:val="20"/>
          <w:szCs w:val="20"/>
        </w:rPr>
        <w:t>Laboratory for Clinical Medicine, Capital Medical University;</w:t>
      </w:r>
    </w:p>
    <w:p w14:paraId="17CD325D">
      <w:pPr>
        <w:spacing w:line="360" w:lineRule="auto"/>
        <w:rPr>
          <w:rFonts w:ascii="Times New Roman" w:hAnsi="Times New Roman"/>
          <w:sz w:val="20"/>
          <w:szCs w:val="20"/>
        </w:rPr>
      </w:pPr>
      <w:bookmarkStart w:id="0" w:name="OLE_LINK1"/>
      <w:bookmarkStart w:id="1" w:name="OLE_LINK2"/>
      <w:r>
        <w:rPr>
          <w:rFonts w:ascii="Times New Roman" w:hAnsi="Times New Roman"/>
          <w:sz w:val="20"/>
          <w:szCs w:val="20"/>
          <w:vertAlign w:val="superscript"/>
        </w:rPr>
        <w:t>3</w:t>
      </w:r>
      <w:r>
        <w:rPr>
          <w:rFonts w:ascii="Times New Roman" w:hAnsi="Times New Roman"/>
          <w:sz w:val="20"/>
          <w:szCs w:val="20"/>
        </w:rPr>
        <w:t>Shenzhen Engineering Center for Translational Medicine of Precision Cancer Immunodiagnosis and Therapy, YuceBio Technology Co., Ltd, Shenzhen, China;</w:t>
      </w:r>
    </w:p>
    <w:p w14:paraId="46065D7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4</w:t>
      </w:r>
      <w:r>
        <w:rPr>
          <w:rFonts w:ascii="Times New Roman" w:hAnsi="Times New Roman"/>
          <w:sz w:val="20"/>
          <w:szCs w:val="20"/>
        </w:rPr>
        <w:t>Cardiothoracic Surgery Department, Affiliated Hospital of Shanxi University of Chinese Medicine, Shaanxi University of Chinese Medicine, Shanxi, China</w:t>
      </w:r>
      <w:bookmarkEnd w:id="0"/>
      <w:bookmarkEnd w:id="1"/>
      <w:r>
        <w:rPr>
          <w:rFonts w:hint="eastAsia" w:ascii="Times New Roman" w:hAnsi="Times New Roman"/>
          <w:sz w:val="20"/>
          <w:szCs w:val="20"/>
        </w:rPr>
        <w:t>;</w:t>
      </w:r>
    </w:p>
    <w:p w14:paraId="3DE2C842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hint="eastAsia" w:ascii="Times New Roman" w:hAnsi="Times New Roman"/>
          <w:sz w:val="20"/>
          <w:szCs w:val="20"/>
          <w:vertAlign w:val="superscript"/>
        </w:rPr>
        <w:t>5</w:t>
      </w:r>
      <w:r>
        <w:rPr>
          <w:rFonts w:hint="eastAsia" w:ascii="Times New Roman" w:hAnsi="Times New Roman"/>
          <w:sz w:val="20"/>
          <w:szCs w:val="20"/>
        </w:rPr>
        <w:t>School of Life Sciences, Anhui Medical University, Anhui, China;</w:t>
      </w:r>
    </w:p>
    <w:p w14:paraId="764BE29D">
      <w:pPr>
        <w:spacing w:line="360" w:lineRule="auto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hint="eastAsia" w:ascii="Times New Roman" w:hAnsi="Times New Roman"/>
          <w:sz w:val="20"/>
          <w:szCs w:val="20"/>
          <w:vertAlign w:val="superscript"/>
        </w:rPr>
        <w:t>6</w:t>
      </w:r>
      <w:r>
        <w:rPr>
          <w:rFonts w:hint="eastAsia" w:ascii="Times New Roman" w:hAnsi="Times New Roman"/>
          <w:sz w:val="20"/>
          <w:szCs w:val="20"/>
        </w:rPr>
        <w:t xml:space="preserve">Outpatient Department, </w:t>
      </w:r>
      <w:r>
        <w:rPr>
          <w:rFonts w:ascii="Times New Roman" w:hAnsi="Times New Roman"/>
          <w:sz w:val="20"/>
          <w:szCs w:val="20"/>
        </w:rPr>
        <w:t>Beijing Chest Hospital, Capital Medical University</w:t>
      </w:r>
      <w:r>
        <w:rPr>
          <w:rFonts w:hint="eastAsia" w:ascii="Times New Roman" w:hAnsi="Times New Roman"/>
          <w:sz w:val="20"/>
          <w:szCs w:val="20"/>
        </w:rPr>
        <w:t xml:space="preserve">; Beijing Tuberculosis and Thoracic Tumor Research Institute, </w:t>
      </w:r>
      <w:r>
        <w:rPr>
          <w:rFonts w:ascii="Times New Roman" w:hAnsi="Times New Roman"/>
          <w:sz w:val="20"/>
          <w:szCs w:val="20"/>
        </w:rPr>
        <w:t>Beijing, China</w:t>
      </w:r>
      <w:r>
        <w:rPr>
          <w:rFonts w:hint="eastAsia" w:ascii="Times New Roman" w:hAnsi="Times New Roman"/>
          <w:sz w:val="20"/>
          <w:szCs w:val="20"/>
        </w:rPr>
        <w:t>.</w:t>
      </w:r>
    </w:p>
    <w:p w14:paraId="40C469F7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45E39A68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*</w:t>
      </w:r>
      <w:r>
        <w:rPr>
          <w:rFonts w:ascii="Times New Roman" w:hAnsi="Times New Roman"/>
          <w:sz w:val="20"/>
          <w:szCs w:val="20"/>
        </w:rPr>
        <w:t xml:space="preserve">Corresponding: </w:t>
      </w:r>
    </w:p>
    <w:p w14:paraId="64BD7AE3">
      <w:pPr>
        <w:spacing w:line="36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 Bold" w:hAnsi="Times New Roman Bold" w:cs="Times New Roman Bold"/>
          <w:b/>
          <w:bCs/>
          <w:sz w:val="20"/>
          <w:szCs w:val="20"/>
        </w:rPr>
        <w:t>Hongxia Li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bCs/>
          <w:sz w:val="20"/>
          <w:szCs w:val="20"/>
        </w:rPr>
        <w:t>General Department, Beijing Chest Hospital, Capital Medical University;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</w:rPr>
        <w:t xml:space="preserve">Beijing Tuberculosis and Thoracic Tumor Research Institute; </w:t>
      </w:r>
      <w:r>
        <w:rPr>
          <w:rFonts w:ascii="Times New Roman" w:hAnsi="Times New Roman"/>
          <w:sz w:val="20"/>
          <w:szCs w:val="20"/>
        </w:rPr>
        <w:t>Laboratory for Clinical Medicine, Capital Medical University,</w:t>
      </w:r>
      <w:r>
        <w:rPr>
          <w:rFonts w:ascii="Times New Roman" w:hAnsi="Times New Roman"/>
          <w:bCs/>
          <w:sz w:val="20"/>
          <w:szCs w:val="20"/>
        </w:rPr>
        <w:t xml:space="preserve"> Beijing, China, 101149. Address: No.9 Beiguan Street, Tongzhou District, 100149, Beijing, China. Email: Doctor.hong@163.com.</w:t>
      </w:r>
    </w:p>
    <w:p w14:paraId="2A4F0EE6">
      <w:pPr>
        <w:spacing w:line="36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 Bold" w:hAnsi="Times New Roman Bold" w:cs="Times New Roman Bold"/>
          <w:b/>
          <w:bCs/>
          <w:sz w:val="20"/>
          <w:szCs w:val="20"/>
        </w:rPr>
        <w:t>Tongmei Zhang</w:t>
      </w:r>
      <w:r>
        <w:rPr>
          <w:rFonts w:ascii="Times New Roman" w:hAnsi="Times New Roman"/>
          <w:sz w:val="20"/>
          <w:szCs w:val="20"/>
        </w:rPr>
        <w:t>,</w:t>
      </w:r>
      <w:bookmarkStart w:id="2" w:name="_Hlk115963630"/>
      <w:r>
        <w:rPr>
          <w:rFonts w:ascii="Times New Roman" w:hAnsi="Times New Roman" w:eastAsia="宋体"/>
          <w:bCs/>
          <w:kern w:val="0"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General Department, Beijing Chest Hospital, Capital Medical University; </w:t>
      </w:r>
      <w:r>
        <w:rPr>
          <w:rFonts w:hint="eastAsia" w:ascii="Times New Roman" w:hAnsi="Times New Roman"/>
          <w:sz w:val="20"/>
          <w:szCs w:val="20"/>
        </w:rPr>
        <w:t xml:space="preserve">Beijing Tuberculosis and Thoracic Tumor Research Institute; </w:t>
      </w:r>
      <w:r>
        <w:rPr>
          <w:rFonts w:ascii="Times New Roman" w:hAnsi="Times New Roman"/>
          <w:sz w:val="20"/>
          <w:szCs w:val="20"/>
        </w:rPr>
        <w:t xml:space="preserve">Laboratory for Clinical Medicine, Capital Medical University, </w:t>
      </w:r>
      <w:r>
        <w:rPr>
          <w:rFonts w:ascii="Times New Roman" w:hAnsi="Times New Roman"/>
          <w:bCs/>
          <w:sz w:val="20"/>
          <w:szCs w:val="20"/>
        </w:rPr>
        <w:t>Beijing, China, 101149. Address: No.9 Beiguan Street, Tongzhou District, 100149, Beijing, China. Email: tongmeibj@163.com.</w:t>
      </w:r>
      <w:bookmarkEnd w:id="2"/>
    </w:p>
    <w:p w14:paraId="50C447E7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3CB1AB57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#</w:t>
      </w:r>
      <w:r>
        <w:rPr>
          <w:rFonts w:ascii="Times New Roman" w:hAnsi="Times New Roman"/>
          <w:sz w:val="20"/>
          <w:szCs w:val="20"/>
        </w:rPr>
        <w:t>These authors contributed equally to this work and listed as co-first authors.</w:t>
      </w:r>
    </w:p>
    <w:p w14:paraId="5F98502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25DF75CB">
      <w:pP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Table S1  The Olink Immuno-Oncology panel using in this study.</w:t>
      </w:r>
    </w:p>
    <w:tbl>
      <w:tblPr>
        <w:tblStyle w:val="3"/>
        <w:tblpPr w:leftFromText="180" w:rightFromText="180" w:vertAnchor="page" w:horzAnchor="page" w:tblpX="1151" w:tblpY="2586"/>
        <w:tblOverlap w:val="never"/>
        <w:tblW w:w="9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104"/>
        <w:gridCol w:w="985"/>
        <w:gridCol w:w="1000"/>
        <w:gridCol w:w="1030"/>
        <w:gridCol w:w="1015"/>
        <w:gridCol w:w="1055"/>
        <w:gridCol w:w="945"/>
        <w:gridCol w:w="925"/>
        <w:gridCol w:w="896"/>
      </w:tblGrid>
      <w:tr w14:paraId="1BA8C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  <w:shd w:val="clear" w:color="auto" w:fill="auto"/>
            <w:vAlign w:val="center"/>
          </w:tcPr>
          <w:p w14:paraId="4DF68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6927F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ADGRG1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0108D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ANGPT1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80A3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ANGPT2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344BA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ARG1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65185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CAIX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4DC4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CASP-8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D8B8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CCL17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57D67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CCL19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1F4C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CCL20</w:t>
            </w:r>
          </w:p>
        </w:tc>
      </w:tr>
      <w:tr w14:paraId="65C6F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  <w:shd w:val="clear" w:color="auto" w:fill="auto"/>
            <w:vAlign w:val="center"/>
          </w:tcPr>
          <w:p w14:paraId="3D1EE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CCL4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6BB50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CD244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4B0A1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CD27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31A8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CD28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3F29B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CD4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01232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CD40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06805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CD40-L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6C44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CD5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7AAAC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CD70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5E98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CD83</w:t>
            </w:r>
          </w:p>
        </w:tc>
      </w:tr>
      <w:tr w14:paraId="344F7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  <w:shd w:val="clear" w:color="auto" w:fill="auto"/>
            <w:vAlign w:val="center"/>
          </w:tcPr>
          <w:p w14:paraId="6A3DF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CSF-1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6579C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CX3CL1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6E6F2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CXCL1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6A6E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CXCL10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587D2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CXCL11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416CA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CXCL12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53CC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CXCL13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BD64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CXCL5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6309C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CXCL9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5FCFC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DCN</w:t>
            </w:r>
          </w:p>
        </w:tc>
      </w:tr>
      <w:tr w14:paraId="79358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  <w:shd w:val="clear" w:color="auto" w:fill="auto"/>
            <w:vAlign w:val="center"/>
          </w:tcPr>
          <w:p w14:paraId="7F993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FGF2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D649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Gal-1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41D5D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Gal-9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5B9F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GZMA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3F3FF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GZMB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7DDAC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GZMH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00F81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HGF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73C8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HO-1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544E1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ICOSLG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207D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IFN-gamma</w:t>
            </w:r>
          </w:p>
        </w:tc>
      </w:tr>
      <w:tr w14:paraId="61EC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  <w:shd w:val="clear" w:color="auto" w:fill="auto"/>
            <w:vAlign w:val="center"/>
          </w:tcPr>
          <w:p w14:paraId="013DC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IL12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E66E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IL12RB1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16104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IL13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4D18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IL15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6CFED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IL18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6A83E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IL2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001F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IL33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8C05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IL4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312B4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IL5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8EF8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IL6</w:t>
            </w:r>
          </w:p>
        </w:tc>
      </w:tr>
      <w:tr w14:paraId="1A8B9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  <w:shd w:val="clear" w:color="auto" w:fill="auto"/>
            <w:vAlign w:val="center"/>
          </w:tcPr>
          <w:p w14:paraId="294CB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KIR3DL1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0C26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KLRD1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7BA11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LAG3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0548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LAMP3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70B91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LAP TGF-bet1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6DE30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MCP-1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D75B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MCP-2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DFCC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MCP-3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76B3A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MCP-4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9A6F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MIC-A/B</w:t>
            </w:r>
          </w:p>
        </w:tc>
      </w:tr>
      <w:tr w14:paraId="1420F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  <w:shd w:val="clear" w:color="auto" w:fill="auto"/>
            <w:vAlign w:val="center"/>
          </w:tcPr>
          <w:p w14:paraId="7F160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MUC-16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3AA88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NCR1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30D3A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NOS3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423B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PD-L1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77251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PD-L2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26936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PDCD1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7067E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PDGF subunit B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45FA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PGF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089CA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PTN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FEBE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TIE2</w:t>
            </w:r>
          </w:p>
        </w:tc>
      </w:tr>
    </w:tbl>
    <w:p w14:paraId="32649BCA"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</w:p>
    <w:p w14:paraId="758CAD89"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</w:p>
    <w:p w14:paraId="04017A90">
      <w:pPr>
        <w:rPr>
          <w:rFonts w:hint="eastAsia" w:ascii="Times New Roman Bold" w:hAnsi="Times New Roman Bold" w:cs="Times New Roman Bold"/>
          <w:b/>
          <w:bCs/>
          <w:sz w:val="22"/>
          <w:szCs w:val="22"/>
        </w:rPr>
      </w:pPr>
    </w:p>
    <w:p w14:paraId="6EEAC57A">
      <w:pPr>
        <w:rPr>
          <w:rFonts w:hint="eastAsia" w:ascii="Times New Roman Bold" w:hAnsi="Times New Roman Bold" w:cs="Times New Roman Bold"/>
          <w:b/>
          <w:bCs/>
          <w:sz w:val="22"/>
          <w:szCs w:val="22"/>
        </w:rPr>
      </w:pPr>
    </w:p>
    <w:p w14:paraId="03AFFFBF">
      <w:pPr>
        <w:rPr>
          <w:rFonts w:hint="eastAsia" w:ascii="Times New Roman Bold" w:hAnsi="Times New Roman Bold" w:cs="Times New Roman Bold"/>
          <w:b/>
          <w:bCs/>
          <w:sz w:val="22"/>
          <w:szCs w:val="22"/>
        </w:rPr>
      </w:pPr>
    </w:p>
    <w:p w14:paraId="34958BF1">
      <w:pPr>
        <w:rPr>
          <w:rFonts w:hint="eastAsia" w:ascii="Times New Roman Bold" w:hAnsi="Times New Roman Bold" w:cs="Times New Roman Bold"/>
          <w:b/>
          <w:bCs/>
          <w:sz w:val="22"/>
          <w:szCs w:val="22"/>
        </w:rPr>
      </w:pPr>
      <w:r>
        <w:rPr>
          <w:rFonts w:hint="eastAsia" w:ascii="Times New Roman Bold" w:hAnsi="Times New Roman Bold" w:cs="Times New Roman Bold"/>
          <w:b/>
          <w:bCs/>
          <w:sz w:val="22"/>
          <w:szCs w:val="22"/>
        </w:rPr>
        <w:br w:type="page"/>
      </w:r>
    </w:p>
    <w:p w14:paraId="6B26CABE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 Bold" w:hAnsi="Times New Roman Bold" w:cs="Times New Roman Bold"/>
          <w:b/>
          <w:bCs/>
          <w:sz w:val="22"/>
          <w:szCs w:val="22"/>
        </w:rPr>
        <w:t>T</w:t>
      </w:r>
      <w:r>
        <w:rPr>
          <w:rFonts w:ascii="Times New Roman Bold" w:hAnsi="Times New Roman Bold" w:cs="Times New Roman Bold"/>
          <w:b/>
          <w:bCs/>
          <w:sz w:val="22"/>
          <w:szCs w:val="22"/>
        </w:rPr>
        <w:t xml:space="preserve">able </w:t>
      </w:r>
      <w:r>
        <w:rPr>
          <w:rFonts w:hint="eastAsia" w:ascii="Times New Roman Bold" w:hAnsi="Times New Roman Bold" w:cs="Times New Roman Bold"/>
          <w:b/>
          <w:bCs/>
          <w:sz w:val="22"/>
          <w:szCs w:val="22"/>
          <w:lang w:val="en-US" w:eastAsia="zh-CN"/>
        </w:rPr>
        <w:t>S</w:t>
      </w:r>
      <w:r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Immune-related adverse events </w:t>
      </w:r>
      <w:r>
        <w:rPr>
          <w:rFonts w:hint="default" w:ascii="Times New Roman" w:hAnsi="Times New Roman" w:cs="Times New Roman"/>
          <w:b/>
          <w:bCs/>
          <w:lang w:val="en-US"/>
        </w:rPr>
        <w:t>among</w:t>
      </w:r>
      <w:r>
        <w:rPr>
          <w:rFonts w:ascii="Times New Roman" w:hAnsi="Times New Roman" w:cs="Times New Roman"/>
          <w:b/>
          <w:bCs/>
        </w:rPr>
        <w:t xml:space="preserve"> patients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 in Cohort 1</w:t>
      </w:r>
      <w:r>
        <w:rPr>
          <w:rFonts w:ascii="Times New Roman" w:hAnsi="Times New Roman" w:cs="Times New Roman"/>
          <w:b/>
          <w:bCs/>
        </w:rPr>
        <w:t>.</w:t>
      </w:r>
    </w:p>
    <w:p w14:paraId="4D671357">
      <w:pPr>
        <w:rPr>
          <w:rFonts w:ascii="Times New Roman" w:hAnsi="Times New Roman" w:cs="Times New Roman"/>
          <w:b/>
          <w:bCs/>
        </w:rPr>
      </w:pPr>
    </w:p>
    <w:tbl>
      <w:tblPr>
        <w:tblStyle w:val="5"/>
        <w:tblW w:w="9923" w:type="dxa"/>
        <w:tblInd w:w="-709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851"/>
        <w:gridCol w:w="567"/>
        <w:gridCol w:w="1134"/>
        <w:gridCol w:w="1276"/>
        <w:gridCol w:w="1134"/>
        <w:gridCol w:w="1559"/>
        <w:gridCol w:w="1276"/>
        <w:gridCol w:w="1417"/>
      </w:tblGrid>
      <w:tr w14:paraId="35EC2ECB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31256F64">
            <w:pPr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ID</w:t>
            </w:r>
          </w:p>
        </w:tc>
        <w:tc>
          <w:tcPr>
            <w:tcW w:w="851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3499C005">
            <w:pPr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Sex</w:t>
            </w:r>
          </w:p>
        </w:tc>
        <w:tc>
          <w:tcPr>
            <w:tcW w:w="567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27571E76">
            <w:pPr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0"/>
                <w:szCs w:val="20"/>
              </w:rPr>
              <w:t>ge</w:t>
            </w:r>
          </w:p>
        </w:tc>
        <w:tc>
          <w:tcPr>
            <w:tcW w:w="1134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1E39ACBA">
            <w:pPr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0"/>
                <w:szCs w:val="20"/>
              </w:rPr>
              <w:t>Pathology</w:t>
            </w:r>
          </w:p>
        </w:tc>
        <w:tc>
          <w:tcPr>
            <w:tcW w:w="1276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3F847F71">
            <w:pPr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Stage</w:t>
            </w:r>
          </w:p>
        </w:tc>
        <w:tc>
          <w:tcPr>
            <w:tcW w:w="1134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696BFEB8">
            <w:pPr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PD-L1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 TPS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 %</w:t>
            </w:r>
          </w:p>
        </w:tc>
        <w:tc>
          <w:tcPr>
            <w:tcW w:w="1559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5AE70A7">
            <w:pPr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I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AE</w:t>
            </w:r>
          </w:p>
        </w:tc>
        <w:tc>
          <w:tcPr>
            <w:tcW w:w="1276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1244400D">
            <w:pPr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Time from ICI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, weeks</w:t>
            </w:r>
          </w:p>
        </w:tc>
        <w:tc>
          <w:tcPr>
            <w:tcW w:w="1417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47C13D99">
            <w:pPr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Treatment 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nterruption</w:t>
            </w:r>
          </w:p>
        </w:tc>
      </w:tr>
      <w:tr w14:paraId="2CE55559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574597EE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ID3</w:t>
            </w:r>
          </w:p>
        </w:tc>
        <w:tc>
          <w:tcPr>
            <w:tcW w:w="85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23D28DA8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F3152C7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86D8BD9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SCC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9A4838C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T2N0M1a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4803E335">
            <w:pPr>
              <w:widowControl/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55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65AE119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G1myositis, hepatitis and pneumonia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60D6AC5D">
            <w:pPr>
              <w:widowControl/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A0D0A9F">
            <w:pPr>
              <w:widowControl/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260FF58B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5BD5B98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ID4</w:t>
            </w:r>
          </w:p>
        </w:tc>
        <w:tc>
          <w:tcPr>
            <w:tcW w:w="851" w:type="dxa"/>
          </w:tcPr>
          <w:p w14:paraId="254301A4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567" w:type="dxa"/>
          </w:tcPr>
          <w:p w14:paraId="7C5E0C5B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134" w:type="dxa"/>
          </w:tcPr>
          <w:p w14:paraId="492A1018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Aden</w:t>
            </w:r>
          </w:p>
        </w:tc>
        <w:tc>
          <w:tcPr>
            <w:tcW w:w="1276" w:type="dxa"/>
          </w:tcPr>
          <w:p w14:paraId="73EBE8ED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T4N2M1c</w:t>
            </w:r>
          </w:p>
        </w:tc>
        <w:tc>
          <w:tcPr>
            <w:tcW w:w="1134" w:type="dxa"/>
          </w:tcPr>
          <w:p w14:paraId="4D099C57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0A64C17F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G1 myocarditis</w:t>
            </w:r>
          </w:p>
        </w:tc>
        <w:tc>
          <w:tcPr>
            <w:tcW w:w="1276" w:type="dxa"/>
          </w:tcPr>
          <w:p w14:paraId="326CD761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374A820F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3B56A18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E664414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ID8</w:t>
            </w:r>
          </w:p>
        </w:tc>
        <w:tc>
          <w:tcPr>
            <w:tcW w:w="85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39D333E1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56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47CDFD24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4B90D494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Aden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F9E4E92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T1N1M1c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5B441C39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6ABD592B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G2 dermatitis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9D41852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53DD8B55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6BB966F7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76887690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ID10</w:t>
            </w:r>
          </w:p>
        </w:tc>
        <w:tc>
          <w:tcPr>
            <w:tcW w:w="851" w:type="dxa"/>
          </w:tcPr>
          <w:p w14:paraId="68F84D4A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567" w:type="dxa"/>
          </w:tcPr>
          <w:p w14:paraId="7558F8B9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134" w:type="dxa"/>
          </w:tcPr>
          <w:p w14:paraId="5480FCAE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SCC</w:t>
            </w:r>
          </w:p>
        </w:tc>
        <w:tc>
          <w:tcPr>
            <w:tcW w:w="1276" w:type="dxa"/>
          </w:tcPr>
          <w:p w14:paraId="2D08914F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T2N3M1a</w:t>
            </w:r>
          </w:p>
        </w:tc>
        <w:tc>
          <w:tcPr>
            <w:tcW w:w="1134" w:type="dxa"/>
          </w:tcPr>
          <w:p w14:paraId="4791EA1A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1DACF7C6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G2 pneumonia</w:t>
            </w:r>
          </w:p>
        </w:tc>
        <w:tc>
          <w:tcPr>
            <w:tcW w:w="1276" w:type="dxa"/>
          </w:tcPr>
          <w:p w14:paraId="2445D206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14:paraId="5856599D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83A9D06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2AE88380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ID11</w:t>
            </w:r>
          </w:p>
        </w:tc>
        <w:tc>
          <w:tcPr>
            <w:tcW w:w="85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0A5383F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56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626E1EBE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19E67A2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Aden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65FC7CA1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T4N0M1a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2CECF450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DB1FA4D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G2 capillary hyperplasia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3792EF2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5C20FD93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3107CD73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4DAE34B5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ID12</w:t>
            </w:r>
          </w:p>
        </w:tc>
        <w:tc>
          <w:tcPr>
            <w:tcW w:w="851" w:type="dxa"/>
          </w:tcPr>
          <w:p w14:paraId="7348010D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567" w:type="dxa"/>
          </w:tcPr>
          <w:p w14:paraId="00CFF1EF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134" w:type="dxa"/>
          </w:tcPr>
          <w:p w14:paraId="25986AA7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LCNEC</w:t>
            </w:r>
          </w:p>
        </w:tc>
        <w:tc>
          <w:tcPr>
            <w:tcW w:w="1276" w:type="dxa"/>
          </w:tcPr>
          <w:p w14:paraId="1CDBBBFD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T4N0M1c</w:t>
            </w:r>
          </w:p>
        </w:tc>
        <w:tc>
          <w:tcPr>
            <w:tcW w:w="1134" w:type="dxa"/>
          </w:tcPr>
          <w:p w14:paraId="0E41A909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559" w:type="dxa"/>
          </w:tcPr>
          <w:p w14:paraId="31537A5D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G1 nephritis</w:t>
            </w: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pneumonia</w:t>
            </w:r>
          </w:p>
        </w:tc>
        <w:tc>
          <w:tcPr>
            <w:tcW w:w="1276" w:type="dxa"/>
          </w:tcPr>
          <w:p w14:paraId="521D67F0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14:paraId="27F050F1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414BB73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248E834C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ID15</w:t>
            </w:r>
          </w:p>
        </w:tc>
        <w:tc>
          <w:tcPr>
            <w:tcW w:w="85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7C028BC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35003D81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CED5AC4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SCC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433C9CA1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T1cN3M0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A10990E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47859810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G2 pneumonia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26953A0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60B7EBF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C5635C8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19C6F004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ID17</w:t>
            </w:r>
          </w:p>
        </w:tc>
        <w:tc>
          <w:tcPr>
            <w:tcW w:w="851" w:type="dxa"/>
          </w:tcPr>
          <w:p w14:paraId="0D6BEDF6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567" w:type="dxa"/>
          </w:tcPr>
          <w:p w14:paraId="35F0B514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134" w:type="dxa"/>
          </w:tcPr>
          <w:p w14:paraId="6F07D32C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Aden</w:t>
            </w:r>
          </w:p>
        </w:tc>
        <w:tc>
          <w:tcPr>
            <w:tcW w:w="1276" w:type="dxa"/>
          </w:tcPr>
          <w:p w14:paraId="416FC96C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T4N3M0</w:t>
            </w:r>
          </w:p>
        </w:tc>
        <w:tc>
          <w:tcPr>
            <w:tcW w:w="1134" w:type="dxa"/>
          </w:tcPr>
          <w:p w14:paraId="1AAE9CFA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74D5FF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G1 capillary hyperplasia</w:t>
            </w:r>
          </w:p>
        </w:tc>
        <w:tc>
          <w:tcPr>
            <w:tcW w:w="1276" w:type="dxa"/>
          </w:tcPr>
          <w:p w14:paraId="71298FE4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14:paraId="0125AF8B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5CA1471B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0630810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ID13</w:t>
            </w:r>
          </w:p>
        </w:tc>
        <w:tc>
          <w:tcPr>
            <w:tcW w:w="85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2E807EDF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304A737D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60558F60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Aden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3D76990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T2N2M1b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63BA221E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55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36934D0F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G1 pneumonia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A5DCE8E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4C4D1B38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6DF602A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4F03006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ID24</w:t>
            </w:r>
          </w:p>
        </w:tc>
        <w:tc>
          <w:tcPr>
            <w:tcW w:w="851" w:type="dxa"/>
          </w:tcPr>
          <w:p w14:paraId="127A9008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567" w:type="dxa"/>
          </w:tcPr>
          <w:p w14:paraId="1CED19D7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134" w:type="dxa"/>
          </w:tcPr>
          <w:p w14:paraId="366C2AEA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NSCLC</w:t>
            </w:r>
          </w:p>
        </w:tc>
        <w:tc>
          <w:tcPr>
            <w:tcW w:w="1276" w:type="dxa"/>
          </w:tcPr>
          <w:p w14:paraId="5F873A44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T4N2M1b</w:t>
            </w:r>
          </w:p>
        </w:tc>
        <w:tc>
          <w:tcPr>
            <w:tcW w:w="1134" w:type="dxa"/>
          </w:tcPr>
          <w:p w14:paraId="665B4BDE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14:paraId="4B50442F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G1 pneumonia</w:t>
            </w:r>
          </w:p>
        </w:tc>
        <w:tc>
          <w:tcPr>
            <w:tcW w:w="1276" w:type="dxa"/>
          </w:tcPr>
          <w:p w14:paraId="2F624A25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14:paraId="786DB457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594374FE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E1D9CBC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ID26</w:t>
            </w:r>
          </w:p>
        </w:tc>
        <w:tc>
          <w:tcPr>
            <w:tcW w:w="85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2621FFF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1E50288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0773D8A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Aden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5C11A4FB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T2N3M0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301BA4E3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8D3176B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G1 dermatitis</w:t>
            </w:r>
          </w:p>
        </w:tc>
        <w:tc>
          <w:tcPr>
            <w:tcW w:w="12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5269BDB0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34D39DC8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6261115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73475B2">
            <w:pPr>
              <w:widowControl/>
              <w:jc w:val="left"/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ID31</w:t>
            </w:r>
          </w:p>
        </w:tc>
        <w:tc>
          <w:tcPr>
            <w:tcW w:w="851" w:type="dxa"/>
          </w:tcPr>
          <w:p w14:paraId="136A112C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567" w:type="dxa"/>
          </w:tcPr>
          <w:p w14:paraId="2EE94818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134" w:type="dxa"/>
          </w:tcPr>
          <w:p w14:paraId="17F08E3A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SCC</w:t>
            </w:r>
          </w:p>
        </w:tc>
        <w:tc>
          <w:tcPr>
            <w:tcW w:w="1276" w:type="dxa"/>
          </w:tcPr>
          <w:p w14:paraId="4DD57DAC">
            <w:pP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T2N1M1c</w:t>
            </w:r>
          </w:p>
        </w:tc>
        <w:tc>
          <w:tcPr>
            <w:tcW w:w="1134" w:type="dxa"/>
          </w:tcPr>
          <w:p w14:paraId="61A66166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4395953A">
            <w:pPr>
              <w:widowControl/>
              <w:jc w:val="left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 xml:space="preserve">G2 </w:t>
            </w:r>
            <w:r>
              <w:rPr>
                <w:rFonts w:hint="eastAsia"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neumonia myocarditis</w:t>
            </w:r>
          </w:p>
        </w:tc>
        <w:tc>
          <w:tcPr>
            <w:tcW w:w="1276" w:type="dxa"/>
          </w:tcPr>
          <w:p w14:paraId="2A54BB55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58B547FF">
            <w:pPr>
              <w:jc w:val="center"/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楷体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</w:tbl>
    <w:p w14:paraId="2896386E">
      <w:pPr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Abbreviations: ICI=immune checkpoint inhibitor; PC=pemetrexed and carboplatin</w:t>
      </w:r>
      <w:r>
        <w:rPr>
          <w:rFonts w:hint="eastAsia" w:ascii="Times New Roman" w:hAnsi="Times New Roman" w:cs="Times New Roman"/>
          <w:sz w:val="20"/>
          <w:szCs w:val="22"/>
        </w:rPr>
        <w:t>;</w:t>
      </w:r>
      <w:r>
        <w:rPr>
          <w:rFonts w:ascii="Times New Roman" w:hAnsi="Times New Roman" w:cs="Times New Roman"/>
          <w:sz w:val="20"/>
          <w:szCs w:val="22"/>
        </w:rPr>
        <w:t xml:space="preserve"> NC=nab-paclitaxel and carboplatin</w:t>
      </w:r>
      <w:r>
        <w:rPr>
          <w:rFonts w:hint="eastAsia" w:ascii="Times New Roman" w:hAnsi="Times New Roman" w:cs="Times New Roman"/>
          <w:sz w:val="20"/>
          <w:szCs w:val="22"/>
        </w:rPr>
        <w:t>; i</w:t>
      </w:r>
      <w:r>
        <w:rPr>
          <w:rFonts w:ascii="Times New Roman" w:hAnsi="Times New Roman" w:cs="Times New Roman"/>
          <w:sz w:val="20"/>
          <w:szCs w:val="22"/>
        </w:rPr>
        <w:t>rAE=Immune-related adverse events; Aden=adenocarcinoma; SCC=squamous cell carcinoma.</w:t>
      </w:r>
    </w:p>
    <w:p w14:paraId="55E80B52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70A1CD51">
      <w:pPr>
        <w:spacing w:line="36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hint="eastAsia" w:ascii="Times New Roman" w:hAnsi="Times New Roman"/>
          <w:b/>
          <w:bCs/>
          <w:sz w:val="20"/>
          <w:szCs w:val="20"/>
          <w:lang w:val="en-US" w:eastAsia="zh-CN"/>
        </w:rPr>
        <w:t>Fig. S1</w:t>
      </w:r>
      <w:r>
        <w:rPr>
          <w:rFonts w:ascii="Times New Roman" w:hAnsi="Times New Roman"/>
          <w:b/>
          <w:bCs/>
          <w:sz w:val="20"/>
          <w:szCs w:val="20"/>
        </w:rPr>
        <w:t xml:space="preserve"> S</w:t>
      </w:r>
      <w:r>
        <w:rPr>
          <w:rFonts w:hint="eastAsia" w:ascii="Times New Roman" w:hAnsi="Times New Roman"/>
          <w:b/>
          <w:bCs/>
          <w:sz w:val="20"/>
          <w:szCs w:val="20"/>
        </w:rPr>
        <w:t>urvival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/>
          <w:b/>
          <w:bCs/>
          <w:sz w:val="20"/>
          <w:szCs w:val="20"/>
        </w:rPr>
        <w:t>curves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/>
          <w:b/>
          <w:bCs/>
          <w:sz w:val="20"/>
          <w:szCs w:val="20"/>
        </w:rPr>
        <w:t>of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/>
          <w:b/>
          <w:bCs/>
          <w:sz w:val="20"/>
          <w:szCs w:val="20"/>
        </w:rPr>
        <w:t>patients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/>
          <w:b/>
          <w:bCs/>
          <w:sz w:val="20"/>
          <w:szCs w:val="20"/>
        </w:rPr>
        <w:t>in</w:t>
      </w:r>
      <w:r>
        <w:rPr>
          <w:rFonts w:ascii="Times New Roman" w:hAnsi="Times New Roman"/>
          <w:b/>
          <w:bCs/>
          <w:sz w:val="20"/>
          <w:szCs w:val="20"/>
        </w:rPr>
        <w:t xml:space="preserve"> C</w:t>
      </w:r>
      <w:r>
        <w:rPr>
          <w:rFonts w:hint="eastAsia" w:ascii="Times New Roman" w:hAnsi="Times New Roman"/>
          <w:b/>
          <w:bCs/>
          <w:sz w:val="20"/>
          <w:szCs w:val="20"/>
        </w:rPr>
        <w:t>ohort</w:t>
      </w:r>
      <w:r>
        <w:rPr>
          <w:rFonts w:ascii="Times New Roman" w:hAnsi="Times New Roman"/>
          <w:b/>
          <w:bCs/>
          <w:sz w:val="20"/>
          <w:szCs w:val="20"/>
        </w:rPr>
        <w:t xml:space="preserve"> 2.</w:t>
      </w:r>
    </w:p>
    <w:p w14:paraId="7BD42521">
      <w:pPr>
        <w:spacing w:line="360" w:lineRule="auto"/>
        <w:rPr>
          <w:rFonts w:hint="default" w:ascii="Times New Roman" w:hAnsi="Times New Roman" w:eastAsia="等线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eastAsia="等线"/>
          <w:b/>
          <w:bCs/>
          <w:sz w:val="20"/>
          <w:szCs w:val="20"/>
          <w:lang w:val="en-US" w:eastAsia="zh-CN"/>
        </w:rPr>
        <w:drawing>
          <wp:inline distT="0" distB="0" distL="114300" distR="114300">
            <wp:extent cx="5273675" cy="2283460"/>
            <wp:effectExtent l="0" t="0" r="3175" b="2540"/>
            <wp:docPr id="6" name="图片 6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8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2DC24F16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br w:type="page"/>
      </w:r>
    </w:p>
    <w:p w14:paraId="1FA95FA6">
      <w:pPr>
        <w:spacing w:line="36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Fig</w:t>
      </w:r>
      <w:r>
        <w:rPr>
          <w:rFonts w:hint="eastAsia" w:ascii="Times New Roman" w:hAnsi="Times New Roman"/>
          <w:b/>
          <w:bCs/>
          <w:sz w:val="20"/>
          <w:szCs w:val="20"/>
          <w:lang w:val="en-US" w:eastAsia="zh-CN"/>
        </w:rPr>
        <w:t>.</w:t>
      </w:r>
      <w:r>
        <w:rPr>
          <w:rFonts w:ascii="Times New Roman" w:hAnsi="Times New Roman"/>
          <w:b/>
          <w:bCs/>
          <w:sz w:val="20"/>
          <w:szCs w:val="20"/>
        </w:rPr>
        <w:t xml:space="preserve"> S2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Heatmap of DEPs classified by EGFR mutation status </w:t>
      </w:r>
      <w:r>
        <w:rPr>
          <w:rFonts w:hint="eastAsia" w:ascii="Times New Roman" w:hAnsi="Times New Roman"/>
          <w:b/>
          <w:bCs/>
          <w:sz w:val="20"/>
          <w:szCs w:val="20"/>
        </w:rPr>
        <w:t>in</w:t>
      </w:r>
      <w:r>
        <w:rPr>
          <w:rFonts w:ascii="Times New Roman" w:hAnsi="Times New Roman"/>
          <w:b/>
          <w:bCs/>
          <w:sz w:val="20"/>
          <w:szCs w:val="20"/>
        </w:rPr>
        <w:t xml:space="preserve"> NSCLC </w:t>
      </w:r>
      <w:r>
        <w:rPr>
          <w:rFonts w:hint="eastAsia" w:ascii="Times New Roman" w:hAnsi="Times New Roman"/>
          <w:b/>
          <w:bCs/>
          <w:sz w:val="20"/>
          <w:szCs w:val="20"/>
        </w:rPr>
        <w:t>patients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14:paraId="1AAA8E9F">
      <w:pPr>
        <w:rPr>
          <w:rFonts w:hint="eastAsia" w:eastAsia="等线"/>
          <w:lang w:eastAsia="zh-CN"/>
        </w:rPr>
      </w:pPr>
      <w:r>
        <w:rPr>
          <w:rFonts w:hint="eastAsia" w:eastAsia="等线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-644525</wp:posOffset>
            </wp:positionH>
            <wp:positionV relativeFrom="paragraph">
              <wp:posOffset>240665</wp:posOffset>
            </wp:positionV>
            <wp:extent cx="6212840" cy="4200525"/>
            <wp:effectExtent l="0" t="0" r="10160" b="15875"/>
            <wp:wrapTopAndBottom/>
            <wp:docPr id="2" name="图片 2" descr="6. Fig S2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. Fig S2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等线"/>
          <w:lang w:eastAsia="zh-CN"/>
        </w:rPr>
        <w:br w:type="page"/>
      </w:r>
    </w:p>
    <w:p w14:paraId="7BB6027D">
      <w:pPr>
        <w:spacing w:line="36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hint="eastAsia" w:ascii="Times New Roman" w:hAnsi="Times New Roman"/>
          <w:b/>
          <w:bCs/>
          <w:sz w:val="20"/>
          <w:szCs w:val="20"/>
        </w:rPr>
        <w:t>F</w:t>
      </w:r>
      <w:r>
        <w:rPr>
          <w:rFonts w:ascii="Times New Roman" w:hAnsi="Times New Roman"/>
          <w:b/>
          <w:bCs/>
          <w:sz w:val="20"/>
          <w:szCs w:val="20"/>
        </w:rPr>
        <w:t>ig</w:t>
      </w:r>
      <w:r>
        <w:rPr>
          <w:rFonts w:hint="eastAsia" w:ascii="Times New Roman" w:hAnsi="Times New Roman"/>
          <w:b/>
          <w:bCs/>
          <w:sz w:val="20"/>
          <w:szCs w:val="20"/>
          <w:lang w:val="en-US" w:eastAsia="zh-CN"/>
        </w:rPr>
        <w:t xml:space="preserve">. </w:t>
      </w:r>
      <w:r>
        <w:rPr>
          <w:rFonts w:ascii="Times New Roman" w:hAnsi="Times New Roman"/>
          <w:b/>
          <w:bCs/>
          <w:sz w:val="20"/>
          <w:szCs w:val="20"/>
        </w:rPr>
        <w:t>S3 Gating strategy of immunophenotyping of peripheral cells.</w:t>
      </w:r>
    </w:p>
    <w:p w14:paraId="3B29B617">
      <w:pPr>
        <w:rPr>
          <w:rFonts w:hint="eastAsia" w:eastAsia="等线"/>
          <w:lang w:eastAsia="zh-CN"/>
        </w:rPr>
      </w:pPr>
      <w:r>
        <w:rPr>
          <w:rFonts w:hint="eastAsia" w:eastAsia="等线"/>
          <w:lang w:eastAsia="zh-CN"/>
        </w:rPr>
        <w:drawing>
          <wp:inline distT="0" distB="0" distL="114300" distR="114300">
            <wp:extent cx="5438775" cy="6657975"/>
            <wp:effectExtent l="0" t="0" r="22225" b="22225"/>
            <wp:docPr id="3" name="图片 3" descr="7. Fig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. Fig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Bold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lOGQwZDRmODE1N2ViMWZhM2YxNWU2N2E2NmNjZmYifQ=="/>
  </w:docVars>
  <w:rsids>
    <w:rsidRoot w:val="FFFFED6C"/>
    <w:rsid w:val="53A51BB3"/>
    <w:rsid w:val="7F7F92EA"/>
    <w:rsid w:val="7FD73E58"/>
    <w:rsid w:val="7FFF6F9B"/>
    <w:rsid w:val="BB5E2988"/>
    <w:rsid w:val="BFDF696E"/>
    <w:rsid w:val="F22B0F9A"/>
    <w:rsid w:val="FFFFE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无格式表格 21"/>
    <w:basedOn w:val="2"/>
    <w:qFormat/>
    <w:uiPriority w:val="42"/>
    <w:rPr>
      <w:kern w:val="0"/>
      <w:sz w:val="20"/>
      <w:szCs w:val="20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505</Words>
  <Characters>2976</Characters>
  <Lines>0</Lines>
  <Paragraphs>0</Paragraphs>
  <TotalTime>9</TotalTime>
  <ScaleCrop>false</ScaleCrop>
  <LinksUpToDate>false</LinksUpToDate>
  <CharactersWithSpaces>3276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2025-06-06T07:20:00Z</dcterms:created>
  <dc:creator>菲</dc:creator>
  <cp:lastModifiedBy>ying</cp:lastModifiedBy>
  <dcterms:modified xsi:type="dcterms:W3CDTF">2025-07-02T04:37:16Z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A521B8E71035DE9FEA4E416896C0370E_43</vt:lpwstr>
  </property>
  <property fmtid="{D5CDD505-2E9C-101B-9397-08002B2CF9AE}" pid="4" name="KSOTemplateDocerSaveRecord">
    <vt:lpwstr>eyJoZGlkIjoiZTAzOTlkZjJhOTIwYTE1ZTcxZDBmMWRjOWVmNzU1NWIiLCJ1c2VySWQiOiIzODM5MjQ0MjkifQ==</vt:lpwstr>
  </property>
</Properties>
</file>