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6C50" w14:textId="77777777" w:rsidR="00CD58A7" w:rsidRPr="00F11EA8" w:rsidRDefault="00CD58A7" w:rsidP="00CD58A7">
      <w:pPr>
        <w:spacing w:after="0" w:line="480" w:lineRule="auto"/>
        <w:jc w:val="both"/>
        <w:rPr>
          <w:rFonts w:ascii="Times New Roman" w:hAnsi="Times New Roman" w:cs="Times New Roman"/>
          <w:b/>
          <w:bCs/>
          <w:sz w:val="20"/>
          <w:szCs w:val="20"/>
          <w:lang w:val="en-US"/>
        </w:rPr>
      </w:pPr>
      <w:bookmarkStart w:id="0" w:name="_Hlk201048205"/>
      <w:r w:rsidRPr="00F11EA8">
        <w:rPr>
          <w:rFonts w:ascii="Times New Roman" w:hAnsi="Times New Roman" w:cs="Times New Roman"/>
          <w:b/>
          <w:bCs/>
          <w:sz w:val="20"/>
          <w:szCs w:val="20"/>
          <w:lang w:val="en-US"/>
        </w:rPr>
        <w:t xml:space="preserve">Functional profiling of somatostatin receptors identifies Somatostatin Receptor Subtype 2 as a vulnerability in Succinate Dehydrogenase </w:t>
      </w:r>
      <w:r w:rsidRPr="00F11EA8">
        <w:rPr>
          <w:rFonts w:ascii="Times New Roman" w:hAnsi="Times New Roman" w:cs="Times New Roman"/>
          <w:b/>
          <w:bCs/>
          <w:i/>
          <w:iCs/>
          <w:sz w:val="20"/>
          <w:szCs w:val="20"/>
          <w:lang w:val="en-US"/>
        </w:rPr>
        <w:t>SDHB</w:t>
      </w:r>
      <w:r w:rsidRPr="00F11EA8">
        <w:rPr>
          <w:rFonts w:ascii="Times New Roman" w:hAnsi="Times New Roman" w:cs="Times New Roman"/>
          <w:b/>
          <w:bCs/>
          <w:sz w:val="20"/>
          <w:szCs w:val="20"/>
          <w:lang w:val="en-US"/>
        </w:rPr>
        <w:t>-deficient pheochromocytomas and paragangliomas</w:t>
      </w:r>
    </w:p>
    <w:p w14:paraId="7BBA7484" w14:textId="77777777" w:rsidR="00D335E6" w:rsidRPr="00F11EA8" w:rsidRDefault="00D335E6" w:rsidP="00D335E6">
      <w:pPr>
        <w:spacing w:after="0" w:line="480" w:lineRule="auto"/>
        <w:jc w:val="center"/>
        <w:rPr>
          <w:rFonts w:ascii="Times New Roman" w:hAnsi="Times New Roman" w:cs="Times New Roman"/>
          <w:sz w:val="20"/>
          <w:szCs w:val="20"/>
          <w:lang w:val="en-US"/>
        </w:rPr>
      </w:pPr>
    </w:p>
    <w:p w14:paraId="3B14F453" w14:textId="77777777" w:rsidR="00D335E6" w:rsidRPr="00F11EA8" w:rsidRDefault="00D335E6" w:rsidP="00D335E6">
      <w:pPr>
        <w:spacing w:after="0" w:line="480" w:lineRule="auto"/>
        <w:jc w:val="both"/>
        <w:rPr>
          <w:rFonts w:ascii="Times New Roman" w:hAnsi="Times New Roman" w:cs="Times New Roman"/>
          <w:sz w:val="20"/>
          <w:szCs w:val="20"/>
          <w:vertAlign w:val="superscript"/>
        </w:rPr>
      </w:pPr>
      <w:r w:rsidRPr="00F11EA8">
        <w:rPr>
          <w:rFonts w:ascii="Times New Roman" w:hAnsi="Times New Roman" w:cs="Times New Roman"/>
          <w:sz w:val="20"/>
          <w:szCs w:val="20"/>
        </w:rPr>
        <w:t>Víctor García-Vioque</w:t>
      </w:r>
      <w:r w:rsidRPr="00F11EA8">
        <w:rPr>
          <w:rFonts w:ascii="Times New Roman" w:hAnsi="Times New Roman" w:cs="Times New Roman"/>
          <w:sz w:val="20"/>
          <w:szCs w:val="20"/>
          <w:vertAlign w:val="superscript"/>
        </w:rPr>
        <w:t>1,2,3</w:t>
      </w:r>
      <w:r w:rsidRPr="00F11EA8">
        <w:rPr>
          <w:rFonts w:ascii="Times New Roman" w:hAnsi="Times New Roman" w:cs="Times New Roman"/>
          <w:sz w:val="20"/>
          <w:szCs w:val="20"/>
        </w:rPr>
        <w:t>†, Sergio Pedraza-Arevalo</w:t>
      </w:r>
      <w:r w:rsidRPr="00F11EA8">
        <w:rPr>
          <w:rFonts w:ascii="Times New Roman" w:hAnsi="Times New Roman" w:cs="Times New Roman"/>
          <w:sz w:val="20"/>
          <w:szCs w:val="20"/>
          <w:vertAlign w:val="superscript"/>
        </w:rPr>
        <w:t>1,2,3</w:t>
      </w:r>
      <w:r w:rsidRPr="00F11EA8">
        <w:rPr>
          <w:rFonts w:ascii="Times New Roman" w:hAnsi="Times New Roman" w:cs="Times New Roman"/>
          <w:sz w:val="20"/>
          <w:szCs w:val="20"/>
        </w:rPr>
        <w:t>†, María Trinidad Moreno-Montilla</w:t>
      </w:r>
      <w:r w:rsidRPr="00F11EA8">
        <w:rPr>
          <w:rFonts w:ascii="Times New Roman" w:hAnsi="Times New Roman" w:cs="Times New Roman"/>
          <w:sz w:val="20"/>
          <w:szCs w:val="20"/>
          <w:vertAlign w:val="superscript"/>
        </w:rPr>
        <w:t>1,2,3</w:t>
      </w:r>
      <w:r w:rsidRPr="00F11EA8">
        <w:rPr>
          <w:rFonts w:ascii="Times New Roman" w:hAnsi="Times New Roman" w:cs="Times New Roman"/>
          <w:sz w:val="20"/>
          <w:szCs w:val="20"/>
        </w:rPr>
        <w:t>, Esther Rivero-Cortés</w:t>
      </w:r>
      <w:r w:rsidRPr="00F11EA8">
        <w:rPr>
          <w:rFonts w:ascii="Times New Roman" w:hAnsi="Times New Roman" w:cs="Times New Roman"/>
          <w:sz w:val="20"/>
          <w:szCs w:val="20"/>
          <w:vertAlign w:val="superscript"/>
        </w:rPr>
        <w:t>1,2,3</w:t>
      </w:r>
      <w:r w:rsidRPr="00F11EA8">
        <w:rPr>
          <w:rFonts w:ascii="Times New Roman" w:hAnsi="Times New Roman" w:cs="Times New Roman"/>
          <w:sz w:val="20"/>
          <w:szCs w:val="20"/>
        </w:rPr>
        <w:t>, Ricardo Blázquez-Encinas</w:t>
      </w:r>
      <w:r w:rsidRPr="00F11EA8">
        <w:rPr>
          <w:rFonts w:ascii="Times New Roman" w:hAnsi="Times New Roman" w:cs="Times New Roman"/>
          <w:sz w:val="20"/>
          <w:szCs w:val="20"/>
          <w:vertAlign w:val="superscript"/>
        </w:rPr>
        <w:t>1,2,3</w:t>
      </w:r>
      <w:r w:rsidRPr="00F11EA8">
        <w:rPr>
          <w:rFonts w:ascii="Times New Roman" w:hAnsi="Times New Roman" w:cs="Times New Roman"/>
          <w:sz w:val="20"/>
          <w:szCs w:val="20"/>
        </w:rPr>
        <w:t>, Federica Mangili</w:t>
      </w:r>
      <w:r w:rsidRPr="00F11EA8">
        <w:rPr>
          <w:rFonts w:ascii="Times New Roman" w:hAnsi="Times New Roman" w:cs="Times New Roman"/>
          <w:sz w:val="20"/>
          <w:szCs w:val="20"/>
          <w:vertAlign w:val="superscript"/>
        </w:rPr>
        <w:t>1,2,3,4</w:t>
      </w:r>
      <w:r w:rsidRPr="00F11EA8">
        <w:rPr>
          <w:rFonts w:ascii="Times New Roman" w:hAnsi="Times New Roman" w:cs="Times New Roman"/>
          <w:sz w:val="20"/>
          <w:szCs w:val="20"/>
        </w:rPr>
        <w:t>, Ester Arroba</w:t>
      </w:r>
      <w:r w:rsidRPr="00F11EA8">
        <w:rPr>
          <w:rFonts w:ascii="Times New Roman" w:hAnsi="Times New Roman" w:cs="Times New Roman"/>
          <w:sz w:val="20"/>
          <w:szCs w:val="20"/>
          <w:vertAlign w:val="superscript"/>
        </w:rPr>
        <w:t>5</w:t>
      </w:r>
      <w:r w:rsidRPr="00F11EA8">
        <w:rPr>
          <w:rFonts w:ascii="Times New Roman" w:hAnsi="Times New Roman" w:cs="Times New Roman"/>
          <w:sz w:val="20"/>
          <w:szCs w:val="20"/>
        </w:rPr>
        <w:t>, Aura D. Herrera</w:t>
      </w:r>
      <w:r w:rsidRPr="00F11EA8">
        <w:rPr>
          <w:rFonts w:ascii="Times New Roman" w:hAnsi="Times New Roman" w:cs="Times New Roman"/>
          <w:sz w:val="20"/>
          <w:szCs w:val="20"/>
        </w:rPr>
        <w:noBreakHyphen/>
        <w:t>Martínez</w:t>
      </w:r>
      <w:r w:rsidRPr="00F11EA8">
        <w:rPr>
          <w:rFonts w:ascii="Times New Roman" w:hAnsi="Times New Roman" w:cs="Times New Roman"/>
          <w:sz w:val="20"/>
          <w:szCs w:val="20"/>
          <w:vertAlign w:val="superscript"/>
        </w:rPr>
        <w:t>2,6</w:t>
      </w:r>
      <w:r w:rsidRPr="00F11EA8">
        <w:rPr>
          <w:rFonts w:ascii="Times New Roman" w:hAnsi="Times New Roman" w:cs="Times New Roman"/>
          <w:sz w:val="20"/>
          <w:szCs w:val="20"/>
        </w:rPr>
        <w:t>, Michael D. Culler</w:t>
      </w:r>
      <w:r w:rsidRPr="00F11EA8">
        <w:rPr>
          <w:rFonts w:ascii="Times New Roman" w:hAnsi="Times New Roman" w:cs="Times New Roman"/>
          <w:sz w:val="20"/>
          <w:szCs w:val="20"/>
          <w:vertAlign w:val="superscript"/>
        </w:rPr>
        <w:t>7</w:t>
      </w:r>
      <w:r w:rsidRPr="00F11EA8">
        <w:rPr>
          <w:rFonts w:ascii="Times New Roman" w:hAnsi="Times New Roman" w:cs="Times New Roman"/>
          <w:sz w:val="20"/>
          <w:szCs w:val="20"/>
        </w:rPr>
        <w:t>, María Ángeles Gálvez-Moreno</w:t>
      </w:r>
      <w:r w:rsidRPr="00F11EA8">
        <w:rPr>
          <w:rFonts w:ascii="Times New Roman" w:hAnsi="Times New Roman" w:cs="Times New Roman"/>
          <w:sz w:val="20"/>
          <w:szCs w:val="20"/>
          <w:vertAlign w:val="superscript"/>
        </w:rPr>
        <w:t>2,6</w:t>
      </w:r>
      <w:r w:rsidRPr="00F11EA8">
        <w:rPr>
          <w:rFonts w:ascii="Times New Roman" w:hAnsi="Times New Roman" w:cs="Times New Roman"/>
          <w:sz w:val="20"/>
          <w:szCs w:val="20"/>
        </w:rPr>
        <w:t>, Anne Barlier</w:t>
      </w:r>
      <w:r w:rsidRPr="00F11EA8">
        <w:rPr>
          <w:rFonts w:ascii="Times New Roman" w:hAnsi="Times New Roman" w:cs="Times New Roman"/>
          <w:sz w:val="20"/>
          <w:szCs w:val="20"/>
          <w:vertAlign w:val="superscript"/>
        </w:rPr>
        <w:t>8</w:t>
      </w:r>
      <w:r w:rsidRPr="00F11EA8">
        <w:rPr>
          <w:rFonts w:ascii="Times New Roman" w:hAnsi="Times New Roman" w:cs="Times New Roman"/>
          <w:sz w:val="20"/>
          <w:szCs w:val="20"/>
        </w:rPr>
        <w:t>, Luisa María Botella</w:t>
      </w:r>
      <w:r w:rsidRPr="00F11EA8">
        <w:rPr>
          <w:rFonts w:ascii="Times New Roman" w:hAnsi="Times New Roman" w:cs="Times New Roman"/>
          <w:sz w:val="20"/>
          <w:szCs w:val="20"/>
          <w:vertAlign w:val="superscript"/>
        </w:rPr>
        <w:t>9</w:t>
      </w:r>
      <w:r w:rsidRPr="00F11EA8">
        <w:rPr>
          <w:rFonts w:ascii="Times New Roman" w:hAnsi="Times New Roman" w:cs="Times New Roman"/>
          <w:sz w:val="20"/>
          <w:szCs w:val="20"/>
        </w:rPr>
        <w:t>, Mercedes Robledo</w:t>
      </w:r>
      <w:r w:rsidRPr="00F11EA8">
        <w:rPr>
          <w:rFonts w:ascii="Times New Roman" w:hAnsi="Times New Roman" w:cs="Times New Roman"/>
          <w:sz w:val="20"/>
          <w:szCs w:val="20"/>
          <w:vertAlign w:val="superscript"/>
        </w:rPr>
        <w:t>5,10</w:t>
      </w:r>
      <w:r w:rsidRPr="00F11EA8">
        <w:rPr>
          <w:rFonts w:ascii="Times New Roman" w:hAnsi="Times New Roman" w:cs="Times New Roman"/>
          <w:sz w:val="20"/>
          <w:szCs w:val="20"/>
        </w:rPr>
        <w:t>*, Justo P. Castaño</w:t>
      </w:r>
      <w:r w:rsidRPr="00F11EA8">
        <w:rPr>
          <w:rFonts w:ascii="Times New Roman" w:hAnsi="Times New Roman" w:cs="Times New Roman"/>
          <w:sz w:val="20"/>
          <w:szCs w:val="20"/>
          <w:vertAlign w:val="superscript"/>
        </w:rPr>
        <w:t>1,2,3,11</w:t>
      </w:r>
      <w:r w:rsidRPr="00F11EA8">
        <w:rPr>
          <w:rFonts w:ascii="Times New Roman" w:hAnsi="Times New Roman" w:cs="Times New Roman"/>
          <w:sz w:val="20"/>
          <w:szCs w:val="20"/>
        </w:rPr>
        <w:t>*, Alejandro Ibáñez-Costa</w:t>
      </w:r>
      <w:r w:rsidRPr="00F11EA8">
        <w:rPr>
          <w:rFonts w:ascii="Times New Roman" w:hAnsi="Times New Roman" w:cs="Times New Roman"/>
          <w:sz w:val="20"/>
          <w:szCs w:val="20"/>
          <w:vertAlign w:val="superscript"/>
        </w:rPr>
        <w:t>1,2,3</w:t>
      </w:r>
      <w:r w:rsidRPr="00F11EA8">
        <w:rPr>
          <w:rFonts w:ascii="Times New Roman" w:hAnsi="Times New Roman" w:cs="Times New Roman"/>
          <w:sz w:val="20"/>
          <w:szCs w:val="20"/>
        </w:rPr>
        <w:t>*.</w:t>
      </w:r>
    </w:p>
    <w:p w14:paraId="2DEDDE1C" w14:textId="77777777" w:rsidR="00D335E6" w:rsidRPr="00F11EA8" w:rsidRDefault="00D335E6" w:rsidP="00D335E6">
      <w:pPr>
        <w:spacing w:after="0" w:line="480" w:lineRule="auto"/>
        <w:jc w:val="both"/>
        <w:rPr>
          <w:rFonts w:ascii="Times New Roman" w:hAnsi="Times New Roman" w:cs="Times New Roman"/>
          <w:sz w:val="20"/>
          <w:szCs w:val="20"/>
        </w:rPr>
      </w:pPr>
    </w:p>
    <w:p w14:paraId="196E965D" w14:textId="77777777" w:rsidR="00D335E6" w:rsidRPr="00F11EA8" w:rsidRDefault="00D335E6" w:rsidP="00D335E6">
      <w:pPr>
        <w:spacing w:after="0" w:line="480" w:lineRule="auto"/>
        <w:jc w:val="both"/>
        <w:rPr>
          <w:rFonts w:ascii="Times New Roman" w:hAnsi="Times New Roman" w:cs="Times New Roman"/>
          <w:sz w:val="20"/>
          <w:szCs w:val="20"/>
        </w:rPr>
      </w:pPr>
      <w:proofErr w:type="spellStart"/>
      <w:r w:rsidRPr="00F11EA8">
        <w:rPr>
          <w:rFonts w:ascii="Times New Roman" w:hAnsi="Times New Roman" w:cs="Times New Roman"/>
          <w:b/>
          <w:bCs/>
          <w:sz w:val="20"/>
          <w:szCs w:val="20"/>
        </w:rPr>
        <w:t>Affiliations</w:t>
      </w:r>
      <w:proofErr w:type="spellEnd"/>
    </w:p>
    <w:p w14:paraId="428B3E7C"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Department of Cell Biology, Physiology and Immunology, University of Cordoba, Cordoba, Spain.</w:t>
      </w:r>
    </w:p>
    <w:p w14:paraId="72E8E692"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Maimonides Biomedical Research Institute of Cordoba (IMIBIC), Cordoba, Spain.</w:t>
      </w:r>
    </w:p>
    <w:p w14:paraId="6BE272D6"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Reina Sofia University Hospital (HURS), Cordoba, Spain.</w:t>
      </w:r>
    </w:p>
    <w:p w14:paraId="695C690F"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rPr>
      </w:pPr>
      <w:r w:rsidRPr="00F11EA8">
        <w:rPr>
          <w:rFonts w:ascii="Times New Roman" w:hAnsi="Times New Roman" w:cs="Times New Roman"/>
          <w:sz w:val="20"/>
          <w:szCs w:val="20"/>
        </w:rPr>
        <w:t xml:space="preserve">SC </w:t>
      </w:r>
      <w:proofErr w:type="spellStart"/>
      <w:r w:rsidRPr="00F11EA8">
        <w:rPr>
          <w:rFonts w:ascii="Times New Roman" w:hAnsi="Times New Roman" w:cs="Times New Roman"/>
          <w:sz w:val="20"/>
          <w:szCs w:val="20"/>
        </w:rPr>
        <w:t>Endocrinology</w:t>
      </w:r>
      <w:proofErr w:type="spellEnd"/>
      <w:r w:rsidRPr="00F11EA8">
        <w:rPr>
          <w:rFonts w:ascii="Times New Roman" w:hAnsi="Times New Roman" w:cs="Times New Roman"/>
          <w:sz w:val="20"/>
          <w:szCs w:val="20"/>
        </w:rPr>
        <w:t xml:space="preserve">, </w:t>
      </w:r>
      <w:proofErr w:type="spellStart"/>
      <w:r w:rsidRPr="00F11EA8">
        <w:rPr>
          <w:rFonts w:ascii="Times New Roman" w:hAnsi="Times New Roman" w:cs="Times New Roman"/>
          <w:sz w:val="20"/>
          <w:szCs w:val="20"/>
        </w:rPr>
        <w:t>Fondazione</w:t>
      </w:r>
      <w:proofErr w:type="spellEnd"/>
      <w:r w:rsidRPr="00F11EA8">
        <w:rPr>
          <w:rFonts w:ascii="Times New Roman" w:hAnsi="Times New Roman" w:cs="Times New Roman"/>
          <w:sz w:val="20"/>
          <w:szCs w:val="20"/>
        </w:rPr>
        <w:t xml:space="preserve"> IRCCS Ca' Granda </w:t>
      </w:r>
      <w:proofErr w:type="spellStart"/>
      <w:r w:rsidRPr="00F11EA8">
        <w:rPr>
          <w:rFonts w:ascii="Times New Roman" w:hAnsi="Times New Roman" w:cs="Times New Roman"/>
          <w:sz w:val="20"/>
          <w:szCs w:val="20"/>
        </w:rPr>
        <w:t>Ospedale</w:t>
      </w:r>
      <w:proofErr w:type="spellEnd"/>
      <w:r w:rsidRPr="00F11EA8">
        <w:rPr>
          <w:rFonts w:ascii="Times New Roman" w:hAnsi="Times New Roman" w:cs="Times New Roman"/>
          <w:sz w:val="20"/>
          <w:szCs w:val="20"/>
        </w:rPr>
        <w:t xml:space="preserve"> Maggiore </w:t>
      </w:r>
      <w:proofErr w:type="spellStart"/>
      <w:r w:rsidRPr="00F11EA8">
        <w:rPr>
          <w:rFonts w:ascii="Times New Roman" w:hAnsi="Times New Roman" w:cs="Times New Roman"/>
          <w:sz w:val="20"/>
          <w:szCs w:val="20"/>
        </w:rPr>
        <w:t>Policlinico</w:t>
      </w:r>
      <w:proofErr w:type="spellEnd"/>
      <w:r w:rsidRPr="00F11EA8">
        <w:rPr>
          <w:rFonts w:ascii="Times New Roman" w:hAnsi="Times New Roman" w:cs="Times New Roman"/>
          <w:sz w:val="20"/>
          <w:szCs w:val="20"/>
        </w:rPr>
        <w:t xml:space="preserve"> di Milano, </w:t>
      </w:r>
      <w:proofErr w:type="spellStart"/>
      <w:r w:rsidRPr="00F11EA8">
        <w:rPr>
          <w:rFonts w:ascii="Times New Roman" w:hAnsi="Times New Roman" w:cs="Times New Roman"/>
          <w:sz w:val="20"/>
          <w:szCs w:val="20"/>
        </w:rPr>
        <w:t>Milan</w:t>
      </w:r>
      <w:proofErr w:type="spellEnd"/>
      <w:r w:rsidRPr="00F11EA8">
        <w:rPr>
          <w:rFonts w:ascii="Times New Roman" w:hAnsi="Times New Roman" w:cs="Times New Roman"/>
          <w:sz w:val="20"/>
          <w:szCs w:val="20"/>
        </w:rPr>
        <w:t>, Italy.</w:t>
      </w:r>
    </w:p>
    <w:p w14:paraId="19376541"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Hereditary Endocrine Cancer Group, Human Cancer Genetics Program, Spanish National Cancer Research Centre (CNIO), Madrid, Spain.</w:t>
      </w:r>
    </w:p>
    <w:p w14:paraId="7D342B4D"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Department of Endocrinology and Nutrition, Reina Sofia University Hospital, Cordoba, Spain.</w:t>
      </w:r>
    </w:p>
    <w:p w14:paraId="556E2E1F"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IPSEN Bioscience, Cambridge, Massachusetts, USA, current address: mdculler@comcast.net. </w:t>
      </w:r>
    </w:p>
    <w:p w14:paraId="7EEC2C8E"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rPr>
      </w:pPr>
      <w:proofErr w:type="spellStart"/>
      <w:r w:rsidRPr="00F11EA8">
        <w:rPr>
          <w:rFonts w:ascii="Times New Roman" w:hAnsi="Times New Roman" w:cs="Times New Roman"/>
          <w:sz w:val="20"/>
          <w:szCs w:val="20"/>
        </w:rPr>
        <w:t>Aix</w:t>
      </w:r>
      <w:proofErr w:type="spellEnd"/>
      <w:r w:rsidRPr="00F11EA8">
        <w:rPr>
          <w:rFonts w:ascii="Times New Roman" w:hAnsi="Times New Roman" w:cs="Times New Roman"/>
          <w:sz w:val="20"/>
          <w:szCs w:val="20"/>
        </w:rPr>
        <w:t xml:space="preserve"> Marseille </w:t>
      </w:r>
      <w:proofErr w:type="spellStart"/>
      <w:r w:rsidRPr="00F11EA8">
        <w:rPr>
          <w:rFonts w:ascii="Times New Roman" w:hAnsi="Times New Roman" w:cs="Times New Roman"/>
          <w:sz w:val="20"/>
          <w:szCs w:val="20"/>
        </w:rPr>
        <w:t>Univ</w:t>
      </w:r>
      <w:proofErr w:type="spellEnd"/>
      <w:r w:rsidRPr="00F11EA8">
        <w:rPr>
          <w:rFonts w:ascii="Times New Roman" w:hAnsi="Times New Roman" w:cs="Times New Roman"/>
          <w:sz w:val="20"/>
          <w:szCs w:val="20"/>
        </w:rPr>
        <w:t xml:space="preserve">, APHM, INSERM, MMG (U1251), La Timone </w:t>
      </w:r>
      <w:proofErr w:type="spellStart"/>
      <w:r w:rsidRPr="00F11EA8">
        <w:rPr>
          <w:rFonts w:ascii="Times New Roman" w:hAnsi="Times New Roman" w:cs="Times New Roman"/>
          <w:sz w:val="20"/>
          <w:szCs w:val="20"/>
        </w:rPr>
        <w:t>University</w:t>
      </w:r>
      <w:proofErr w:type="spellEnd"/>
      <w:r w:rsidRPr="00F11EA8">
        <w:rPr>
          <w:rFonts w:ascii="Times New Roman" w:hAnsi="Times New Roman" w:cs="Times New Roman"/>
          <w:sz w:val="20"/>
          <w:szCs w:val="20"/>
        </w:rPr>
        <w:t xml:space="preserve"> Hospital, Laboratory of Molecular Biology </w:t>
      </w:r>
      <w:proofErr w:type="spellStart"/>
      <w:r w:rsidRPr="00F11EA8">
        <w:rPr>
          <w:rFonts w:ascii="Times New Roman" w:hAnsi="Times New Roman" w:cs="Times New Roman"/>
          <w:sz w:val="20"/>
          <w:szCs w:val="20"/>
        </w:rPr>
        <w:t>GEnOPé</w:t>
      </w:r>
      <w:proofErr w:type="spellEnd"/>
      <w:r w:rsidRPr="00F11EA8">
        <w:rPr>
          <w:rFonts w:ascii="Times New Roman" w:hAnsi="Times New Roman" w:cs="Times New Roman"/>
          <w:sz w:val="20"/>
          <w:szCs w:val="20"/>
        </w:rPr>
        <w:t>, BIOGENOPOLE, Marseille, France.</w:t>
      </w:r>
    </w:p>
    <w:p w14:paraId="457646DC"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rPr>
      </w:pPr>
      <w:r w:rsidRPr="00F11EA8">
        <w:rPr>
          <w:rFonts w:ascii="Times New Roman" w:hAnsi="Times New Roman" w:cs="Times New Roman"/>
          <w:sz w:val="20"/>
          <w:szCs w:val="20"/>
        </w:rPr>
        <w:t xml:space="preserve">Centro de Investigaciones Biológicas Margarita Salas | CSIC, Madrid, Spain. </w:t>
      </w:r>
    </w:p>
    <w:p w14:paraId="658948C0"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rPr>
      </w:pPr>
      <w:r w:rsidRPr="00F11EA8">
        <w:rPr>
          <w:rFonts w:ascii="Times New Roman" w:hAnsi="Times New Roman" w:cs="Times New Roman"/>
          <w:sz w:val="20"/>
          <w:szCs w:val="20"/>
        </w:rPr>
        <w:t>Centro de Investigación Biomédica en Red de Enfermedades Raras, Madrid, Spain.</w:t>
      </w:r>
    </w:p>
    <w:p w14:paraId="5EB8DDFE" w14:textId="77777777" w:rsidR="00D335E6" w:rsidRPr="00F11EA8" w:rsidRDefault="00D335E6" w:rsidP="00D335E6">
      <w:pPr>
        <w:pStyle w:val="Prrafodelista"/>
        <w:numPr>
          <w:ilvl w:val="0"/>
          <w:numId w:val="1"/>
        </w:num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CIBER Physiopathology of Obesity and Nutrition (CIBERobn), Cordoba, Spain.</w:t>
      </w:r>
    </w:p>
    <w:p w14:paraId="752936DB" w14:textId="77777777" w:rsidR="00D335E6" w:rsidRPr="00F11EA8" w:rsidRDefault="00D335E6" w:rsidP="00D335E6">
      <w:pPr>
        <w:spacing w:after="0" w:line="480" w:lineRule="auto"/>
        <w:jc w:val="both"/>
        <w:rPr>
          <w:rFonts w:ascii="Times New Roman" w:hAnsi="Times New Roman" w:cs="Times New Roman"/>
          <w:sz w:val="20"/>
          <w:szCs w:val="20"/>
          <w:lang w:val="en-US"/>
        </w:rPr>
      </w:pPr>
    </w:p>
    <w:p w14:paraId="492A6ABE" w14:textId="77777777" w:rsidR="00D335E6" w:rsidRPr="00F11EA8" w:rsidRDefault="00D335E6" w:rsidP="00D335E6">
      <w:pPr>
        <w:spacing w:after="0" w:line="480" w:lineRule="auto"/>
        <w:jc w:val="both"/>
        <w:rPr>
          <w:rFonts w:ascii="Times New Roman" w:hAnsi="Times New Roman" w:cs="Times New Roman"/>
          <w:sz w:val="20"/>
          <w:szCs w:val="20"/>
          <w:lang w:val="en-US"/>
        </w:rPr>
      </w:pPr>
      <w:r w:rsidRPr="00F11EA8">
        <w:rPr>
          <w:rFonts w:ascii="Times New Roman" w:hAnsi="Times New Roman" w:cs="Times New Roman"/>
          <w:b/>
          <w:sz w:val="20"/>
          <w:szCs w:val="20"/>
          <w:lang w:val="en-US"/>
        </w:rPr>
        <w:t xml:space="preserve">Corresponding authors: </w:t>
      </w:r>
      <w:r w:rsidRPr="00F11EA8">
        <w:rPr>
          <w:rFonts w:ascii="Times New Roman" w:hAnsi="Times New Roman" w:cs="Times New Roman"/>
          <w:sz w:val="20"/>
          <w:szCs w:val="20"/>
          <w:lang w:val="en-US"/>
        </w:rPr>
        <w:t xml:space="preserve">A. Ibáñez-Costa, PhD, email: </w:t>
      </w:r>
      <w:hyperlink r:id="rId5" w:history="1">
        <w:r w:rsidRPr="00F11EA8">
          <w:rPr>
            <w:rStyle w:val="Hipervnculo"/>
            <w:rFonts w:ascii="Times New Roman" w:hAnsi="Times New Roman" w:cs="Times New Roman"/>
            <w:color w:val="auto"/>
            <w:sz w:val="20"/>
            <w:szCs w:val="20"/>
            <w:lang w:val="en-US"/>
          </w:rPr>
          <w:t>b12ibcoa@uco.es</w:t>
        </w:r>
      </w:hyperlink>
      <w:r w:rsidRPr="00F11EA8">
        <w:rPr>
          <w:rFonts w:ascii="Times New Roman" w:hAnsi="Times New Roman" w:cs="Times New Roman"/>
          <w:sz w:val="20"/>
          <w:szCs w:val="20"/>
          <w:lang w:val="en-US"/>
        </w:rPr>
        <w:t xml:space="preserve">, telephone: (+34) 957 21 37 38, ORCID: 0000-0003-4649-0095; J.P. Castaño, PhD, email: </w:t>
      </w:r>
      <w:hyperlink r:id="rId6" w:history="1">
        <w:r w:rsidRPr="00F11EA8">
          <w:rPr>
            <w:rStyle w:val="Hipervnculo"/>
            <w:rFonts w:ascii="Times New Roman" w:hAnsi="Times New Roman" w:cs="Times New Roman"/>
            <w:color w:val="auto"/>
            <w:sz w:val="20"/>
            <w:szCs w:val="20"/>
            <w:lang w:val="en-US"/>
          </w:rPr>
          <w:t>justo@uco.es</w:t>
        </w:r>
      </w:hyperlink>
      <w:r w:rsidRPr="00F11EA8">
        <w:rPr>
          <w:rFonts w:ascii="Times New Roman" w:hAnsi="Times New Roman" w:cs="Times New Roman"/>
          <w:sz w:val="20"/>
          <w:szCs w:val="20"/>
          <w:lang w:val="en-US"/>
        </w:rPr>
        <w:t xml:space="preserve">, telephone: (+34) 957 21 37 43, ORCID: 0000-0002-3145-7287, Avenida Menéndez Pidal s/n, IMIBIC Building, 14004, Córdoba, Spain; or M. Robledo, PhD, email: </w:t>
      </w:r>
      <w:hyperlink r:id="rId7" w:history="1">
        <w:r w:rsidRPr="00F11EA8">
          <w:rPr>
            <w:rStyle w:val="Hipervnculo"/>
            <w:rFonts w:ascii="Times New Roman" w:hAnsi="Times New Roman" w:cs="Times New Roman"/>
            <w:color w:val="auto"/>
            <w:sz w:val="20"/>
            <w:szCs w:val="20"/>
            <w:lang w:val="en-US"/>
          </w:rPr>
          <w:t>mrobledo@cnio.es</w:t>
        </w:r>
      </w:hyperlink>
      <w:r w:rsidRPr="00F11EA8">
        <w:rPr>
          <w:rFonts w:ascii="Times New Roman" w:hAnsi="Times New Roman" w:cs="Times New Roman"/>
          <w:sz w:val="20"/>
          <w:szCs w:val="20"/>
          <w:lang w:val="en-US"/>
        </w:rPr>
        <w:t xml:space="preserve">, ORCID: 0000-0001-6256-5902, Calle de Melchor Fernández Almagro, 3, </w:t>
      </w:r>
      <w:proofErr w:type="spellStart"/>
      <w:r w:rsidRPr="00F11EA8">
        <w:rPr>
          <w:rFonts w:ascii="Times New Roman" w:hAnsi="Times New Roman" w:cs="Times New Roman"/>
          <w:sz w:val="20"/>
          <w:szCs w:val="20"/>
          <w:lang w:val="en-US"/>
        </w:rPr>
        <w:t>Fuencarral</w:t>
      </w:r>
      <w:proofErr w:type="spellEnd"/>
      <w:r w:rsidRPr="00F11EA8">
        <w:rPr>
          <w:rFonts w:ascii="Times New Roman" w:hAnsi="Times New Roman" w:cs="Times New Roman"/>
          <w:sz w:val="20"/>
          <w:szCs w:val="20"/>
          <w:lang w:val="en-US"/>
        </w:rPr>
        <w:t>-El Pardo, 28029, Madrid, Spain.</w:t>
      </w:r>
    </w:p>
    <w:p w14:paraId="03C561F5" w14:textId="464BA89A" w:rsidR="00D335E6" w:rsidRPr="00F11EA8" w:rsidRDefault="00D335E6" w:rsidP="00D335E6">
      <w:pPr>
        <w:spacing w:after="0" w:line="480" w:lineRule="auto"/>
        <w:rPr>
          <w:rFonts w:ascii="Times New Roman" w:hAnsi="Times New Roman" w:cs="Times New Roman"/>
          <w:b/>
          <w:bCs/>
          <w:sz w:val="20"/>
          <w:szCs w:val="20"/>
          <w:lang w:val="en-US"/>
        </w:rPr>
      </w:pPr>
      <w:r w:rsidRPr="00F11EA8">
        <w:rPr>
          <w:rFonts w:ascii="Times New Roman" w:hAnsi="Times New Roman" w:cs="Times New Roman"/>
          <w:sz w:val="20"/>
          <w:szCs w:val="20"/>
          <w:lang w:val="en-US"/>
        </w:rPr>
        <w:t>† Víctor García-Vioque and Sergio Pedraza-Arevalo contributed equally to this work.</w:t>
      </w:r>
      <w:bookmarkEnd w:id="0"/>
      <w:r w:rsidRPr="00F11EA8">
        <w:rPr>
          <w:rFonts w:ascii="Times New Roman" w:hAnsi="Times New Roman" w:cs="Times New Roman"/>
          <w:b/>
          <w:bCs/>
          <w:sz w:val="20"/>
          <w:szCs w:val="20"/>
          <w:lang w:val="en-US"/>
        </w:rPr>
        <w:br w:type="page"/>
      </w:r>
    </w:p>
    <w:p w14:paraId="55483340" w14:textId="5822B396" w:rsidR="0045605C" w:rsidRPr="00F11EA8" w:rsidRDefault="0045605C" w:rsidP="0045605C">
      <w:pPr>
        <w:spacing w:after="0" w:line="480" w:lineRule="auto"/>
        <w:rPr>
          <w:rFonts w:ascii="Times New Roman" w:hAnsi="Times New Roman" w:cs="Times New Roman"/>
          <w:b/>
          <w:bCs/>
          <w:sz w:val="20"/>
          <w:szCs w:val="20"/>
          <w:u w:val="single"/>
          <w:lang w:val="en-US"/>
        </w:rPr>
      </w:pPr>
      <w:r w:rsidRPr="00F11EA8">
        <w:rPr>
          <w:rFonts w:ascii="Times New Roman" w:hAnsi="Times New Roman" w:cs="Times New Roman"/>
          <w:b/>
          <w:bCs/>
          <w:sz w:val="20"/>
          <w:szCs w:val="20"/>
          <w:u w:val="single"/>
          <w:lang w:val="en-US"/>
        </w:rPr>
        <w:lastRenderedPageBreak/>
        <w:t>Supplementa</w:t>
      </w:r>
      <w:r w:rsidR="0068721C" w:rsidRPr="00F11EA8">
        <w:rPr>
          <w:rFonts w:ascii="Times New Roman" w:hAnsi="Times New Roman" w:cs="Times New Roman"/>
          <w:b/>
          <w:bCs/>
          <w:sz w:val="20"/>
          <w:szCs w:val="20"/>
          <w:u w:val="single"/>
          <w:lang w:val="en-US"/>
        </w:rPr>
        <w:t>ry</w:t>
      </w:r>
      <w:r w:rsidRPr="00F11EA8">
        <w:rPr>
          <w:rFonts w:ascii="Times New Roman" w:hAnsi="Times New Roman" w:cs="Times New Roman"/>
          <w:b/>
          <w:bCs/>
          <w:sz w:val="20"/>
          <w:szCs w:val="20"/>
          <w:u w:val="single"/>
          <w:lang w:val="en-US"/>
        </w:rPr>
        <w:t xml:space="preserve"> Methods</w:t>
      </w:r>
    </w:p>
    <w:p w14:paraId="4DE312B0" w14:textId="77777777" w:rsidR="0045605C" w:rsidRPr="00F11EA8" w:rsidRDefault="0045605C" w:rsidP="0045605C">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Patients and samples</w:t>
      </w:r>
    </w:p>
    <w:p w14:paraId="54960972" w14:textId="77777777" w:rsidR="0045605C" w:rsidRPr="00F11EA8" w:rsidRDefault="0045605C" w:rsidP="0045605C">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This study included samples from four independent cohorts, comprising both RNA-seq and qPCR data. Regarding qPCR data, the Marseille cohort consisted of 49 tumor samples (41 PCC and 8 PGL). PPGL samples were collected after surgery with informed written consent from patients, in accordance with ethical protocols approved by the Ethics Committee from Assistance </w:t>
      </w:r>
      <w:proofErr w:type="spellStart"/>
      <w:r w:rsidRPr="00F11EA8">
        <w:rPr>
          <w:rFonts w:ascii="Times New Roman" w:hAnsi="Times New Roman" w:cs="Times New Roman"/>
          <w:sz w:val="20"/>
          <w:szCs w:val="20"/>
          <w:lang w:val="en-US"/>
        </w:rPr>
        <w:t>Publique</w:t>
      </w:r>
      <w:proofErr w:type="spellEnd"/>
      <w:r w:rsidRPr="00F11EA8">
        <w:rPr>
          <w:rFonts w:ascii="Times New Roman" w:hAnsi="Times New Roman" w:cs="Times New Roman"/>
          <w:sz w:val="20"/>
          <w:szCs w:val="20"/>
          <w:lang w:val="en-US"/>
        </w:rPr>
        <w:t xml:space="preserve"> </w:t>
      </w:r>
      <w:proofErr w:type="spellStart"/>
      <w:r w:rsidRPr="00F11EA8">
        <w:rPr>
          <w:rFonts w:ascii="Times New Roman" w:hAnsi="Times New Roman" w:cs="Times New Roman"/>
          <w:sz w:val="20"/>
          <w:szCs w:val="20"/>
          <w:lang w:val="en-US"/>
        </w:rPr>
        <w:t>Hopitaux</w:t>
      </w:r>
      <w:proofErr w:type="spellEnd"/>
      <w:r w:rsidRPr="00F11EA8">
        <w:rPr>
          <w:rFonts w:ascii="Times New Roman" w:hAnsi="Times New Roman" w:cs="Times New Roman"/>
          <w:sz w:val="20"/>
          <w:szCs w:val="20"/>
          <w:lang w:val="en-US"/>
        </w:rPr>
        <w:t xml:space="preserve"> de Marseille and collected after surgery in tumor bank (CODECOH DC 2019-3568, AP-HM tumor bank AC 2013-1786).</w:t>
      </w:r>
    </w:p>
    <w:p w14:paraId="1AF54DA8" w14:textId="77777777" w:rsidR="0045605C" w:rsidRPr="00F11EA8" w:rsidRDefault="0045605C" w:rsidP="0045605C">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The CNIO qPCR cohort comprised 42 tumor samples (24 PCC and 18 PGL). PPGL tumor samples were obtained from patients with informed written consent for this purpose, in accordance with institutional ethical-approved protocols. The protocol was approved by the Ethics Committee of Hospital Universitario 12 de Octubre (15/024, Madrid, Spain); and then gathered at CNIO (Madrid, Spain).</w:t>
      </w:r>
    </w:p>
    <w:p w14:paraId="4FB0E771" w14:textId="635066E7" w:rsidR="0045605C" w:rsidRPr="00F11EA8" w:rsidRDefault="0045605C" w:rsidP="0045605C">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RNA-seq analyses from CNIO series, consisting of 162 PPGL samples (90 PCC and 72 PGL), were performed as previously described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{"citationID":"6XEzWCNB","properties":{"formattedCitation":"[1]","plainCitation":"[1]","noteIndex":0},"citationItems":[{"id":"Ir82PTlG/jQkuwYRZ","uris":["http://zotero.org/users/9137939/items/9L8PGSH9"],"itemData":{"id":331,"type":"article-journal","abstract":"The mechanisms triggering metastasis in pheochromocytoma/paraganglioma are unknown, hindering therapeutic options for patients with metastatic tumors (mPPGL). Herein we show by genomic profiling of a large cohort of mPPGLs that high mutational load, microsatellite instability and somatic copy-number alteration burden are associated with ATRX/TERT alterations and are suitable prognostic markers. Transcriptomic analysis defines the signaling networks involved in the acquisition of metastatic competence and establishes a gene signature related to mPPGLs, highlighting CDK1 as an additional mPPGL marker. Immunogenomics accompanied by immunohistochemistry identifies a heterogeneous ecosystem at the tumor microenvironment level, linked to the genomic subtype and tumor behavior. Specifically, we define a general immunosuppressive microenvironment in mPPGLs, the exception being PD-L1 expressing MAML3-related tumors. Our study reveals canonical markers for risk of metastasis, and suggests the usefulness of including immune parameters in clinical management for PPGL prognostication and identification of patients who might benefit from immunotherapy.","container-title":"Nature Communications","DOI":"10.1038/s41467-023-36769-6","ISSN":"2041-1723","issue":"1","journalAbbreviation":"Nat Commun","language":"eng","note":"PMID: 36854674\nPMCID: PMC9975198","page":"1122","source":"PubMed","title":"Genomic and immune landscape Of metastatic pheochromocytoma and paraganglioma","volume":"14","author":[{"family":"Calsina","given":"Bruna"},{"family":"Piñeiro-Yáñez","given":"Elena"},{"family":"Martínez-Montes","given":"Ángel M."},{"family":"Caleiras","given":"Eduardo"},{"family":"Fernández-Sanromán","given":"Ángel"},{"family":"Monteagudo","given":"María"},{"family":"Torres-Pérez","given":"Rafael"},{"family":"Fustero-Torre","given":"Coral"},{"family":"Pulgarín-Alfaro","given":"Marta"},{"family":"Gil","given":"Eduardo"},{"family":"Letón","given":"Rocío"},{"family":"Jiménez","given":"Scherezade"},{"family":"García-Martín","given":"Santiago"},{"family":"Martin","given":"Maria Carmen"},{"family":"Roldán-Romero","given":"Juan María"},{"family":"Lanillos","given":"Javier"},{"family":"Mellid","given":"Sara"},{"family":"Santos","given":"María"},{"family":"Díaz-Talavera","given":"Alberto"},{"family":"Rubio","given":"Ángeles"},{"family":"González","given":"Patricia"},{"family":"Hernando","given":"Barbara"},{"family":"Bechmann","given":"Nicole"},{"family":"Dona","given":"Margo"},{"family":"Calatayud","given":"María"},{"family":"Guadalix","given":"Sonsoles"},{"family":"Álvarez-Escolá","given":"Cristina"},{"family":"Regojo","given":"Rita M."},{"family":"Aller","given":"Javier"},{"family":"Del Olmo-Garcia","given":"Maria Isabel"},{"family":"López-Fernández","given":"Adrià"},{"family":"Fliedner","given":"Stephanie M. J."},{"family":"Rapizzi","given":"Elena"},{"family":"Fassnacht","given":"Martin"},{"family":"Beuschlein","given":"Felix"},{"family":"Quinkler","given":"Marcus"},{"family":"Toledo","given":"Rodrigo A."},{"family":"Mannelli","given":"Massimo"},{"family":"Timmers","given":"Henri J."},{"family":"Eisenhofer","given":"Graeme"},{"family":"Rodríguez-Perales","given":"Sandra"},{"family":"Domínguez","given":"Orlando"},{"family":"Macintyre","given":"Geoffrey"},{"family":"Currás-Freixes","given":"Maria"},{"family":"Rodríguez-Antona","given":"Cristina"},{"family":"Cascón","given":"Alberto"},{"family":"Leandro-García","given":"Luis J."},{"family":"Montero-Conde","given":"Cristina"},{"family":"Roncador","given":"Giovanna"},{"family":"García-García","given":"Juan Fernando"},{"family":"Pacak","given":"Karel"},{"family":"Al-Shahrour","given":"Fátima"},{"family":"Robledo","given":"Mercedes"}],"issued":{"date-parts":[["2023",2,28]]}}}],"schema":"https://github.com/citation-style-language/schema/raw/master/csl-citation.json"}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[1]</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xml:space="preserve">. </w:t>
      </w:r>
      <w:bookmarkStart w:id="1" w:name="_Hlk214045507"/>
      <w:bookmarkStart w:id="2" w:name="_Hlk212063619"/>
      <w:r w:rsidRPr="00F11EA8">
        <w:rPr>
          <w:rFonts w:ascii="Times New Roman" w:hAnsi="Times New Roman" w:cs="Times New Roman"/>
          <w:sz w:val="20"/>
          <w:szCs w:val="20"/>
          <w:lang w:val="en-US"/>
        </w:rPr>
        <w:t xml:space="preserve">Briefly, HTSeq-counts for the CNIO series were generated from FASTQ files obtained from the TruSeq and </w:t>
      </w:r>
      <w:proofErr w:type="spellStart"/>
      <w:r w:rsidRPr="00F11EA8">
        <w:rPr>
          <w:rFonts w:ascii="Times New Roman" w:hAnsi="Times New Roman" w:cs="Times New Roman"/>
          <w:sz w:val="20"/>
          <w:szCs w:val="20"/>
          <w:lang w:val="en-US"/>
        </w:rPr>
        <w:t>QuantSeq</w:t>
      </w:r>
      <w:proofErr w:type="spellEnd"/>
      <w:r w:rsidRPr="00F11EA8">
        <w:rPr>
          <w:rFonts w:ascii="Times New Roman" w:hAnsi="Times New Roman" w:cs="Times New Roman"/>
          <w:sz w:val="20"/>
          <w:szCs w:val="20"/>
          <w:lang w:val="en-US"/>
        </w:rPr>
        <w:t xml:space="preserve"> platforms using </w:t>
      </w:r>
      <w:proofErr w:type="spellStart"/>
      <w:r w:rsidRPr="00F11EA8">
        <w:rPr>
          <w:rFonts w:ascii="Times New Roman" w:hAnsi="Times New Roman" w:cs="Times New Roman"/>
          <w:sz w:val="20"/>
          <w:szCs w:val="20"/>
          <w:lang w:val="en-US"/>
        </w:rPr>
        <w:t>Nextpresso</w:t>
      </w:r>
      <w:proofErr w:type="spellEnd"/>
      <w:r w:rsidRPr="00F11EA8">
        <w:rPr>
          <w:rFonts w:ascii="Times New Roman" w:hAnsi="Times New Roman" w:cs="Times New Roman"/>
          <w:sz w:val="20"/>
          <w:szCs w:val="20"/>
          <w:lang w:val="en-US"/>
        </w:rPr>
        <w:t xml:space="preserve"> and the </w:t>
      </w:r>
      <w:proofErr w:type="spellStart"/>
      <w:r w:rsidRPr="00F11EA8">
        <w:rPr>
          <w:rFonts w:ascii="Times New Roman" w:hAnsi="Times New Roman" w:cs="Times New Roman"/>
          <w:sz w:val="20"/>
          <w:szCs w:val="20"/>
          <w:lang w:val="en-US"/>
        </w:rPr>
        <w:t>BlueBee</w:t>
      </w:r>
      <w:proofErr w:type="spellEnd"/>
      <w:r w:rsidRPr="00F11EA8">
        <w:rPr>
          <w:rFonts w:ascii="Times New Roman" w:hAnsi="Times New Roman" w:cs="Times New Roman"/>
          <w:sz w:val="20"/>
          <w:szCs w:val="20"/>
          <w:lang w:val="en-US"/>
        </w:rPr>
        <w:t>® Genomics Platform (</w:t>
      </w:r>
      <w:proofErr w:type="spellStart"/>
      <w:r w:rsidRPr="00F11EA8">
        <w:rPr>
          <w:rFonts w:ascii="Times New Roman" w:hAnsi="Times New Roman" w:cs="Times New Roman"/>
          <w:sz w:val="20"/>
          <w:szCs w:val="20"/>
          <w:lang w:val="en-US"/>
        </w:rPr>
        <w:t>Lexogen</w:t>
      </w:r>
      <w:proofErr w:type="spellEnd"/>
      <w:r w:rsidRPr="00F11EA8">
        <w:rPr>
          <w:rFonts w:ascii="Times New Roman" w:hAnsi="Times New Roman" w:cs="Times New Roman"/>
          <w:sz w:val="20"/>
          <w:szCs w:val="20"/>
          <w:lang w:val="en-US"/>
        </w:rPr>
        <w:t xml:space="preserve">, 090-094), respectively. Libraries prepared with Unique Molecular Identifiers (UMIs) were processed using the </w:t>
      </w:r>
      <w:proofErr w:type="spellStart"/>
      <w:r w:rsidRPr="00F11EA8">
        <w:rPr>
          <w:rFonts w:ascii="Times New Roman" w:hAnsi="Times New Roman" w:cs="Times New Roman"/>
          <w:sz w:val="20"/>
          <w:szCs w:val="20"/>
          <w:lang w:val="en-US"/>
        </w:rPr>
        <w:t>QuantSeq</w:t>
      </w:r>
      <w:proofErr w:type="spellEnd"/>
      <w:r w:rsidRPr="00F11EA8">
        <w:rPr>
          <w:rFonts w:ascii="Times New Roman" w:hAnsi="Times New Roman" w:cs="Times New Roman"/>
          <w:sz w:val="20"/>
          <w:szCs w:val="20"/>
          <w:lang w:val="en-US"/>
        </w:rPr>
        <w:t xml:space="preserve"> FWD-UMI Data Analysis Pipeline. Sequencing reads were aligned to the GRCh37 reference genome using </w:t>
      </w:r>
      <w:proofErr w:type="spellStart"/>
      <w:r w:rsidRPr="00F11EA8">
        <w:rPr>
          <w:rFonts w:ascii="Times New Roman" w:hAnsi="Times New Roman" w:cs="Times New Roman"/>
          <w:sz w:val="20"/>
          <w:szCs w:val="20"/>
          <w:lang w:val="en-US"/>
        </w:rPr>
        <w:t>TopHat</w:t>
      </w:r>
      <w:proofErr w:type="spellEnd"/>
      <w:r w:rsidRPr="00F11EA8">
        <w:rPr>
          <w:rFonts w:ascii="Times New Roman" w:hAnsi="Times New Roman" w:cs="Times New Roman"/>
          <w:sz w:val="20"/>
          <w:szCs w:val="20"/>
          <w:lang w:val="en-US"/>
        </w:rPr>
        <w:t xml:space="preserve"> v2.1.1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{"citationID":"OttBw0F1","properties":{"formattedCitation":"[2]","plainCitation":"[2]","noteIndex":0},"citationItems":[{"id":"Ir82PTlG/3p3YIqqX","uris":["http://zotero.org/users/9137939/items/WZTFB6C3"],"itemData":{"id":1003,"type":"article-journal","abstract":"TopHat is a popular spliced aligner for RNA-sequence (RNA-seq) experiments. In this paper, we describe TopHat2, which incorporates many significant enhancements to TopHat. TopHat2 can align reads of various lengths produced by the latest sequencing technologies, while allowing for variable-length indels with respect to the reference genome. In addition to de novo spliced alignment, TopHat2 can align reads across fusion breaks, which can occur after genomic translocations. TopHat2 combines the ability to identify novel splice sites with direct mapping to known transcripts, producing sensitive and accurate alignments, even for highly repetitive genomes or in the presence of pseudogenes. TopHat2 is available at http://ccb.jhu.edu/software/tophat.","container-title":"Genome Biology","DOI":"10.1186/gb-2013-14-4-r36","ISSN":"1474-760X","issue":"4","journalAbbreviation":"Genome Biol","language":"eng","note":"PMID: 23618408\nPMCID: PMC4053844","page":"R36","source":"PubMed","title":"TopHat2: accurate alignment of transcriptomes in the presence of insertions, deletions and gene fusions","title-short":"TopHat2","volume":"14","author":[{"family":"Kim","given":"Daehwan"},{"family":"Pertea","given":"Geo"},{"family":"Trapnell","given":"Cole"},{"family":"Pimentel","given":"Harold"},{"family":"Kelley","given":"Ryan"},{"family":"Salzberg","given":"Steven L."}],"issued":{"date-parts":[["2013",4,25]]}}}],"schema":"https://github.com/citation-style-language/schema/raw/master/csl-citation.json"}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[2]</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xml:space="preserve"> and STAR v2.5.2a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{"citationID":"s6xGeNjM","properties":{"formattedCitation":"[3]","plainCitation":"[3]","noteIndex":0},"citationItems":[{"id":"Ir82PTlG/S4XEUV9F","uris":["http://zotero.org/users/9137939/items/5V8FLBF2"],"itemData":{"id":1006,"type":"article-journal","abstract":"MOTIVATION: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biases.\nRESULTS: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strategy.\nAVAILABILITY AND IMPLEMENTATION: STAR is implemented as a standalone C++ code. STAR is free open source software distributed under GPLv3 license and can be downloaded from http://code.google.com/p/rna-star/.","container-title":"Bioinformatics (Oxford, England)","DOI":"10.1093/bioinformatics/bts635","ISSN":"1367-4811","issue":"1","journalAbbreviation":"Bioinformatics","language":"eng","note":"PMID: 23104886\nPMCID: PMC3530905","page":"15-21","source":"PubMed","title":"STAR: ultrafast universal RNA-seq aligner","title-short":"STAR","volume":"29","author":[{"family":"Dobin","given":"Alexander"},{"family":"Davis","given":"Carrie A."},{"family":"Schlesinger","given":"Felix"},{"family":"Drenkow","given":"Jorg"},{"family":"Zaleski","given":"Chris"},{"family":"Jha","given":"Sonali"},{"family":"Batut","given":"Philippe"},{"family":"Chaisson","given":"Mark"},{"family":"Gingeras","given":"Thomas R."}],"issued":{"date-parts":[["2013",1,1]]}}}],"schema":"https://github.com/citation-style-language/schema/raw/master/csl-citation.json"}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[3]</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xml:space="preserve">, </w:t>
      </w:r>
      <w:bookmarkEnd w:id="1"/>
      <w:r w:rsidRPr="00F11EA8">
        <w:rPr>
          <w:rFonts w:ascii="Times New Roman" w:hAnsi="Times New Roman" w:cs="Times New Roman"/>
          <w:sz w:val="20"/>
          <w:szCs w:val="20"/>
          <w:lang w:val="en-US"/>
        </w:rPr>
        <w:t xml:space="preserve">corresponding to the respective platforms. </w:t>
      </w:r>
      <w:bookmarkEnd w:id="2"/>
      <w:r w:rsidRPr="00F11EA8">
        <w:rPr>
          <w:rFonts w:ascii="Times New Roman" w:hAnsi="Times New Roman" w:cs="Times New Roman"/>
          <w:sz w:val="20"/>
          <w:szCs w:val="20"/>
          <w:lang w:val="en-US"/>
        </w:rPr>
        <w:t xml:space="preserve">RNA-seq </w:t>
      </w:r>
      <w:proofErr w:type="spellStart"/>
      <w:r w:rsidRPr="00F11EA8">
        <w:rPr>
          <w:rFonts w:ascii="Times New Roman" w:hAnsi="Times New Roman" w:cs="Times New Roman"/>
          <w:sz w:val="20"/>
          <w:szCs w:val="20"/>
          <w:lang w:val="en-US"/>
        </w:rPr>
        <w:t>fastq</w:t>
      </w:r>
      <w:proofErr w:type="spellEnd"/>
      <w:r w:rsidRPr="00F11EA8">
        <w:rPr>
          <w:rFonts w:ascii="Times New Roman" w:hAnsi="Times New Roman" w:cs="Times New Roman"/>
          <w:sz w:val="20"/>
          <w:szCs w:val="20"/>
          <w:lang w:val="en-US"/>
        </w:rPr>
        <w:t xml:space="preserve"> files generated are deposited in the European Genome-Phenome Archive (EGA) under the accession EGAS00001006043 and EGAS00001006044. Request for data access will be referred directly to the Data Access Committee (DAC) of the CNIO (</w:t>
      </w:r>
      <w:hyperlink r:id="rId8" w:history="1">
        <w:r w:rsidRPr="00F11EA8">
          <w:rPr>
            <w:rStyle w:val="Hipervnculo"/>
            <w:rFonts w:ascii="Times New Roman" w:hAnsi="Times New Roman" w:cs="Times New Roman"/>
            <w:color w:val="auto"/>
            <w:sz w:val="20"/>
            <w:szCs w:val="20"/>
            <w:lang w:val="en-US"/>
          </w:rPr>
          <w:t>mrobledo@cnio.es</w:t>
        </w:r>
      </w:hyperlink>
      <w:r w:rsidRPr="00F11EA8">
        <w:rPr>
          <w:rFonts w:ascii="Times New Roman" w:hAnsi="Times New Roman" w:cs="Times New Roman"/>
          <w:sz w:val="20"/>
          <w:szCs w:val="20"/>
          <w:lang w:val="en-US"/>
        </w:rPr>
        <w:t>). The access will be granted for health/medical/biomedical purposes and according to good practice recommendations.</w:t>
      </w:r>
    </w:p>
    <w:p w14:paraId="50ABC9D8" w14:textId="68E69D59" w:rsidR="0045605C" w:rsidRPr="00F11EA8" w:rsidRDefault="0045605C" w:rsidP="0045605C">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Additionally, we analyzed bulk RNA-seq data from 184 PPGL samples (144 PCC and 29 PGL) obtained from The Cancer Genome Atlas (TCGA) (</w:t>
      </w:r>
      <w:hyperlink r:id="rId9" w:history="1">
        <w:r w:rsidRPr="00F11EA8">
          <w:rPr>
            <w:rStyle w:val="Hipervnculo"/>
            <w:rFonts w:ascii="Times New Roman" w:hAnsi="Times New Roman" w:cs="Times New Roman"/>
            <w:color w:val="auto"/>
            <w:sz w:val="20"/>
            <w:szCs w:val="20"/>
            <w:lang w:val="en-US"/>
          </w:rPr>
          <w:t>https://portal.gdc.cancer.gov/</w:t>
        </w:r>
      </w:hyperlink>
      <w:r w:rsidRPr="00F11EA8">
        <w:rPr>
          <w:rFonts w:ascii="Times New Roman" w:hAnsi="Times New Roman" w:cs="Times New Roman"/>
          <w:sz w:val="20"/>
          <w:szCs w:val="20"/>
          <w:lang w:val="en-US"/>
        </w:rPr>
        <w:t xml:space="preserve">), from which samples catalogued as cortical admixture were excluded for the molecular cluster analyses. Clinical data and RSEM normalized mRNA expression were downloaded from the cBioPortal portal for further analysis </w:t>
      </w:r>
      <w:r w:rsidRPr="00F11EA8">
        <w:rPr>
          <w:rFonts w:ascii="Times New Roman" w:hAnsi="Times New Roman" w:cs="Times New Roman"/>
          <w:sz w:val="20"/>
          <w:szCs w:val="20"/>
        </w:rPr>
        <w:fldChar w:fldCharType="begin"/>
      </w:r>
      <w:r w:rsidRPr="00F11EA8">
        <w:rPr>
          <w:rFonts w:ascii="Times New Roman" w:hAnsi="Times New Roman" w:cs="Times New Roman"/>
          <w:sz w:val="20"/>
          <w:szCs w:val="20"/>
          <w:lang w:val="en-US"/>
        </w:rPr>
        <w:instrText xml:space="preserve"> ADDIN ZOTERO_ITEM CSL_CITATION {"citationID":"DrdGVZni","properties":{"formattedCitation":"[4]","plainCitation":"[4]","noteIndex":0},"citationItems":[{"id":203,"uris":["http://zotero.org/users/9137939/items/KF5DDF29"],"itemData":{"id":203,"type":"article-journal","abstract":"We report a comprehensive molecular characterization of pheochromocytomas and paragangliomas (PCCs/PGLs), a rare tumor type. Multi-platform integration revealed that PCCs/PGLs are driven by diverse alterations affecting multiple genes and pathways. Pathogenic germline mutations occurred in eight PCC/PGL susceptibility genes. We identified CSDE1 as a somatically mutated driver gene, complementing four known drivers (HRAS, RET, EPAS1, and NF1). We also discovered fusion genes in PCCs/PGLs, involving MAML3, BRAF, NGFR, and NF1. Integrated analysis classified PCCs/PGLs into four molecularly defined groups: a kinase signaling subtype, a pseudohypoxia subtype, a Wnt-altered subtype, driven by MAML3 and CSDE1, and a cortical admixture subtype. Correlates of metastatic PCCs/PGLs included the MAML3 fusion gene. This integrated molecular characterization provides a comprehensive foundation for developing PCC/PGL precision medicine.","container-title":"Cancer Cell","DOI":"10.1016/j.ccell.2017.01.001","ISSN":"1878-3686","issue":"2","journalAbbreviation":"Cancer Cell","language":"eng","page":"181-193","PMID":"28162975","PMCID":"PMC5643159","source":"PubMed","title":"Comprehensive Molecular Characterization of Pheochromocytoma and Paraganglioma","volume":"31","author":[{"family":"Fishbein","given":"Lauren"},{"family":"Leshchiner","given":"Ignaty"},{"family":"Walter","given":"Vonn"},{"family":"Danilova","given":"Ludmila"},{"family":"Robertson","given":"A. Gordon"},{"family":"Johnson","given":"Amy R."},{"family":"Lichtenberg","given":"Tara M."},{"family":"Murray","given":"Bradley A."},{"family":"Ghayee","given":"Hans K."},{"family":"Else","given":"Tobias"},{"family":"Ling","given":"Shiyun"},{"family":"Jefferys","given":"Stuart R."},{"family":"Cubas","given":"Aguirre A.","non-dropping-particle":"de"},{"family":"Wenz","given":"Brandon"},{"family":"Korpershoek","given":"Esther"},{"family":"Amelio","given":"Antonio L."},{"family":"Makowski","given":"Liza"},{"family":"Rathmell","given":"W. Kimryn"},{"family":"Gimenez-Roqueplo","given":"Anne-Paule"},{"family":"Giordano","given":"Thomas J."},{"family":"Asa","given":"Sylvia L."},{"family":"Tischler","given":"Arthur S."},{"literal":"Cancer Genome Atlas Research Network"},{"family":"Pacak","given":"Karel"},{"family":"Nathanson","given":"Katherine L."},{"family":"Wilkerson","given":"Matthew D."}],"issued":{"date-parts":[["2017",2,13]]}}}],"schema":"https://github.com/citation-style-language/schema/raw/master/csl-citation.json"}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[4]</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xml:space="preserve">. </w:t>
      </w:r>
      <w:bookmarkStart w:id="3" w:name="_Hlk212043248"/>
      <w:r w:rsidRPr="00F11EA8">
        <w:rPr>
          <w:rFonts w:ascii="Times New Roman" w:hAnsi="Times New Roman" w:cs="Times New Roman"/>
          <w:sz w:val="20"/>
          <w:szCs w:val="20"/>
          <w:lang w:val="en-US"/>
        </w:rPr>
        <w:t xml:space="preserve">In addition, we downloaded TPM expression data for adrenal gland tissue from the </w:t>
      </w:r>
      <w:proofErr w:type="spellStart"/>
      <w:r w:rsidRPr="00F11EA8">
        <w:rPr>
          <w:rFonts w:ascii="Times New Roman" w:hAnsi="Times New Roman" w:cs="Times New Roman"/>
          <w:sz w:val="20"/>
          <w:szCs w:val="20"/>
          <w:lang w:val="en-US"/>
        </w:rPr>
        <w:t>GTEx</w:t>
      </w:r>
      <w:proofErr w:type="spellEnd"/>
      <w:r w:rsidRPr="00F11EA8">
        <w:rPr>
          <w:rFonts w:ascii="Times New Roman" w:hAnsi="Times New Roman" w:cs="Times New Roman"/>
          <w:sz w:val="20"/>
          <w:szCs w:val="20"/>
          <w:lang w:val="en-US"/>
        </w:rPr>
        <w:t xml:space="preserve"> platform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{"citationID":"DZd9saRf","properties":{"formattedCitation":"[5]","plainCitation":"[5]","noteIndex":0},"citationItems":[{"id":"Ir82PTlG/2usePLfr","uris":["http://zotero.org/users/9137939/items/67CJPTLC"],"itemData":{"id":998,"type":"article-journal","abstract":"Genome-wide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tissues.","container-title":"Nature Genetics","DOI":"10.1038/ng.2653","ISSN":"1546-1718","issue":"6","journalAbbreviation":"Nat Genet","language":"eng","note":"PMID: 23715323\nPMCID: PMC4010069","page":"580-585","source":"PubMed","title":"The Genotype-Tissue Expression (GTEx) project","volume":"45","author":[{"literal":"GTEx Consortium"}],"issued":{"date-parts":[["2013",6]]}}}],"schema":"https://github.com/citation-style-language/schema/raw/master/csl-citation.json"}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[5]</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xml:space="preserve">, to compare SSTRs expression levels with those observed in normal tissue. To enable this comparison, batch effects arising from differences in analytical methods, sequencing platforms, and cohort origins were corrected using </w:t>
      </w:r>
      <w:r w:rsidRPr="00F11EA8">
        <w:rPr>
          <w:rFonts w:ascii="Times New Roman" w:hAnsi="Times New Roman" w:cs="Times New Roman"/>
          <w:i/>
          <w:iCs/>
          <w:sz w:val="20"/>
          <w:szCs w:val="20"/>
          <w:lang w:val="en-US"/>
        </w:rPr>
        <w:t>ComBat</w:t>
      </w:r>
      <w:r w:rsidRPr="00F11EA8">
        <w:rPr>
          <w:rFonts w:ascii="Times New Roman" w:hAnsi="Times New Roman" w:cs="Times New Roman"/>
          <w:sz w:val="20"/>
          <w:szCs w:val="20"/>
          <w:lang w:val="en-US"/>
        </w:rPr>
        <w:t xml:space="preserve">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{"citationID":"KekPagB0","properties":{"formattedCitation":"[6]","plainCitation":"[6]","noteIndex":0},"citationItems":[{"id":"Ir82PTlG/AJGZZJly","uris":["http://zotero.org/users/9137939/items/DXXXAXZE"],"itemData":{"id":993,"type":"article-journal","abstract":"Non-biological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&gt;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http://biosun1.harvard.edu/complab/batch/.","container-title":"Biostatistics (Oxford, England)","DOI":"10.1093/biostatistics/kxj037","ISSN":"1465-4644","issue":"1","journalAbbreviation":"Biostatistics","language":"eng","note":"PMID: 16632515","page":"118-127","source":"PubMed","title":"Adjusting batch effects in microarray expression data using empirical Bayes methods","volume":"8","author":[{"family":"Johnson","given":"W. Evan"},{"family":"Li","given":"Cheng"},{"family":"Rabinovic","given":"Ariel"}],"issued":{"date-parts":[["2007",1]]}}}],"schema":"https://github.com/citation-style-language/schema/raw/master/csl-citation.json"}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[6]</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xml:space="preserve"> from R/Bioconductor package </w:t>
      </w:r>
      <w:proofErr w:type="spellStart"/>
      <w:r w:rsidRPr="00F11EA8">
        <w:rPr>
          <w:rFonts w:ascii="Times New Roman" w:hAnsi="Times New Roman" w:cs="Times New Roman"/>
          <w:i/>
          <w:iCs/>
          <w:sz w:val="20"/>
          <w:szCs w:val="20"/>
          <w:lang w:val="en-US"/>
        </w:rPr>
        <w:t>sva</w:t>
      </w:r>
      <w:proofErr w:type="spellEnd"/>
      <w:r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rPr>
        <w:fldChar w:fldCharType="begin"/>
      </w:r>
      <w:r w:rsidR="00724F37">
        <w:rPr>
          <w:rFonts w:ascii="Times New Roman" w:hAnsi="Times New Roman" w:cs="Times New Roman"/>
          <w:i/>
          <w:iCs/>
          <w:sz w:val="20"/>
          <w:szCs w:val="20"/>
          <w:lang w:val="en-US"/>
        </w:rPr>
        <w:instrText xml:space="preserve"> ADDIN ZOTERO_ITEM CSL_CITATION {"citationID":"q09GJEoV","properties":{"formattedCitation":"[7]","plainCitation":"[7]","noteIndex":0},"citationItems":[{"id":"Ir82PTlG/8ehXwmwC","uris":["http://zotero.org/users/9137939/items/YDDBTPAJ"],"itemData":{"id":995,"type":"article-journal","abstract":"Summary: 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function.Availability: The R package sva is freely available from http://www.bioconductor.org.Contact:  jleek@jhsph.eduSupplementary information:  Supplementary data are available at Bioinformatics online.","container-title":"Bioinformatics","DOI":"10.1093/bioinformatics/bts034","ISSN":"1367-4803","issue":"6","journalAbbreviation":"Bioinformatics","page":"882-883","source":"Silverchair","title":"The sva package for removing batch effects and other unwanted variation in high-throughput experiments","volume":"28","author":[{"family":"Leek","given":"Jeffrey T."},{"family":"Johnson","given":"W. Evan"},{"family":"Parker","given":"Hilary S."},{"family":"Jaffe","given":"Andrew E."},{"family":"Storey","given":"John D."}],"issued":{"date-parts":[["2012",3,15]]}}}],"schema":"https://github.com/citation-style-language/schema/raw/master/csl-citation.json"} </w:instrText>
      </w:r>
      <w:r w:rsidRPr="00F11EA8">
        <w:rPr>
          <w:rFonts w:ascii="Times New Roman" w:hAnsi="Times New Roman" w:cs="Times New Roman"/>
          <w:i/>
          <w:iCs/>
          <w:sz w:val="20"/>
          <w:szCs w:val="20"/>
        </w:rPr>
        <w:fldChar w:fldCharType="separate"/>
      </w:r>
      <w:r w:rsidR="00EE5CD2" w:rsidRPr="00EE5CD2">
        <w:rPr>
          <w:rFonts w:ascii="Times New Roman" w:hAnsi="Times New Roman" w:cs="Times New Roman"/>
          <w:sz w:val="20"/>
          <w:lang w:val="en-US"/>
        </w:rPr>
        <w:t>[7]</w:t>
      </w:r>
      <w:r w:rsidRPr="00F11EA8">
        <w:rPr>
          <w:rFonts w:ascii="Times New Roman" w:hAnsi="Times New Roman" w:cs="Times New Roman"/>
          <w:i/>
          <w:iCs/>
          <w:sz w:val="20"/>
          <w:szCs w:val="20"/>
        </w:rPr>
        <w:fldChar w:fldCharType="end"/>
      </w:r>
      <w:r w:rsidRPr="00F11EA8">
        <w:rPr>
          <w:rFonts w:ascii="Times New Roman" w:hAnsi="Times New Roman" w:cs="Times New Roman"/>
          <w:sz w:val="20"/>
          <w:szCs w:val="20"/>
          <w:lang w:val="en-US"/>
        </w:rPr>
        <w:t xml:space="preserve"> </w:t>
      </w:r>
      <w:bookmarkEnd w:id="3"/>
      <w:r w:rsidRPr="00F11EA8">
        <w:rPr>
          <w:rFonts w:ascii="Times New Roman" w:hAnsi="Times New Roman" w:cs="Times New Roman"/>
          <w:sz w:val="20"/>
          <w:szCs w:val="20"/>
          <w:lang w:val="en-US"/>
        </w:rPr>
        <w:t>v3.46.0 on log</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-transformed values.</w:t>
      </w:r>
    </w:p>
    <w:p w14:paraId="696B3D9B" w14:textId="7B7FC3C8" w:rsidR="0045605C" w:rsidRPr="00F11EA8" w:rsidRDefault="0045605C" w:rsidP="0045605C">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lastRenderedPageBreak/>
        <w:t>All experiments were conducted in accordance with the ethical standards of the Helsinki Declaration and with the approval of the University of Cordoba/IMIBIC and the Ethics Committees from the participating hospitals/universities (protocol code PI19/01603, v1 - 13/03/2019). In all cases, the study was undertaken after informed consent was obtained from each patient. Clinicopathological data of all cohorts analyzed in this study are described in</w:t>
      </w:r>
      <w:r w:rsidR="00095D43" w:rsidRPr="00F11EA8">
        <w:rPr>
          <w:rFonts w:ascii="Times New Roman" w:hAnsi="Times New Roman" w:cs="Times New Roman"/>
          <w:sz w:val="20"/>
          <w:szCs w:val="20"/>
          <w:lang w:val="en-US"/>
        </w:rPr>
        <w:t xml:space="preserve"> </w:t>
      </w:r>
      <w:r w:rsidRPr="00F11EA8">
        <w:rPr>
          <w:rFonts w:ascii="Times New Roman" w:hAnsi="Times New Roman" w:cs="Times New Roman"/>
          <w:bCs/>
          <w:sz w:val="20"/>
          <w:szCs w:val="20"/>
          <w:lang w:val="en-US"/>
        </w:rPr>
        <w:t>Supp. Table 3.</w:t>
      </w:r>
    </w:p>
    <w:p w14:paraId="5349E7A3" w14:textId="77777777" w:rsidR="0045605C" w:rsidRPr="00F11EA8" w:rsidRDefault="0045605C" w:rsidP="00BA203D">
      <w:pPr>
        <w:spacing w:after="0" w:line="480" w:lineRule="auto"/>
        <w:jc w:val="both"/>
        <w:rPr>
          <w:rFonts w:ascii="Times New Roman" w:hAnsi="Times New Roman" w:cs="Times New Roman"/>
          <w:b/>
          <w:bCs/>
          <w:sz w:val="20"/>
          <w:szCs w:val="20"/>
          <w:lang w:val="en-US"/>
        </w:rPr>
      </w:pPr>
    </w:p>
    <w:p w14:paraId="0FE8E808" w14:textId="771DF4EC" w:rsidR="00BA203D" w:rsidRPr="00F11EA8" w:rsidRDefault="00BA203D" w:rsidP="00BA203D">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Cell lines and reagents</w:t>
      </w:r>
    </w:p>
    <w:p w14:paraId="194998EE" w14:textId="797F78D4" w:rsidR="00BA203D" w:rsidRPr="00F11EA8" w:rsidRDefault="00BA203D" w:rsidP="00BA203D">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Cells derived from human female neuroblastoma, SK-N-AS, (both wild-type,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cells, </w:t>
      </w:r>
      <w:hyperlink r:id="rId10" w:history="1">
        <w:r w:rsidRPr="00F11EA8">
          <w:rPr>
            <w:rStyle w:val="Hipervnculo"/>
            <w:rFonts w:ascii="Times New Roman" w:hAnsi="Times New Roman" w:cs="Times New Roman"/>
            <w:color w:val="auto"/>
            <w:sz w:val="20"/>
            <w:szCs w:val="20"/>
            <w:lang w:val="en-US"/>
          </w:rPr>
          <w:t>RRID:CVCL_1700</w:t>
        </w:r>
      </w:hyperlink>
      <w:r w:rsidRPr="00F11EA8">
        <w:rPr>
          <w:rFonts w:ascii="Times New Roman" w:hAnsi="Times New Roman" w:cs="Times New Roman"/>
          <w:sz w:val="20"/>
          <w:szCs w:val="20"/>
          <w:lang w:val="en-US"/>
        </w:rPr>
        <w:t xml:space="preserve">) were kindly provided by Dr. Massimo Manelli (University of Florence, Florence, Italy) </w:t>
      </w:r>
      <w:r w:rsidRPr="00F11EA8">
        <w:rPr>
          <w:rFonts w:ascii="Times New Roman" w:hAnsi="Times New Roman" w:cs="Times New Roman"/>
          <w:sz w:val="20"/>
          <w:szCs w:val="20"/>
          <w:lang w:val="en-US"/>
        </w:rPr>
        <w:fldChar w:fldCharType="begin"/>
      </w:r>
      <w:r w:rsidR="00724F37">
        <w:rPr>
          <w:rFonts w:ascii="Times New Roman" w:hAnsi="Times New Roman" w:cs="Times New Roman"/>
          <w:sz w:val="20"/>
          <w:szCs w:val="20"/>
          <w:lang w:val="en-US"/>
        </w:rPr>
        <w:instrText xml:space="preserve"> ADDIN ZOTERO_ITEM CSL_CITATION {"citationID":"LMUoD2gb","properties":{"formattedCitation":"[8]","plainCitation":"[8]","noteIndex":0},"citationItems":[{"id":"Ir82PTlG/e5KeCZRD","uris":["http://zotero.org/users/local/bCnZjspr/items/DUNA69ZR"],"itemData":{"id":5235,"type":"article-journal","abstract":"In solid tumors, neoplastic cells grow in contact with the so-called tumor microenvironment. The interaction between tumor cells and the microenvironment causes reciprocal metabolic reprogramming and favorable conditions for tumor growth and metastatic spread. To obtain an experimental model resembling the in vivo conditions of the succinate dehydrogenase B subunit (SDHB)-mutated paragangliomas (PGLs), we evaluated the effects of SDHB silencing on metabolism and proliferation in the human neuroblastoma cell line (SK-N-AS), cultured alone or in association with human fibroblasts. Silencing caused a 70% decrease in protein expression, an almost complete loss of the complex specific enzymatic activity, and a significant increase in HIF1α and HIF2α expression; it thus resembled the in vivo tumor cell phenotype. When compared with WT SK-N-AS cells, SDHB-silenced cells showed an altered metabolism characterized by an unexpected significant decrease in glucose uptake and an increase in lactate uptake. Moreover, silenced cells exhibited a significant increase in cell proliferation and metalloproteinase activity. When co-cultured with human fibroblasts, control cells displayed a significant decrease in glucose uptake and a significant increase in cell proliferation as compared with their mono-cultured counterparts. These effects were even more evident in co-cultured silenced cells, with a 70% decrease in glucose uptake and a 92% increase in cell proliferation as compared to their mono-cultured counterparts. The present data indicate for the first time, to our knowledge, that SDHB impairment causes metabolic and functional derangement of neural-crest-derived tumor cells and that the microenvironment, here represented by fibroblasts, strongly affects their tumor metabolism and growth capacity.","container-title":"Endocrine-Related Cancer","DOI":"10.1530/ERC-14-0479","ISSN":"1479-6821","issue":"3","journalAbbreviation":"Endocr Relat Cancer","language":"eng","note":"PMID: 25808177","page":"409-417","source":"PubMed","title":"Role of microenvironment on neuroblastoma SK-N-AS SDHB-silenced cell metabolism and function","volume":"22","author":[{"family":"Rapizzi","given":"Elena"},{"family":"Fucci","given":"Rossella"},{"family":"Giannoni","given":"Elisa"},{"family":"Canu","given":"Letizia"},{"family":"Richter","given":"Susan"},{"family":"Cirri","given":"Paolo"},{"family":"Mannelli","given":"Massimo"}],"issued":{"date-parts":[["2015",6]]}}}],"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[8]</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xml:space="preserve">, and male rat </w:t>
      </w:r>
      <w:r w:rsidR="00275AC8" w:rsidRPr="00F11EA8">
        <w:rPr>
          <w:rFonts w:ascii="Times New Roman" w:hAnsi="Times New Roman" w:cs="Times New Roman"/>
          <w:sz w:val="20"/>
          <w:szCs w:val="20"/>
          <w:lang w:val="en-US"/>
        </w:rPr>
        <w:t>PCC</w:t>
      </w:r>
      <w:r w:rsidRPr="00F11EA8">
        <w:rPr>
          <w:rFonts w:ascii="Times New Roman" w:hAnsi="Times New Roman" w:cs="Times New Roman"/>
          <w:sz w:val="20"/>
          <w:szCs w:val="20"/>
          <w:lang w:val="en-US"/>
        </w:rPr>
        <w:t>-derived cell line PC-12 Adh (</w:t>
      </w:r>
      <w:hyperlink r:id="rId11" w:history="1">
        <w:r w:rsidRPr="00F11EA8">
          <w:rPr>
            <w:rStyle w:val="Hipervnculo"/>
            <w:rFonts w:ascii="Times New Roman" w:hAnsi="Times New Roman" w:cs="Times New Roman"/>
            <w:color w:val="auto"/>
            <w:sz w:val="20"/>
            <w:szCs w:val="20"/>
            <w:lang w:val="en-US"/>
          </w:rPr>
          <w:t>RRID:CVCL_F659</w:t>
        </w:r>
      </w:hyperlink>
      <w:r w:rsidRPr="00F11EA8">
        <w:rPr>
          <w:rFonts w:ascii="Times New Roman" w:hAnsi="Times New Roman" w:cs="Times New Roman"/>
          <w:sz w:val="20"/>
          <w:szCs w:val="20"/>
          <w:lang w:val="en-US"/>
        </w:rPr>
        <w:t>) was generously provided by Dr. M. M. Malagon (University of Cordoba, Cordoba, Spain). Mycoplasma testing was performed biweekly to ensure culture integrity</w:t>
      </w:r>
      <w:r w:rsidRPr="00F11EA8" w:rsidDel="000F5DA7">
        <w:rPr>
          <w:rFonts w:ascii="Times New Roman" w:hAnsi="Times New Roman" w:cs="Times New Roman"/>
          <w:sz w:val="20"/>
          <w:szCs w:val="20"/>
          <w:lang w:val="en-US"/>
        </w:rPr>
        <w:t xml:space="preserve"> </w:t>
      </w:r>
      <w:r w:rsidRPr="00F11EA8">
        <w:rPr>
          <w:rFonts w:ascii="Times New Roman" w:hAnsi="Times New Roman" w:cs="Times New Roman"/>
          <w:sz w:val="20"/>
          <w:szCs w:val="20"/>
          <w:lang w:val="en-US"/>
        </w:rPr>
        <w:t xml:space="preserve">by PCR as previously described </w:t>
      </w:r>
      <w:r w:rsidRPr="00F11EA8">
        <w:rPr>
          <w:rFonts w:ascii="Times New Roman" w:hAnsi="Times New Roman" w:cs="Times New Roman"/>
          <w:sz w:val="20"/>
          <w:szCs w:val="20"/>
          <w:lang w:val="en-US"/>
        </w:rPr>
        <w:fldChar w:fldCharType="begin"/>
      </w:r>
      <w:r w:rsidR="0045605C" w:rsidRPr="00F11EA8">
        <w:rPr>
          <w:rFonts w:ascii="Times New Roman" w:hAnsi="Times New Roman" w:cs="Times New Roman"/>
          <w:sz w:val="20"/>
          <w:szCs w:val="20"/>
          <w:lang w:val="en-US"/>
        </w:rPr>
        <w:instrText xml:space="preserve"> ADDIN ZOTERO_ITEM CSL_CITATION {"citationID":"RriiRiWc","properties":{"formattedCitation":"[9]","plainCitation":"[9]","noteIndex":0},"citationItems":[{"id":218,"uris":["http://zotero.org/users/9137939/items/HAQRIPHP"],"itemData":{"id":218,"type":"article-journal","abstract":"Mycoplasma contamination of cell lines is a major problem in cell culture technology. This unit presents protocols involving either the polymerase chain reaction (PCR) or fluorescent in situ hybridization (FISH) to provide independent, fast, and sensitive techniques to monitor mycoplasma contamination in laboratory cultures. Special emphasis is placed on the integration of control reactions to prevent false-negative as well as false-positive results due to reaction inhibition or contamination and background staining, respectively.","container-title":"Current Protocols in Molecular Biology","DOI":"10.1002/0471142727.mb2804s106","ISSN":"1934-3647","journalAbbreviation":"Curr Protoc Mol Biol","language":"eng","page":"28.4.1-28.4.14","PMID":"24733240","source":"PubMed","title":"Detection of Mycoplasma contamination in cell cultures","volume":"106","author":[{"family":"Uphoff","given":"Cord C."},{"family":"Drexler","given":"Hans G."}],"issued":{"date-parts":[["2014",4,14]]}}}],"schema":"https://github.com/citation-style-language/schema/raw/master/csl-citation.json"}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[9]</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xml:space="preserve">. The SK-N-AS cell lines were cultured in Dulbecco’s Modified Eagle Medium with 4500 mg/L of glucose (DMEM 4.5 g/L glucose, Corning, Arizona, USA) supplemented with 10% Fetal Bovine Serum (FBS, Sigma-Aldrich, Madrid, Spain), 2 mM L-glutamine (Sigma-Aldrich), 1% antibiotic-antimycotic and G418 (0.2 mg/mL) (Gibco, Madrid, Spain), the latter used to maintain the selection of KD cells. The PC-12 Adh cell line was cultured in DMEM 4.5 g/L glucose supplemented with 10% FBS, 5% Horse Serum (HS, ThermoFisher-Scientific, Waltham, MA, USA), 2 mM L-glutamine and 1% antibiotic-antimycotic. </w:t>
      </w:r>
      <w:bookmarkStart w:id="4" w:name="_Hlk214041320"/>
      <w:bookmarkStart w:id="5" w:name="_Hlk214046647"/>
      <w:r w:rsidRPr="00F11EA8">
        <w:rPr>
          <w:rFonts w:ascii="Times New Roman" w:hAnsi="Times New Roman" w:cs="Times New Roman"/>
          <w:sz w:val="20"/>
          <w:szCs w:val="20"/>
          <w:lang w:val="en-US"/>
        </w:rPr>
        <w:t xml:space="preserve">Two cell lines derived from primary cultures were used to test the main findings obtained in the previously described models: PGL1 and PGL7. PGL1 corresponds to a sample derived from a primary pelvic </w:t>
      </w:r>
      <w:r w:rsidR="00FB665E" w:rsidRPr="00F11EA8">
        <w:rPr>
          <w:rFonts w:ascii="Times New Roman" w:hAnsi="Times New Roman" w:cs="Times New Roman"/>
          <w:sz w:val="20"/>
          <w:szCs w:val="20"/>
          <w:lang w:val="en-US"/>
        </w:rPr>
        <w:t>PGL</w:t>
      </w:r>
      <w:r w:rsidRPr="00F11EA8">
        <w:rPr>
          <w:rFonts w:ascii="Times New Roman" w:hAnsi="Times New Roman" w:cs="Times New Roman"/>
          <w:sz w:val="20"/>
          <w:szCs w:val="20"/>
          <w:lang w:val="en-US"/>
        </w:rPr>
        <w:t xml:space="preserve"> (primary tumor) of a 34-year-old male patient harboring an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mutation, whereas PGL7 was derived from a metastatic cervical </w:t>
      </w:r>
      <w:r w:rsidR="00FB665E" w:rsidRPr="00F11EA8">
        <w:rPr>
          <w:rFonts w:ascii="Times New Roman" w:hAnsi="Times New Roman" w:cs="Times New Roman"/>
          <w:sz w:val="20"/>
          <w:szCs w:val="20"/>
          <w:lang w:val="en-US"/>
        </w:rPr>
        <w:t>PGL</w:t>
      </w:r>
      <w:r w:rsidRPr="00F11EA8">
        <w:rPr>
          <w:rFonts w:ascii="Times New Roman" w:hAnsi="Times New Roman" w:cs="Times New Roman"/>
          <w:sz w:val="20"/>
          <w:szCs w:val="20"/>
          <w:lang w:val="en-US"/>
        </w:rPr>
        <w:t xml:space="preserve"> (metastatic lesion) of a 19-year-old male patient carrying an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mutation [heterozygous 5-bp deletion in exon 2 (c.166_170delCCTCA)]. These cells, kindly provided by Dr. Botella, were cultured in RPMI-1640 medium (Cytiva, Barcelona, Spain), supplemented with FBS at 20%, L-glutamine at 1%, antibiotic/antimycotic at 0.2% and MycoZap Plus-CL at 0.2% (Lonza, Basel, Switzerland).</w:t>
      </w:r>
      <w:bookmarkEnd w:id="4"/>
      <w:r w:rsidRPr="00F11EA8">
        <w:rPr>
          <w:rFonts w:ascii="Times New Roman" w:hAnsi="Times New Roman" w:cs="Times New Roman"/>
          <w:sz w:val="20"/>
          <w:szCs w:val="20"/>
          <w:lang w:val="en-US"/>
        </w:rPr>
        <w:t xml:space="preserve"> </w:t>
      </w:r>
      <w:bookmarkEnd w:id="5"/>
      <w:r w:rsidRPr="00F11EA8">
        <w:rPr>
          <w:rFonts w:ascii="Times New Roman" w:hAnsi="Times New Roman" w:cs="Times New Roman"/>
          <w:sz w:val="20"/>
          <w:szCs w:val="20"/>
          <w:lang w:val="en-US"/>
        </w:rPr>
        <w:t>Human somatostatin-14, cortistatin-17 and octreotide were purchased from Polypeptide Group (Neuhofstrasse, Switzerland), while pasireotide was kindly provided by Herbert A</w:t>
      </w:r>
      <w:r w:rsidR="00FB665E" w:rsidRPr="00F11EA8">
        <w:rPr>
          <w:rFonts w:ascii="Times New Roman" w:hAnsi="Times New Roman" w:cs="Times New Roman"/>
          <w:sz w:val="20"/>
          <w:szCs w:val="20"/>
          <w:lang w:val="en-US"/>
        </w:rPr>
        <w:t>.</w:t>
      </w:r>
      <w:r w:rsidRPr="00F11EA8">
        <w:rPr>
          <w:rFonts w:ascii="Times New Roman" w:hAnsi="Times New Roman" w:cs="Times New Roman"/>
          <w:sz w:val="20"/>
          <w:szCs w:val="20"/>
          <w:lang w:val="en-US"/>
        </w:rPr>
        <w:t xml:space="preserve"> Schmid [Novartis Pharmaceuticals Corporation (Basel, Switzerland)]. Subtype selective SST</w:t>
      </w:r>
      <w:r w:rsidRPr="00F11EA8">
        <w:rPr>
          <w:rFonts w:ascii="Times New Roman" w:hAnsi="Times New Roman" w:cs="Times New Roman"/>
          <w:sz w:val="20"/>
          <w:szCs w:val="20"/>
          <w:vertAlign w:val="subscript"/>
          <w:lang w:val="en-US"/>
        </w:rPr>
        <w:t>1</w:t>
      </w:r>
      <w:r w:rsidRPr="00F11EA8">
        <w:rPr>
          <w:rFonts w:ascii="Times New Roman" w:hAnsi="Times New Roman" w:cs="Times New Roman"/>
          <w:sz w:val="20"/>
          <w:szCs w:val="20"/>
          <w:lang w:val="en-US"/>
        </w:rPr>
        <w:t>,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SST</w:t>
      </w:r>
      <w:r w:rsidRPr="00F11EA8">
        <w:rPr>
          <w:rFonts w:ascii="Times New Roman" w:hAnsi="Times New Roman" w:cs="Times New Roman"/>
          <w:sz w:val="20"/>
          <w:szCs w:val="20"/>
          <w:vertAlign w:val="subscript"/>
          <w:lang w:val="en-US"/>
        </w:rPr>
        <w:t>3</w:t>
      </w:r>
      <w:r w:rsidRPr="00F11EA8">
        <w:rPr>
          <w:rFonts w:ascii="Times New Roman" w:hAnsi="Times New Roman" w:cs="Times New Roman"/>
          <w:sz w:val="20"/>
          <w:szCs w:val="20"/>
          <w:lang w:val="en-US"/>
        </w:rPr>
        <w:t xml:space="preserve"> and SST</w:t>
      </w:r>
      <w:r w:rsidRPr="00F11EA8">
        <w:rPr>
          <w:rFonts w:ascii="Times New Roman" w:hAnsi="Times New Roman" w:cs="Times New Roman"/>
          <w:sz w:val="20"/>
          <w:szCs w:val="20"/>
          <w:vertAlign w:val="subscript"/>
          <w:lang w:val="en-US"/>
        </w:rPr>
        <w:t>5</w:t>
      </w:r>
      <w:r w:rsidRPr="00F11EA8">
        <w:rPr>
          <w:rFonts w:ascii="Times New Roman" w:hAnsi="Times New Roman" w:cs="Times New Roman"/>
          <w:sz w:val="20"/>
          <w:szCs w:val="20"/>
          <w:lang w:val="en-US"/>
        </w:rPr>
        <w:t xml:space="preserve"> agonists (BIM-23926, BIM-23120, BIM-355 and BIM-23206, respectively) were generously provided by IPSEN Bioscience, Inc (Cambridge, MA, USA). </w:t>
      </w:r>
      <w:bookmarkStart w:id="6" w:name="_Hlk207130244"/>
      <w:r w:rsidRPr="00F11EA8">
        <w:rPr>
          <w:rFonts w:ascii="Times New Roman" w:hAnsi="Times New Roman" w:cs="Times New Roman"/>
          <w:sz w:val="20"/>
          <w:szCs w:val="20"/>
          <w:lang w:val="en-US"/>
        </w:rPr>
        <w:t xml:space="preserve">The affinity of these ligands for each of the SSTs has been summarized in </w:t>
      </w:r>
      <w:r w:rsidRPr="00F11EA8">
        <w:rPr>
          <w:rFonts w:ascii="Times New Roman" w:hAnsi="Times New Roman" w:cs="Times New Roman"/>
          <w:bCs/>
          <w:sz w:val="20"/>
          <w:szCs w:val="20"/>
          <w:lang w:val="en-US"/>
        </w:rPr>
        <w:t xml:space="preserve">Supp. </w:t>
      </w:r>
      <w:r w:rsidRPr="00F11EA8">
        <w:rPr>
          <w:rFonts w:ascii="Times New Roman" w:hAnsi="Times New Roman" w:cs="Times New Roman"/>
          <w:bCs/>
          <w:sz w:val="20"/>
          <w:szCs w:val="20"/>
          <w:lang w:val="en-US"/>
        </w:rPr>
        <w:lastRenderedPageBreak/>
        <w:t>Table 2</w:t>
      </w:r>
      <w:r w:rsidRPr="00F11EA8">
        <w:rPr>
          <w:rFonts w:ascii="Times New Roman" w:hAnsi="Times New Roman" w:cs="Times New Roman"/>
          <w:b/>
          <w:sz w:val="20"/>
          <w:szCs w:val="20"/>
          <w:lang w:val="en-US"/>
        </w:rPr>
        <w:t xml:space="preserve"> </w:t>
      </w:r>
      <w:r w:rsidRPr="00F11EA8">
        <w:rPr>
          <w:rFonts w:ascii="Times New Roman" w:hAnsi="Times New Roman" w:cs="Times New Roman"/>
          <w:b/>
          <w:sz w:val="20"/>
          <w:szCs w:val="20"/>
          <w:lang w:val="en-US"/>
        </w:rPr>
        <w:fldChar w:fldCharType="begin"/>
      </w:r>
      <w:r w:rsidR="00015607">
        <w:rPr>
          <w:rFonts w:ascii="Times New Roman" w:hAnsi="Times New Roman" w:cs="Times New Roman"/>
          <w:b/>
          <w:sz w:val="20"/>
          <w:szCs w:val="20"/>
          <w:lang w:val="en-US"/>
        </w:rPr>
        <w:instrText xml:space="preserve"> ADDIN ZOTERO_ITEM CSL_CITATION {"citationID":"K25CfXwK","properties":{"formattedCitation":"[10\\uc0\\u8211{}17]","plainCitation":"[10–17]","noteIndex":0},"citationItems":[{"id":"Ir82PTlG/xDrb1NZM","uris":["http://zotero.org/users/9137939/items/H2MCFHRP"],"itemData":{"id":520,"type":"article-journal","abstract":"Gastroenteropancreatic neuroendocrine tumours (GEP NETs) are rare tumours that present many clinical features.They secrete peptides and neuroamines that cause distinct clinical syndromes, including carcinoid syndrome. However, many are clinically silent until late presentation with mass effects.In 2000 the WHO developed a new classification which gives a better description of the characteristics and biological behaviour of the tumour.Surgical resection is the treatment of first choice for a patient with a GEP NET. In metastatic disease multiple therapeutic approaches are possible. In these cases the goal is to improve quality of life and to extent survival.GEP NETs express somatostatin receptors (SSTRs), which are bound by somatostatin (SST) or its synthetic analogues, although the subtypes and number of SSTRs expressed is very variable.Somatostatin analogues are used frequently to control hormone-related symptoms while their anti-neoplastic activity, even if it has not been widely studied and the regarding data are discordant, seems to result prevalently in tumour stabilisation.A few patients who fail to respond or cease to respond to standard SST analogues treatment seem to have a response to higher doses of these drugs.The use of higher doses of somatostatin analogues or the development of new subtype selective agonists and chimaeric somatostatin analogues, or pan-somatostatin will probably improve the clinical management of these patients.This review provides an update on the use of somatostatin analogues in the management of GEP NETs and discusses novel clinical strategies based on SSTR 2 gene transfer therapy.","container-title":"Journal of experimental &amp; clinical cancer research: CR","DOI":"10.1186/1756-9966-29-19","ISSN":"1756-9966","issue":"1","journalAbbreviation":"J Exp Clin Cancer Res","language":"eng","note":"PMID: 20196864\nPMCID: PMC2845555","page":"19","source":"PubMed","title":"Somatostatin analogues in the treatment of gastroenteropancreatic neuroendocrine tumours, current aspects and new perspectives","volume":"29","author":[{"family":"Appetecchia","given":"Marialuisa"},{"family":"Baldelli","given":"Roberto"}],"issued":{"date-parts":[["2010",3,2]]}}},{"id":2103,"uris":["http://zotero.org/users/9137939/items/GHI5Z6VL"],"itemData":{"id":2103,"type":"article-journal","abstract":"Expressed sequence tags (ESTs) that showed significant homology to rat cortistatin (CST) were found in a human fetal brain cDNA library. A protein coded by the cDNA showed 55% identity to rat preprocortistatin in amino acid. Similarly in the generation of mature peptides from rat preprocortistatin, it was expected that cleavage at dibasic amino acids in the C-terminal portion of the coded protein might produce at least two different sizes of mature peptides with 29 and 17 amino acid residues, respectively. We chemically synthesized the predicted mature peptide with 17 amino acid residues (hCS-17) and examined its biological activities. It bound to all human somatostatin receptor (SSTR) subtypes in almost the same manner as rat CST-14. It also inhibited cAMP production induced by forskolin through SSTRs. Administration of hCS-17 to the cerebral ventricle showed flattening of cortical and hippocampal electroencephalograms in rats. These results indicate that a bioactive peptide encoded by the cDNA is a human counterpart corresponding to rat CST.","container-title":"Biochemical and Biophysical Research Communications","DOI":"10.1006/bbrc.1997.6252","ISSN":"0006-291X","issue":"1","journalAbbreviation":"Biochem Biophys Res Commun","language":"eng","page":"157-163","PMID":"9125122","source":"PubMed","title":"Identification and characterization of a novel human cortistatin-like peptide","volume":"232","author":[{"family":"Fukusumi","given":"S."},{"family":"Kitada","given":"C."},{"family":"Takekawa","given":"S."},{"family":"Kizawa","given":"H."},{"family":"Sakamoto","given":"J."},{"family":"Miyamoto","given":"M."},{"family":"Hinuma","given":"S."},{"family":"Kitano","given":"K."},{"family":"Fujino","given":"M."}],"issued":{"date-parts":[["1997",3,6]]}}},{"id":"Ir82PTlG/fasJH5KS","uris":["http://zotero.org/users/9137939/items/KI6JS9XG"],"itemData":{"id":526,"type":"article-journal","abstract":"We tested effects of selective somatostatin receptor 2 (SST2) agonist BIM-23120, SST5 agonist BIM-23206 and chimeric somatostatin-dopamine molecules (SRIF/DA) BIM-23A760 and BIM-23A761 on GH and PRL secretion and gene expression in human GH/PRL-secreting pituitary tumors in vitro. In \"responders\" group BIM-23120 suppressed GH levels by 26±4%, BIM-23206 by 31±5%, BIM-23A760 by 23±4%, BIM-23A761 by 39±8% and D(2)-dopamine agonist BIM-53097 by 31±5%. Using real-time PCR we demonstrated that GH inhibition was not accompanied by decreased GH mRNA levels. PRL secretion was inhibited by BIM-23A760 (29±5%), BIM-23A761 (34±4%), BIM-23206 (26±4%) and BIM-53097 (36±2%). SRIF/DA and BIM-53097 also suppressed PRL mRNA levels. Concluding, SST2 and SST5 agonists and SRIF/DA inhibit GH secretion, but do not suppress GH gene transcription. SRIF/DA and BIM-53097 inhibit both PRL secretion and PRL gene expression. SST5 agonist inhibits PRL secretion, but does not suppress PRL gene expression. D(2) affinity is crucial in SRIF/DA action on PRL gene expression.","container-title":"Molecular and Cellular Endocrinology","DOI":"10.1016/j.mce.2012.05.020","ISSN":"1872-8057","issue":"1-2","journalAbbreviation":"Mol Cell Endocrinol","language":"eng","note":"PMID: 22705877","page":"104-109","source":"PubMed","title":"Somatostatin analogs and chimeric somatostatin-dopamine molecules differentially regulate human growth hormone and prolactin gene expression and secretion in vitro","volume":"362","author":[{"family":"Gruszka","given":"Anna"},{"family":"Culler","given":"Michael D."},{"family":"Melmed","given":"Shlomo"}],"issued":{"date-parts":[["2012",10,15]]}}},{"id":"Ir82PTlG/aNBUlV0F","uris":["http://zotero.org/users/9137939/items/7QPDZGDV"],"itemData":{"id":528,"type":"article-journal","abstract":"We previously demonstrated that somatostatin (SRIF)-induced inhibition of GH secretion from human pituitary cells is mediated through both the SRIF receptor (SSTR) 2 and 5 subtypes. The interplay between these two SSTR subtypes in regulating GH was therefore tested in primary human fetal pituitary cultures (18-30 wk gestation). GHRH (10 nM)-stimulated GH secretion (51% increase, P &lt; 0.05) was suppressed equally by either SSTR2 or SSTR5-selective agonists (10 nM). GH suppression correlated with agonist affinity for their respective receptor subtypes. Combined addition of SSTR2- and SSTR5-specific agonists was synergistic for GH suppression, achieving 73% (P &lt; 0.05) inhibition as compared with inhibition attained with SSTR2 (32%) and SSTR5 (34%) agonists used alone (P &lt; 0.05). The SSTR2 selective antagonist BIM-23454 dose-dependently blocked SSTR2 but not SSTR5-induced suppression of GH secretion. BIM-23454 also completely reversed GH suppression in response to the combined activation of SSTR2 and SSTR5. The IC(50) for BIM-23454 reversal of agonist-induced GH suppression was 55 nM and 33 nM for two SSTR2 agonists, 45 nM and 40 nM for the combination of SSTR2 and SSTR5 agonists, respectively, and 45 nM for the SSTR2/SSTR5 agonist BIM-23244, all of which were similar to the affinity of BIM-23454 for SSTR2 (32 nM). These results suggest the following: 1) activation of both SSTR2 and SSTR5 induces a functional association of receptor subtypes, resulting in synergistic GH suppression; 2) BIM-23454 is a potent SSTR2-selective antagonist capable of reversing SRIF-induced GH suppression; and 3) the ability of a selective SSTR2 antagonist to inhibit the GH suppressing action of SSTR2 agonist alone, SSTR2/SSTR5 biselective agonists, or SSTR2 and SSTR5 agonists in combination support the concept of a functional interaction between somatotroph SSTR2 and SSTR5 subtypes in primary human fetal pituitary cells.","container-title":"The Journal of Clinical Endocrinology and Metabolism","DOI":"10.1210/jc.2003-030303","ISSN":"0021-972X","issue":"9","journalAbbreviation":"J Clin Endocrinol Metab","language":"eng","note":"PMID: 12970293","page":"4239-4245","source":"PubMed","title":"Functional association of somatostatin receptor subtypes 2 and 5 in inhibiting human growth hormone secretion","volume":"88","author":[{"family":"Ren","given":"Song-Guang"},{"family":"Taylor","given":"John"},{"family":"Dong","given":"Jesse"},{"family":"Yu","given":"Run"},{"family":"Culler","given":"Michael D."},{"family":"Melmed","given":"Shlomo"}],"issued":{"date-parts":[["2003",9]]}}},{"id":272,"uris":["http://zotero.org/users/9137939/items/H8W7HJW2"],"itemData":{"id":272,"type":"article-journal","abstract":"Somatostatin is a polypeptide hormone acting as an inhibitor of pituitary, pancreatic, and gastrointestinal secretion through specific membrane receptors of which five subtypes have been cloned (sst1–5). Somatostatin analogs are used in the clinic to treat patients with excessive hormone production due to a neuroendocrine tumor. The aim of this study was to investigate the biological activity of three new somatostatin receptor subtype selective analogs (BIM-23926, sst1-selective; BIM-23120, sst2-selective; and BIM-23206, sst5-selective) in the human neuroendocrine tumor cell line, BON-1, which expresses sst1, sst2, and sst5 natively. Somatostatin-14 and octreotide were used as reference substances. Forskolin-induced cAMP accumulation and chromogranin A (CgA) secretion were inhibited by BIM-23120, BIM-23206, and somatostatin-14 in a dose-dependent manner. Cholecystokinin (CCK-8) stimulated activation of mitogen-activated protein (MAP) kinase was inhibited by BIM-23120 and BIM-23206, while BIM-23926 stimulated the activity. Selective BIM analogs showed a more efficient inhibitory effect on cAMP accumulation, CgA secretion, and MAP kinase activity than octreotide in BON-1 cells. This may be explained by the differences in affinity of the ligand to the receptor or by interaction between different sst subtypes. We conclude that increasing knowledge about sst physiology and expression in malignant disease indicates a need for new analogs that can be incorporated into the therapeutic arsenal.","container-title":"Medical Oncology","DOI":"10.1385/MO:21:3:285","ISSN":"1559-131X","issue":"3","journalAbbreviation":"Med Oncol","language":"en","page":"285-295","source":"Springer Link","title":"Subtype selective interactions of somatostatin and somatostatin analogs with sst1, sst2, and sst5 in BON-1 cells","volume":"21","author":[{"family":"Ludvigsen","given":"Eva"},{"family":"Stridsberg","given":"Mats"},{"family":"Taylor","given":"John E."},{"family":"Culler","given":"Michael D."},{"family":"Öberg","given":"Kjell"},{"family":"Janson","given":"Eva T."}],"issued":{"date-parts":[["2004",9,1]]}}},{"id":"Ir82PTlG/AmHA8LBJ","uris":["http://zotero.org/users/9137939/items/R3TQ95A3"],"itemData":{"id":3,"type":"article-journal","abstract":"OBJECTIVE: The aim of the present study was to identify a small, metabolically stable somatotropin release inhibiting factor (SRIF) analog with a more universal binding profile similar to that of natural somatostatin, resulting in improved pharmacological properties and hence new therapeutic uses. DESIGN: A rational drug design approach was followed by synthesizing alanine-substituted SRIF-14 analogs to determine the importance of single amino acids in SRIF-14 for SRIF receptor subtype binding. The incorporation of structural elements of SRIF-14 in a stable cyclohexapeptide template in the form of modified unnatural amino acids resulted in the identification of the novel cyclohexapeptide SOM230. RESULTS: SOM230 binds with high affinity to SRIF receptor subtypes sst1, sst2, sst3 and sst5 and displays a 30- to 40-fold higher affinity for sst1 and sst5 than Sandostatin (octreotide; SMS 201-995) or Somatuline (BIM 23014). In vitro, SOM230 effectively inhibited the growth hormone releasing hormone (GHRH)-induced growth hormone (GH) release in primary cultures of rat pituitary cells with an IC(50) of 0.4+/-0.1 nmol/l (n=5). In vivo, SOM230 also potently suppressed GH secretion in rats. The ED(50) values determined at 1 h and 6 h post injection of SOM230 indicated its very long duration of action in vivo. This property was also reflected in pharmacokinetic studies comparing plasma levels of SMS 201-995 and SOM230 after subcutaneous application. Whereas SMS 201-995 had a terminal elimination half life of 2 h, this was markedly prolonged in SOM230-treated animals (t(1/2)=23 h). Furthermore, in rats SOM230 demonstrated a much higher efficacy in lowering plasma insulin-like growth factor-I (IGF-I) levels compared with SMS 201-995. The infusion of 10 microg/kg/h of SOM230 using subcutaneously implanted minipumps decreased plasma IGF-I levels far more effectively than SMS 201-995. After 126 days of continuous infusion of SOM230 plasma IGF-I levels were decreased by 75% of placebo-treated control animals. For comparison SMS 201-995, when used under the same experimental conditions, resulted in only a 28% reduction of plasma IGF-I levels, indicating a much higher efficacy for SOM230 in this animal model. It is important to note that the inhibitory effect of SOM230 was relatively selective for GH and IGF-I in that insulin and glucagon secretion was inhibited only at higher doses of SOM230. This lack of potent inhibition of insulin and glucagon release was also reflected in the lack of effect on plasma glucose levels. Even after high dose treatment over 126 days no obvious adverse side effects were noticed, including changes in plasma glucose levels. CONCLUSION: We have identified a novel short synthetic SRIF peptidomimetic, which exhibits high affinity binding to four of the five human SRIF receptor subtypes and has potent, long lasting inhibitory effects on GH and IGF-I release. Therefore SOM230 is a promising development candidate for effective GH and IGF-I inhibition and is currently under evaluation in phase 1 clinical trials.","container-title":"European Journal of Endocrinology","DOI":"10.1530/eje.0.1460707","ISSN":"0804-4643, 1479-683X","issue":"5","journalAbbreviation":"Eur J Endocrinol","page":"707-716","source":"DOI.org (Crossref)","title":"SOM230: a novel somatostatin peptidomimetic with broad somatotropin release inhibiting factor (SRIF) receptor binding and a unique antisecretory profile","title-short":"SOM230","volume":"146","author":[{"family":"Bruns","given":"C"},{"family":"Lewis","given":"I"},{"family":"Briner","given":"U"},{"family":"Meno-Tetang","given":"G"},{"family":"Weckbecker","given":"G"}],"issued":{"date-parts":[["2002",5,1]]}}},{"id":"Ir82PTlG/9E0ElFV6","uris":["http://zotero.org/users/9137939/items/LBT6GXRP"],"itemData":{"id":274,"type":"article-journal","abstract":"PURPOSE: Somatostatin analogues (SSA) are efficacious and safe treatments for a variety of neuroendocrine tumors, especially pituitary neuroendocrine tumors (PitNET). Their therapeutic effects are mainly mediated by somatostatin receptors SST2 and SST5. Most SSAs, such as octreotide/lanreotide/pasireotide, are either nonselective or activate mainly SST2. However, nonfunctioning pituitary tumors (NFPTs), the most common PitNET type, mainly express SST3 and finding peptides that activate this particular somatostatin receptor has been very challenging. Therefore, the main objective of this study was to identify SST3-agonists and characterize their effects on experimental NFPT models.\nEXPERIMENTAL DESIGN: Binding to SSTs and cAMP level determinations were used to screen a peptide library and identify SST3-agonists. Key functional parameters (cell viability/caspase activity/chromogranin-A secretion/mRNA expression/intracellular signaling pathways) were assessed on NFPT primary cell cultures in response to SST3-agonists. Tumor growth was assessed in a preclinical PitNET mouse model treated with a SST3-agonist.\nRESULTS: We successfully identified the first SST3-agonist peptides. SST3-agonists lowered cell viability and chromogranin-A secretion, increased apoptosis in vitro, and reduced tumor growth in a preclinical PitNET model. As expected, inhibition of cell viability in response to SST3-agonists defined two NFPT populations: responsive and unresponsive, wherein responsive NFPTs expressed more SST3 than unresponsive NFPTs and exhibited a profound reduction of MAPK, PI3K-AKT/mTOR, and JAK/STAT signaling pathways upon SST3-agonist treatments. Concurrently, SSTR3 silencing increased cell viability in a subset of NFPTs.\nCONCLUSIONS: This study demonstrates that SST3-agonists activate signaling mechanisms that reduce NFPT cell viability and inhibit pituitary tumor growth in experimental models that expresses SST3, suggesting that targeting this receptor could be an efficacious treatment for NFPTs.","container-title":"Clinical Cancer Research: An Official Journal of the American Association for Cancer Research","DOI":"10.1158/1078-0432.CCR-19-2154","ISSN":"1557-3265","issue":"4","journalAbbreviation":"Clin Cancer Res","language":"eng","note":"PMID: 31624102","page":"957-969","source":"PubMed","title":"A Somatostatin Receptor Subtype-3 (SST3) Peptide Agonist Shows Antitumor Effects in Experimental Models of Nonfunctioning Pituitary Tumors","volume":"26","author":[{"family":"Vázquez-Borrego","given":"Mari C."},{"family":"Gupta","given":"Vandana"},{"family":"Ibáñez-Costa","given":"Alejandro"},{"family":"Gahete","given":"Manuel D."},{"family":"Venegas-Moreno","given":"Eva"},{"family":"Toledano-Delgado","given":"Álvaro"},{"family":"Cano","given":"David A."},{"family":"Blanco-Acevedo","given":"Cristóbal"},{"family":"Ortega-Salas","given":"Rosa"},{"family":"Japón","given":"Miguel A."},{"family":"Barrera-Martín","given":"Ana"},{"family":"Vasiljevic","given":"Alexandre"},{"family":"Hill","given":"Jason"},{"family":"Zhang","given":"Shengwen"},{"family":"Halem","given":"Heather"},{"family":"Solivera","given":"Juan"},{"family":"Raverot","given":"Gérald"},{"family":"Gálvez","given":"María A."},{"family":"Soto-Moreno","given":"Alfonso"},{"family":"Paez-Pereda","given":"Marcelo"},{"family":"Culler","given":"Michael D."},{"family":"Castaño","given":"Justo P."},{"family":"Luque","given":"Raúl M."}],"issued":{"date-parts":[["2020",2,15]]}}},{"id":279,"uris":["http://zotero.org/users/9137939/items/23FY5TEP"],"itemData":{"id":279,"type":"article-journal","abstract":"Somatostatin (SRIF) analogs interacting with SRIF receptor subtype (SSTR) 2 and SSTR5 are known to reduce secretion in GH-secreting pituitary adenomas. We investigated the effects of SRIF and a SSTR1 selective agonist, BIM-23926, on GH and prolactin (PRL) secretion and cell viability in primary cultures deriving from 15 GH- and PRL-secreting adenomas expressing SSTR1. Quantitative RT-PCR showed SSTR1 mRNA mean levels of 6 +/- 2.2 x 10(4) molecules/ microg reverse-transcribed total RNA. SSTR2 and SSTR5 were frequently expressed (93.3%), on the contrary of SSTR3 (53.3%) and SSTR4 (6.7%). GH secretion was significantly reduced by SRIF and BIM-23926 (45 +/- 8.6% and 32 +/- 18.1% inhibition, respectively) as well as PRL secretion (16.1 +/- 4% and 19.7 +/- 3.5% inhibition, respectively). After treatment with SRIF and BIM-23926, cell viability was significantly reduced by 17.5 +/- 5% and 20 +/- 3.9%, respectively. SSTR1 mRNA levels correlated with the degree of GH and PRL secretion inhibition. These results demonstrate that SSTR1 selective activation inhibits hormone secretion and cell viability in GH- and PRL-secreting adenomas in vitro and suggest that SRIF analogs with affinity for SSTR1 may be useful to control hormone hypersecretion and reduce neoplastic growth of pituitary adenomas.","container-title":"The Journal of Clinical Endocrinology and Metabolism","DOI":"10.1210/jc.2002-021825","ISSN":"0021-972X","issue":"6","journalAbbreviation":"J Clin Endocrinol Metab","language":"eng","page":"2797-2802","PMID":"12788890","source":"PubMed","title":"Somatostatin receptor subtype 1 selective activation in human growth hormone (GH)- and prolactin (PRL)-secreting pituitary adenomas: effects on cell viability, GH, and PRL secretion","title-short":"Somatostatin receptor subtype 1 selective activation in human growth hormone (GH)- and prolactin (PRL)-secreting pituitary adenomas","volume":"88","author":[{"family":"Zatelli","given":"Maria Chiara"},{"family":"Piccin","given":"Daniela"},{"family":"Tagliati","given":"Federico"},{"family":"Ambrosio","given":"Maria Rosaria"},{"family":"Margutti","given":"Angelo"},{"family":"Padovani","given":"Roberto"},{"family":"Scanarini","given":"Massimo"},{"family":"Culler","given":"Michael D."},{"family":"Uberti","given":"Ettore C.","non-dropping-particle":"degli"}],"issued":{"date-parts":[["2003",6]]}}}],"schema":"https://github.com/citation-style-language/schema/raw/master/csl-citation.json"} </w:instrText>
      </w:r>
      <w:r w:rsidRPr="00F11EA8">
        <w:rPr>
          <w:rFonts w:ascii="Times New Roman" w:hAnsi="Times New Roman" w:cs="Times New Roman"/>
          <w:b/>
          <w:sz w:val="20"/>
          <w:szCs w:val="20"/>
          <w:lang w:val="en-US"/>
        </w:rPr>
        <w:fldChar w:fldCharType="separate"/>
      </w:r>
      <w:r w:rsidR="00015607" w:rsidRPr="00015607">
        <w:rPr>
          <w:rFonts w:ascii="Times New Roman" w:hAnsi="Times New Roman" w:cs="Times New Roman"/>
          <w:kern w:val="0"/>
          <w:sz w:val="20"/>
        </w:rPr>
        <w:t>[10–17]</w:t>
      </w:r>
      <w:r w:rsidRPr="00F11EA8">
        <w:rPr>
          <w:rFonts w:ascii="Times New Roman" w:hAnsi="Times New Roman" w:cs="Times New Roman"/>
          <w:b/>
          <w:sz w:val="20"/>
          <w:szCs w:val="20"/>
          <w:lang w:val="en-US"/>
        </w:rPr>
        <w:fldChar w:fldCharType="end"/>
      </w:r>
      <w:r w:rsidRPr="00F11EA8">
        <w:rPr>
          <w:rFonts w:ascii="Times New Roman" w:hAnsi="Times New Roman" w:cs="Times New Roman"/>
          <w:sz w:val="20"/>
          <w:szCs w:val="20"/>
          <w:lang w:val="en-US"/>
        </w:rPr>
        <w:t>. Preliminary dose-response experiments were performed at 10</w:t>
      </w:r>
      <w:r w:rsidRPr="00F11EA8">
        <w:rPr>
          <w:rFonts w:ascii="Times New Roman" w:hAnsi="Times New Roman" w:cs="Times New Roman"/>
          <w:sz w:val="20"/>
          <w:szCs w:val="20"/>
          <w:vertAlign w:val="superscript"/>
          <w:lang w:val="en-US"/>
        </w:rPr>
        <w:t>-10</w:t>
      </w:r>
      <w:r w:rsidRPr="00F11EA8">
        <w:rPr>
          <w:rFonts w:ascii="Times New Roman" w:hAnsi="Times New Roman" w:cs="Times New Roman"/>
          <w:sz w:val="20"/>
          <w:szCs w:val="20"/>
          <w:lang w:val="en-US"/>
        </w:rPr>
        <w:t xml:space="preserve"> M, 10</w:t>
      </w:r>
      <w:r w:rsidRPr="00F11EA8">
        <w:rPr>
          <w:rFonts w:ascii="Times New Roman" w:hAnsi="Times New Roman" w:cs="Times New Roman"/>
          <w:sz w:val="20"/>
          <w:szCs w:val="20"/>
          <w:vertAlign w:val="superscript"/>
          <w:lang w:val="en-US"/>
        </w:rPr>
        <w:t>-8</w:t>
      </w:r>
      <w:r w:rsidRPr="00F11EA8">
        <w:rPr>
          <w:rFonts w:ascii="Times New Roman" w:hAnsi="Times New Roman" w:cs="Times New Roman"/>
          <w:sz w:val="20"/>
          <w:szCs w:val="20"/>
          <w:lang w:val="en-US"/>
        </w:rPr>
        <w:t xml:space="preserve"> M, and 10</w:t>
      </w:r>
      <w:r w:rsidRPr="00F11EA8">
        <w:rPr>
          <w:rFonts w:ascii="Times New Roman" w:hAnsi="Times New Roman" w:cs="Times New Roman"/>
          <w:sz w:val="20"/>
          <w:szCs w:val="20"/>
          <w:vertAlign w:val="superscript"/>
          <w:lang w:val="en-US"/>
        </w:rPr>
        <w:t>-6</w:t>
      </w:r>
      <w:r w:rsidRPr="00F11EA8">
        <w:rPr>
          <w:rFonts w:ascii="Times New Roman" w:hAnsi="Times New Roman" w:cs="Times New Roman"/>
          <w:sz w:val="20"/>
          <w:szCs w:val="20"/>
          <w:lang w:val="en-US"/>
        </w:rPr>
        <w:t xml:space="preserve"> M for all compounds to determine the most appropriate dosage for our models, resulting in the selection of 10</w:t>
      </w:r>
      <w:r w:rsidRPr="00F11EA8">
        <w:rPr>
          <w:rFonts w:ascii="Times New Roman" w:hAnsi="Times New Roman" w:cs="Times New Roman"/>
          <w:sz w:val="20"/>
          <w:szCs w:val="20"/>
          <w:vertAlign w:val="superscript"/>
          <w:lang w:val="en-US"/>
        </w:rPr>
        <w:t>-6</w:t>
      </w:r>
      <w:r w:rsidRPr="00F11EA8">
        <w:rPr>
          <w:rFonts w:ascii="Times New Roman" w:hAnsi="Times New Roman" w:cs="Times New Roman"/>
          <w:sz w:val="20"/>
          <w:szCs w:val="20"/>
          <w:lang w:val="en-US"/>
        </w:rPr>
        <w:t xml:space="preserve"> M for BIM-23206, 10</w:t>
      </w:r>
      <w:r w:rsidRPr="00F11EA8">
        <w:rPr>
          <w:rFonts w:ascii="Times New Roman" w:hAnsi="Times New Roman" w:cs="Times New Roman"/>
          <w:sz w:val="20"/>
          <w:szCs w:val="20"/>
          <w:vertAlign w:val="superscript"/>
          <w:lang w:val="en-US"/>
        </w:rPr>
        <w:t>-8</w:t>
      </w:r>
      <w:r w:rsidRPr="00F11EA8">
        <w:rPr>
          <w:rFonts w:ascii="Times New Roman" w:hAnsi="Times New Roman" w:cs="Times New Roman"/>
          <w:sz w:val="20"/>
          <w:szCs w:val="20"/>
          <w:lang w:val="en-US"/>
        </w:rPr>
        <w:t xml:space="preserve"> M for BIM-23120, and 10</w:t>
      </w:r>
      <w:r w:rsidRPr="00F11EA8">
        <w:rPr>
          <w:rFonts w:ascii="Times New Roman" w:hAnsi="Times New Roman" w:cs="Times New Roman"/>
          <w:sz w:val="20"/>
          <w:szCs w:val="20"/>
          <w:vertAlign w:val="superscript"/>
          <w:lang w:val="en-US"/>
        </w:rPr>
        <w:t>-10</w:t>
      </w:r>
      <w:r w:rsidRPr="00F11EA8">
        <w:rPr>
          <w:rFonts w:ascii="Times New Roman" w:hAnsi="Times New Roman" w:cs="Times New Roman"/>
          <w:sz w:val="20"/>
          <w:szCs w:val="20"/>
          <w:lang w:val="en-US"/>
        </w:rPr>
        <w:t xml:space="preserve"> M for BIM-23926 and BIM-355, based on the doses that produced the most significant and consistent reductions in cell viability and were supported by previous studies </w:t>
      </w:r>
      <w:r w:rsidRPr="00F11EA8">
        <w:rPr>
          <w:rFonts w:ascii="Times New Roman" w:hAnsi="Times New Roman" w:cs="Times New Roman"/>
          <w:sz w:val="20"/>
          <w:szCs w:val="20"/>
          <w:lang w:val="en-US"/>
        </w:rPr>
        <w:fldChar w:fldCharType="begin"/>
      </w:r>
      <w:r w:rsidR="00724F37">
        <w:rPr>
          <w:rFonts w:ascii="Times New Roman" w:hAnsi="Times New Roman" w:cs="Times New Roman"/>
          <w:sz w:val="20"/>
          <w:szCs w:val="20"/>
          <w:lang w:val="en-US"/>
        </w:rPr>
        <w:instrText xml:space="preserve"> ADDIN ZOTERO_ITEM CSL_CITATION {"citationID":"C8S1unkO","properties":{"formattedCitation":"[12,13,18\\uc0\\u8211{}20]","plainCitation":"[12,13,18–20]","noteIndex":0},"citationItems":[{"id":"Ir82PTlG/fasJH5KS","uris":["http://zotero.org/users/9137939/items/KI6JS9XG"],"itemData":{"id":526,"type":"article-journal","abstract":"We tested effects of selective somatostatin receptor 2 (SST2) agonist BIM-23120, SST5 agonist BIM-23206 and chimeric somatostatin-dopamine molecules (SRIF/DA) BIM-23A760 and BIM-23A761 on GH and PRL secretion and gene expression in human GH/PRL-secreting pituitary tumors in vitro. In \"responders\" group BIM-23120 suppressed GH levels by 26±4%, BIM-23206 by 31±5%, BIM-23A760 by 23±4%, BIM-23A761 by 39±8% and D(2)-dopamine agonist BIM-53097 by 31±5%. Using real-time PCR we demonstrated that GH inhibition was not accompanied by decreased GH mRNA levels. PRL secretion was inhibited by BIM-23A760 (29±5%), BIM-23A761 (34±4%), BIM-23206 (26±4%) and BIM-53097 (36±2%). SRIF/DA and BIM-53097 also suppressed PRL mRNA levels. Concluding, SST2 and SST5 agonists and SRIF/DA inhibit GH secretion, but do not suppress GH gene transcription. SRIF/DA and BIM-53097 inhibit both PRL secretion and PRL gene expression. SST5 agonist inhibits PRL secretion, but does not suppress PRL gene expression. D(2) affinity is crucial in SRIF/DA action on PRL gene expression.","container-title":"Molecular and Cellular Endocrinology","DOI":"10.1016/j.mce.2012.05.020","ISSN":"1872-8057","issue":"1-2","journalAbbreviation":"Mol Cell Endocrinol","language":"eng","note":"PMID: 22705877","page":"104-109","source":"PubMed","title":"Somatostatin analogs and chimeric somatostatin-dopamine molecules differentially regulate human growth hormone and prolactin gene expression and secretion in vitro","volume":"362","author":[{"family":"Gruszka","given":"Anna"},{"family":"Culler","given":"Michael D."},{"family":"Melmed","given":"Shlomo"}],"issued":{"date-parts":[["2012",10,15]]}}},{"id":"Ir82PTlG/aNBUlV0F","uris":["http://zotero.org/users/9137939/items/7QPDZGDV"],"itemData":{"id":528,"type":"article-journal","abstract":"We previously demonstrated that somatostatin (SRIF)-induced inhibition of GH secretion from human pituitary cells is mediated through both the SRIF receptor (SSTR) 2 and 5 subtypes. The interplay between these two SSTR subtypes in regulating GH was therefore tested in primary human fetal pituitary cultures (18-30 wk gestation). GHRH (10 nM)-stimulated GH secretion (51% increase, P &lt; 0.05) was suppressed equally by either SSTR2 or SSTR5-selective agonists (10 nM). GH suppression correlated with agonist affinity for their respective receptor subtypes. Combined addition of SSTR2- and SSTR5-specific agonists was synergistic for GH suppression, achieving 73% (P &lt; 0.05) inhibition as compared with inhibition attained with SSTR2 (32%) and SSTR5 (34%) agonists used alone (P &lt; 0.05). The SSTR2 selective antagonist BIM-23454 dose-dependently blocked SSTR2 but not SSTR5-induced suppression of GH secretion. BIM-23454 also completely reversed GH suppression in response to the combined activation of SSTR2 and SSTR5. The IC(50) for BIM-23454 reversal of agonist-induced GH suppression was 55 nM and 33 nM for two SSTR2 agonists, 45 nM and 40 nM for the combination of SSTR2 and SSTR5 agonists, respectively, and 45 nM for the SSTR2/SSTR5 agonist BIM-23244, all of which were similar to the affinity of BIM-23454 for SSTR2 (32 nM). These results suggest the following: 1) activation of both SSTR2 and SSTR5 induces a functional association of receptor subtypes, resulting in synergistic GH suppression; 2) BIM-23454 is a potent SSTR2-selective antagonist capable of reversing SRIF-induced GH suppression; and 3) the ability of a selective SSTR2 antagonist to inhibit the GH suppressing action of SSTR2 agonist alone, SSTR2/SSTR5 biselective agonists, or SSTR2 and SSTR5 agonists in combination support the concept of a functional interaction between somatotroph SSTR2 and SSTR5 subtypes in primary human fetal pituitary cells.","container-title":"The Journal of Clinical Endocrinology and Metabolism","DOI":"10.1210/jc.2003-030303","ISSN":"0021-972X","issue":"9","journalAbbreviation":"J Clin Endocrinol Metab","language":"eng","note":"PMID: 12970293","page":"4239-4245","source":"PubMed","title":"Functional association of somatostatin receptor subtypes 2 and 5 in inhibiting human growth hormone secretion","volume":"88","author":[{"family":"Ren","given":"Song-Guang"},{"family":"Taylor","given":"John"},{"family":"Dong","given":"Jesse"},{"family":"Yu","given":"Run"},{"family":"Culler","given":"Michael D."},{"family":"Melmed","given":"Shlomo"}],"issued":{"date-parts":[["2003",9]]}}},{"id":"Ir82PTlG/DTNb1Xca","uris":["http://zotero.org/users/9137939/items/VK2TP69D"],"itemData":{"id":941,"type":"article-journal","abstract":"Dopamine (DA) regulates both prolactin (PRL) secretion and gene expression, whereas somatostatin (SRIF) inhibits GH secretion with unclear effects on GH gene expression. We therefore tested the effects of SRIF analogs and chimeric SRIF/DA compounds BIM 23A760 and BIM 23A761 on GH and PRL secretion and gene expression in primary rat pituitary cultures and pituitary tumor GH3 and MMQ cells. Chimeric SRIF/DA molecules suppressed GH release with a similar efficacy to SRIF receptor subtype 2 agonists in rat pituitary and GH3 cells. After 24 h, BIM 23A760 and BIM 23A761 did not exert additive effects on GH secretion, and after 48 h were less effective than the combination of respective mono-receptor agonists in GH3 cells. Real-time PCR did not reveal changes in GH mRNA levels after treatment with SRIF analogs and SRIF/DA molecules. SRIF/DA compounds suppressed PRL and PRL mRNA in rat pituitary and MMQ cells with a similar efficacy to D2-DA receptor agonist. In GH3 cells, they suppressed PRL and PRL mRNA levels with a similar efficacy to SRIF receptor subtype 2 agonists. SRIF/DA molecules did not exhibit additive effects on PRL secretion and mRNA levels as compared with cotreatment with mono-receptor ligands. The results show that SRIF analogs and SRIF/DA molecules inhibit GH and PRL secretion and suppress PRL but not GH gene expression.","container-title":"Endocrinology","DOI":"10.1210/en.2007-0378","ISSN":"0013-7227","issue":"12","journalAbbreviation":"Endocrinology","page":"6107-6114","source":"Silverchair","title":"Regulation of Growth Hormone and Prolactin Gene Expression and Secretion by Chimeric Somatostatin-Dopamine Molecules","volume":"148","author":[{"family":"Gruszka","given":"Anna"},{"family":"Ren","given":"Song-Guang"},{"family":"Dong","given":"Jesse"},{"family":"Culler","given":"Michael D."},{"family":"Melmed","given":"Shlomo"}],"issued":{"date-parts":[["2007",12,1]]}}},{"id":2056,"uris":["http://zotero.org/users/9137939/items/WR4HEG77"],"itemData":{"id":2056,"type":"article-journal","abstract":"Dopamine (DA) and somatostatin (SRIF) receptor agonists inhibit growth hormone (GH) secretion by pituitary adenomas. We investigated DA subtype 2 receptor (DR2) and SRIF receptor (sst) subtypes 2 and 5 expression in 25 GH-secreting pituitary adenomas and tested in primary culture the effects on GH and prolactin (PRL) secretion of sst agonists selectively interacting with sst2 (BIM-23120), sst5 (BIM-23206), and sst2 and sst5 (BIM-23244). All adenomas expressed sst2; eight adenomas expressed both sst5 and DR2, eight sst5 but not DR2, and eight DR2 but not sst5. One tissue lacked expression of DR2 and sst5. GH secretion was inhibited by BIM-23120 in all samples, while it was reduced by BIM-23206 only in adenomas not expressing DR2. BIM-23120's inhibitory effects correlated with sst2 and DR2 expression, whereas DR2 expression correlated inversely with BIM-23206 inhibitory effects on GH secretion. In seven mixed GH-/PRL-secreting pituitary adenomas, PRL secretion was inhibited in sst5-expressing tumors by BIM-23206, but not by BIM-23120. BIM-23244 reduced PRL secretion only in adenomas expressing sst2, sst5 and DR2. sst5 and DR2 expression correlated directly with BIM23206 inhibitory effects on PRL secretion. Our results suggest that adenomas expressing DR2 are less likely to respond to clinically available SRIF analogs in terms of GH secretion inhibition. Therefore, drugs interacting also with DR2 might better control secretion of pituitary adenomas.","container-title":"Journal of Molecular Endocrinology","DOI":"10.1677/jme.1.01876","ISSN":"0952-5041","issue":"2","journalAbbreviation":"J Mol Endocrinol","language":"eng","page":"333-341","PMID":"16216913","source":"PubMed","title":"Dopamine receptor subtype 2 and somatostatin receptor subtype 5 expression influences somatostatin analogs effects on human somatotroph pituitary adenomas in vitro","volume":"35","author":[{"family":"Zatelli","given":"M. C."},{"family":"Piccin","given":"D."},{"family":"Tagliati","given":"F."},{"family":"Bottoni","given":"A."},{"family":"Ambrosio","given":"M. R."},{"family":"Margutti","given":"A."},{"family":"Scanarini","given":"M."},{"family":"Bondanelli","given":"M."},{"family":"Culler","given":"M. D."},{"family":"Uberti","given":"E. C.","non-dropping-particle":"degli"}],"issued":{"date-parts":[["2005",10]]}}},{"id":"Ir82PTlG/hhNf5TsN","uris":["http://zotero.org/users/9137939/items/PBF9YBR5"],"itemData":{"id":945,"type":"article-journal","abstract":"Somatostatin (SRIH) inhibits cell proliferation by interacting with five distinct SRIH receptor subtypes (SSTRs) activating several pathways in many tissues. We previously demonstrated that SRIH, by activating Src homology-2-containing protein, inhibits cell proliferation of the human medullary thyroid carcinoma cell line, TT, which expresses all SSTRs. However, the effects of SRIH on cell cycle proteins have not been investigated so far. We therefore evaluated the effects of SRIH and a selective SSTR2 agonist on cell cycle protein expression, mainly focusing on cyclin D1 and its associated kinases. Our data show that SRIH and the selective SSTR2 agonist, BIM-23120, reduce cell proliferation and DNA synthesis as well as induce a delay of the cell cycle in G2/M phase. Moreover, treatment with both SRIH and BIM-23120 decreases cyclin D1 levels, with a parallel increase in phosphocyclin D1 levels, suggesting protein degradation. Moreover, our data show an increase in glycogen synthase kinase-3β activity, which triggers phosphorylation-dependent cyclin D1 degradation. Indeed, we observed a reduction in cyclin D1 protein half-life under treatment with SRIH or the SSTR2 selective agonist. A reduction in cdk4 protein levels is also observed with a parallel reduction in Rb phosphorylation levels at Ser-780. Our data indicate that the subtype 2 receptor-mediated antiproliferative effect of SRIH on TT cell proliferation may be exerted through a decrease in cyclin D1 levels.","container-title":"Endocrinology","DOI":"10.1210/en.2005-1479","ISSN":"0013-7227","issue":"7","journalAbbreviation":"Endocrinology","page":"3530-3538","source":"Silverchair","title":"Role of Complex Cyclin D1/Cdk4 in Somatostatin Subtype 2 Receptor-Mediated Inhibition of Cell Proliferation of a Medullary Thyroid Carcinoma Cell Line in Vitro","volume":"147","author":[{"family":"Tagliati","given":"Federico"},{"family":"Zatelli","given":"Maria Chiara"},{"family":"Bottoni","given":"Arianna"},{"family":"Piccin","given":"Daniela"},{"family":"Luchin","given":"Andrea"},{"family":"Culler","given":"Michael D."},{"family":"Uberti","given":"Ettore C.","non-dropping-particle":"degli"}],"issued":{"date-parts":[["2006",7,1]]}}}],"schema":"https://github.com/citation-style-language/schema/raw/master/csl-citation.json"}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5A0D08">
        <w:rPr>
          <w:rFonts w:ascii="Times New Roman" w:hAnsi="Times New Roman" w:cs="Times New Roman"/>
          <w:kern w:val="0"/>
          <w:sz w:val="20"/>
          <w:lang w:val="en-US"/>
        </w:rPr>
        <w:t>[12,13,18–20]</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w:t>
      </w:r>
      <w:bookmarkEnd w:id="6"/>
      <w:r w:rsidRPr="00F11EA8">
        <w:rPr>
          <w:rFonts w:ascii="Times New Roman" w:hAnsi="Times New Roman" w:cs="Times New Roman"/>
          <w:sz w:val="20"/>
          <w:szCs w:val="20"/>
          <w:lang w:val="en-US"/>
        </w:rPr>
        <w:t xml:space="preserve"> In addition, further experiments were performed using everolimus at a concentration of 10</w:t>
      </w:r>
      <w:r w:rsidRPr="00F11EA8">
        <w:rPr>
          <w:rFonts w:ascii="Times New Roman" w:hAnsi="Times New Roman" w:cs="Times New Roman"/>
          <w:sz w:val="20"/>
          <w:szCs w:val="20"/>
          <w:vertAlign w:val="superscript"/>
          <w:lang w:val="en-US"/>
        </w:rPr>
        <w:t>-9</w:t>
      </w:r>
      <w:r w:rsidRPr="00F11EA8">
        <w:rPr>
          <w:rFonts w:ascii="Times New Roman" w:hAnsi="Times New Roman" w:cs="Times New Roman"/>
          <w:sz w:val="20"/>
          <w:szCs w:val="20"/>
          <w:lang w:val="en-US"/>
        </w:rPr>
        <w:t xml:space="preserve"> M (S1120, Selleck Chemicals, Houston, TX, USA) and sunitinib at a concentration of 10</w:t>
      </w:r>
      <w:r w:rsidRPr="00F11EA8">
        <w:rPr>
          <w:rFonts w:ascii="Times New Roman" w:hAnsi="Times New Roman" w:cs="Times New Roman"/>
          <w:sz w:val="20"/>
          <w:szCs w:val="20"/>
          <w:vertAlign w:val="superscript"/>
          <w:lang w:val="en-US"/>
        </w:rPr>
        <w:t>-7</w:t>
      </w:r>
      <w:r w:rsidRPr="00F11EA8">
        <w:rPr>
          <w:rFonts w:ascii="Times New Roman" w:hAnsi="Times New Roman" w:cs="Times New Roman"/>
          <w:sz w:val="20"/>
          <w:szCs w:val="20"/>
          <w:lang w:val="en-US"/>
        </w:rPr>
        <w:t xml:space="preserve"> M (PZ0012, Sigma-Aldrich). The selection of these concentrations was based on our previous experience in other NET cell lines and published studies involving the aforementioned cell lines </w:t>
      </w:r>
      <w:r w:rsidRPr="00F11EA8">
        <w:rPr>
          <w:rFonts w:ascii="Times New Roman" w:hAnsi="Times New Roman" w:cs="Times New Roman"/>
          <w:sz w:val="20"/>
          <w:szCs w:val="20"/>
          <w:lang w:val="en-US"/>
        </w:rPr>
        <w:fldChar w:fldCharType="begin"/>
      </w:r>
      <w:r w:rsidR="00724F37">
        <w:rPr>
          <w:rFonts w:ascii="Times New Roman" w:hAnsi="Times New Roman" w:cs="Times New Roman"/>
          <w:sz w:val="20"/>
          <w:szCs w:val="20"/>
          <w:lang w:val="en-US"/>
        </w:rPr>
        <w:instrText xml:space="preserve"> ADDIN ZOTERO_ITEM CSL_CITATION {"citationID":"ywwPxHJn","properties":{"formattedCitation":"[21,22]","plainCitation":"[21,22]","noteIndex":0},"citationItems":[{"id":"Ir82PTlG/tegtdxOE","uris":["http://zotero.org/users/9137939/items/XY8A3YRV"],"itemData":{"id":947,"type":"article-journal","abstract":"High-risk neuroblastoma remains lethal in about 50% of patients despite multimodal treatment. Recent attempts to identify molecular targets for specific therapies have shown that Neuroblastoma RAS (NRAS) is significantly mutated in a small number of patients. However, few inhibitors for the potential treatment for NRAS mutant neuroblastoma have been investigated so far. In this in-vitro study, we show that MEK inhibitors AZD6244, MEK162 and PD0325901 block cell growth in NRAS mutant neuroblastoma cell lines but not in NRAS wild-type cell lines. Several studies show that mutant NRAS leads to PI3K pathway activation and combined inhibitors of PI3K/mTOR effectively block cell growth. However, we observed the combination of MEK inhibitors with PI3K or AKT inhibitors did not show synergestic effects on cell growth. Thus, we tested single mTOR inhibitors Everolimus and AZD8055. Interestingly, Everolimus and AZD8055 alone were sufficient to block cell growth in NRAS mutant cell lines but not in wild-type cell lines. We found that Everolimus alone induced apoptosis in NRAS mutant neuroblastoma. Furthermore, the combination of mTOR and MEK inhibitors resulted in synergistic growth inhibition. Taken together, our results show that NRAS mutant neuroblastoma can be targeted by clinically available Everolimus alone or in combination with MEK inhibitors which could impact future clinical studies.","container-title":"PLoS ONE","DOI":"10.1371/journal.pone.0147682","ISSN":"1932-6203","issue":"1","journalAbbreviation":"PLoS One","note":"PMID: 26821351\nPMCID: PMC4731059","page":"e0147682","source":"PubMed Central","title":"Targeting the mTOR Complex by Everolimus in NRAS Mutant Neuroblastoma","volume":"11","author":[{"family":"Kiessling","given":"Michael K."},{"family":"Curioni-Fontecedro","given":"Alessandra"},{"family":"Samaras","given":"Panagiotis"},{"family":"Lang","given":"Silvia"},{"family":"Scharl","given":"Michael"},{"family":"Aguzzi","given":"Adriano"},{"family":"Oldrige","given":"Derek A."},{"family":"Maris","given":"John M."},{"family":"Rogler","given":"Gerhard"}],"issued":{"date-parts":[["2016",1,28]]}}},{"id":"Ir82PTlG/pUkfNegG","uris":["http://zotero.org/users/9137939/items/3V9N2DA8"],"itemData":{"id":950,"type":"article-journal","abstract":"Neuroblastoma, a tumor of the peripheral sympathetic nervous system, is the most common and deadly extracranial tumor of childhood. The majority of high-risk neuroblastoma exhibit amplification of the MYCN proto-oncogene and increased neoangiogenesis. Both MYCN protein stabilization and angiogenesis are regulated by signaling through receptor tyrosine kinases (RTKs). Therefore, inhibitors of RTKs have a potential as a treatment option for high-risk neuroblastoma. We used receptor tyrosine kinase antibody arrays to profile the activity of membrane-bound RTKs in neuroblastoma and found the multi-RTK inhibitor sunitinib to tailor the activation of RTKs in neuroblastoma cells. Sunitinib inhibited several RTKs and demonstrated potent antitumor activity on neuroblastoma cells, through induction of apoptosis and cell cycle arrest. Treatment with sunitinib decreased MYCN protein levels by inhibition of PI3K/AKT signaling and GSK3β. This effect correlates with a decrease in VEGF secretion in neuroblastoma cells with MYCN amplification. Sunitinib significantly inhibited the growth of established, subcutaneous MYCN-amplified neuroblastoma xenografts in nude mice and demonstrated an anti-angiogenic effect in vivo with a reduction of tumor vasculature and a decrease of MYCN expression. These results suggest that sunitinib should be tested as a treatment option for high risk neuroblastoma patients.","container-title":"PLoS ONE","DOI":"10.1371/journal.pone.0095628","ISSN":"1932-6203","issue":"4","journalAbbreviation":"PLoS One","note":"PMID: 24759734\nPMCID: PMC3997473","page":"e95628","source":"PubMed Central","title":"Sunitinib Suppress Neuroblastoma Growth through Degradation of MYCN and Inhibition of Angiogenesis","volume":"9","author":[{"family":"Calero","given":"Raul"},{"family":"Morchon","given":"Esther"},{"family":"Johnsen","given":"John Inge"},{"family":"Serrano","given":"Rosario"}],"issued":{"date-parts":[["2014",4,23]]}}}],"schema":"https://github.com/citation-style-language/schema/raw/master/csl-citation.json"}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[21,22]</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Additionally, in vitro and in vivo experiments were performed using paltusotine (Cayman Chemical, MI, USA), a nonpeptide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agonist. For the in vitro assays, dose-response experiments were conducted to determine the most appropriate concentration for our models, resulting in the selection of 10</w:t>
      </w:r>
      <w:r w:rsidR="00435176" w:rsidRPr="00F11EA8">
        <w:rPr>
          <w:rFonts w:ascii="Times New Roman" w:hAnsi="Times New Roman" w:cs="Times New Roman"/>
          <w:sz w:val="20"/>
          <w:szCs w:val="20"/>
          <w:vertAlign w:val="superscript"/>
          <w:lang w:val="en-US"/>
        </w:rPr>
        <w:noBreakHyphen/>
      </w:r>
      <w:r w:rsidRPr="00F11EA8">
        <w:rPr>
          <w:rFonts w:ascii="Times New Roman" w:hAnsi="Times New Roman" w:cs="Times New Roman"/>
          <w:sz w:val="20"/>
          <w:szCs w:val="20"/>
          <w:vertAlign w:val="superscript"/>
          <w:lang w:val="en-US"/>
        </w:rPr>
        <w:t>7</w:t>
      </w:r>
      <w:r w:rsidRPr="00F11EA8">
        <w:rPr>
          <w:rFonts w:ascii="Times New Roman" w:hAnsi="Times New Roman" w:cs="Times New Roman"/>
          <w:sz w:val="20"/>
          <w:szCs w:val="20"/>
          <w:lang w:val="en-US"/>
        </w:rPr>
        <w:t xml:space="preserve"> M. For the in vivo experiments, a dose of 10 mg kg</w:t>
      </w:r>
      <w:r w:rsidRPr="00F11EA8">
        <w:rPr>
          <w:rFonts w:ascii="Times New Roman" w:hAnsi="Times New Roman" w:cs="Times New Roman"/>
          <w:sz w:val="20"/>
          <w:szCs w:val="20"/>
          <w:vertAlign w:val="superscript"/>
          <w:lang w:val="en-US"/>
        </w:rPr>
        <w:t>-1</w:t>
      </w:r>
      <w:r w:rsidRPr="00F11EA8">
        <w:rPr>
          <w:rFonts w:ascii="Times New Roman" w:hAnsi="Times New Roman" w:cs="Times New Roman"/>
          <w:sz w:val="20"/>
          <w:szCs w:val="20"/>
          <w:lang w:val="en-US"/>
        </w:rPr>
        <w:t xml:space="preserve"> day</w:t>
      </w:r>
      <w:r w:rsidRPr="00F11EA8">
        <w:rPr>
          <w:rFonts w:ascii="Times New Roman" w:hAnsi="Times New Roman" w:cs="Times New Roman"/>
          <w:sz w:val="20"/>
          <w:szCs w:val="20"/>
          <w:vertAlign w:val="superscript"/>
          <w:lang w:val="en-US"/>
        </w:rPr>
        <w:t>-1</w:t>
      </w:r>
      <w:r w:rsidRPr="00F11EA8">
        <w:rPr>
          <w:rFonts w:ascii="Times New Roman" w:hAnsi="Times New Roman" w:cs="Times New Roman"/>
          <w:sz w:val="20"/>
          <w:szCs w:val="20"/>
          <w:lang w:val="en-US"/>
        </w:rPr>
        <w:t xml:space="preserve"> was chosen, as it represents the lowest effective dose reported in the literature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{"citationID":"rmLdghwF","properties":{"formattedCitation":"[23]","plainCitation":"[23]","noteIndex":0},"citationItems":[{"id":"Ir82PTlG/c82g17Vf","uris":["http://zotero.org/users/9137939/items/T74QTTH8"],"itemData":{"id":1010,"type":"article-journal","abstract":", The discovery of a novel 4-(4-aminopiperidinyl)-3,6-diarylquinoline\nseries of potent SST2 agonists is described. This class of molecules\nexhibit excellent selectivity over SST1, SST3, SST4, and SST5 receptors.\nThe compound 3-[4-(4-aminopiperidin-1-yl)-3-(3,5-difluorophenyl)quinolin-6-yl]-2-hydroxybenzonitrile\n(22, paltusotine, formerly known as CRN00808) showed\nno direct inhibition of major cytochrome P450 enzymes or the hERG\nion channel and had sufficient exposure in rats and excellent exposure\nin dogs upon oral dosing. In pharmacodynamic studies, compound 22 dose-dependently suppressed growth hormone (GH) secretion\ninduced by an exogenous growth-hormone-releasing hormone (GHRH) challenge\nin both male and female rats following a single oral dose and suppressed\nIGF-1 levels with repeated oral administration in both rats and dogs.\nTo the best of our knowledge, compound 22 is the first\nnon-peptide SST2 agonist to advance to human clinical trials and is\ncurrently in Phase 3 trials in acromegaly patients and a Phase 2 trial\nin neuroendocrine tumor patients suffering from carcinoid syndrome.","container-title":"ACS Medicinal Chemistry Letters","DOI":"10.1021/acsmedchemlett.2c00431","ISSN":"1948-5875","issue":"1","journalAbbreviation":"ACS Med Chem Lett","note":"PMID: 36655128\nPMCID: PMC9841592","page":"66-74","source":"PubMed Central","title":"Discovery of Paltusotine (CRN00808), a Potent, Selective, and Orally Bioavailable Non-peptide SST2 Agonist","volume":"14","author":[{"family":"Zhao","given":"Jian"},{"family":"Wang","given":"Shimiao"},{"family":"Markison","given":"Stacy"},{"family":"Kim","given":"Sun Hee"},{"family":"Han","given":"Sangdon"},{"family":"Chen","given":"Mi"},{"family":"Kusnetzow","given":"Ana Karin"},{"family":"Rico-Bautista","given":"Elizabeth"},{"family":"Johns","given":"Michael"},{"family":"Luo","given":"Rosa"},{"family":"Struthers","given":"R. Scott"},{"family":"Madan","given":"Ajay"},{"family":"Zhu","given":"Yunfei"},{"family":"Betz","given":"Stephen F."}],"issued":{"date-parts":[["2022",12,10]]}}}],"schema":"https://github.com/citation-style-language/schema/raw/master/csl-citation.json"}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[23]</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w:t>
      </w:r>
    </w:p>
    <w:p w14:paraId="2B1997FF" w14:textId="77777777" w:rsidR="00BA203D" w:rsidRPr="00F11EA8" w:rsidRDefault="00BA203D" w:rsidP="004E310E">
      <w:pPr>
        <w:spacing w:after="0" w:line="480" w:lineRule="auto"/>
        <w:jc w:val="both"/>
        <w:rPr>
          <w:rFonts w:ascii="Times New Roman" w:hAnsi="Times New Roman" w:cs="Times New Roman"/>
          <w:b/>
          <w:bCs/>
          <w:sz w:val="20"/>
          <w:szCs w:val="20"/>
          <w:lang w:val="en-US"/>
        </w:rPr>
      </w:pPr>
    </w:p>
    <w:p w14:paraId="21660E37" w14:textId="1CD4CF18" w:rsidR="004E310E" w:rsidRPr="00F11EA8" w:rsidRDefault="004E310E" w:rsidP="004E310E">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RNA isolation, reverse transcription and analysis of gene expression levels by qPCR</w:t>
      </w:r>
    </w:p>
    <w:p w14:paraId="1DD17B8C" w14:textId="557B7EBC" w:rsidR="004E310E" w:rsidRPr="00F11EA8" w:rsidRDefault="004E310E" w:rsidP="004E310E">
      <w:pPr>
        <w:spacing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The samples were processed for total RNA recovery using AllPrep DNA/RNA/Protein Mini Kit (Qiagen, Madrid, Spain) following the manufacturer’s protocol and subsequently treated with DNase (Promega, Barcelona, Spain). Total RNA from the cell lines was isolated using TRIzol Reagent (Invitrogen, Barcelona, Spain) according to the manufacturer's instructions and treated with DNase. Subsequently, the amount and purity of the isolated RNA was determined using the Nanodrop One Microvolume UV-Vis Spectrophotometer (ThermoFisher-Scientific). One </w:t>
      </w:r>
      <w:r w:rsidRPr="00F11EA8">
        <w:rPr>
          <w:rFonts w:ascii="Times New Roman" w:hAnsi="Times New Roman" w:cs="Times New Roman"/>
          <w:sz w:val="20"/>
          <w:szCs w:val="20"/>
        </w:rPr>
        <w:t>μ</w:t>
      </w:r>
      <w:r w:rsidRPr="00F11EA8">
        <w:rPr>
          <w:rFonts w:ascii="Times New Roman" w:hAnsi="Times New Roman" w:cs="Times New Roman"/>
          <w:sz w:val="20"/>
          <w:szCs w:val="20"/>
          <w:lang w:val="en-US"/>
        </w:rPr>
        <w:t>g of RNA was retro-transcribed to cDNA employing random primers with the RevertAid RT Reverse Transcription Kit (ThermoFisher-Scientific, K1691) in a final volume of 20 </w:t>
      </w:r>
      <w:r w:rsidRPr="00F11EA8">
        <w:rPr>
          <w:rFonts w:ascii="Times New Roman" w:hAnsi="Times New Roman" w:cs="Times New Roman"/>
          <w:sz w:val="20"/>
          <w:szCs w:val="20"/>
        </w:rPr>
        <w:t>μ</w:t>
      </w:r>
      <w:r w:rsidRPr="00F11EA8">
        <w:rPr>
          <w:rFonts w:ascii="Times New Roman" w:hAnsi="Times New Roman" w:cs="Times New Roman"/>
          <w:sz w:val="20"/>
          <w:szCs w:val="20"/>
          <w:lang w:val="en-US"/>
        </w:rPr>
        <w:t xml:space="preserve">L. Gene expression levels were measured by qPCR using 50 ng of cDNA and Brilliant III SYBR Green Master Mix (Stratagene, La Jolla, CA, USA) in the Stratagene Mx3000p system (Agilent Technologies, Santa Clara, CA, USA), as previously described by our group </w:t>
      </w:r>
      <w:r w:rsidRPr="00F11EA8">
        <w:rPr>
          <w:rFonts w:ascii="Times New Roman" w:hAnsi="Times New Roman" w:cs="Times New Roman"/>
          <w:sz w:val="20"/>
          <w:szCs w:val="20"/>
          <w:lang w:val="en-US"/>
        </w:rPr>
        <w:fldChar w:fldCharType="begin"/>
      </w:r>
      <w:r w:rsidR="0045605C" w:rsidRPr="00F11EA8">
        <w:rPr>
          <w:rFonts w:ascii="Times New Roman" w:hAnsi="Times New Roman" w:cs="Times New Roman"/>
          <w:sz w:val="20"/>
          <w:szCs w:val="20"/>
          <w:lang w:val="en-US"/>
        </w:rPr>
        <w:instrText xml:space="preserve"> ADDIN ZOTERO_ITEM CSL_CITATION {"citationID":"Ab5AxEZN","properties":{"formattedCitation":"[24]","plainCitation":"[24]","noteIndex":0},"citationItems":[{"id":1097,"uris":["http://zotero.org/users/9137939/items/RN478GRI"],"itemData":{"id":1097,"type":"article-journal","abstract":"Pseudomyxoma peritonei (PMP) is a rare neoplasm coursing with uncontrollable mucus accumulation, with a high relapse rate. RNA biology processes have emerged as new players in cancer development and progression, nevertheless their role in PMP remains unknown. In this study, we aimed to examine RNA-regulatory machineries in PMP and their potential contribution to this disease progression. We analyzed 62 splicing-related genes, 27 RNA exosome and 21 nonsense-mediated decay genes, in a cohort of 29 patients using a microfluidic array, comparing tumor and control/reference tissues, together with external RNA-seq and proteomic data. Our results revealed a profound dysregulation of key components, which correlated to relevant clinical parameters and enabled to distinguish between tumor and control tissues. In vitro splicing inhibition using Pladienolide-B, as well as the modulation of specific splicing factors, reduced aggressiveness parameters, enhanced the effect of clinically used drugs, and revealed a strong correlation between dysregulated genes and key cancer-related genes. This inhibition also affected mucin secretion and mucin variants production. Collectively, our findings provide the first evidence for dysregulation of the genes of pivotal RNA-regulatory processes in PMP, implying that these targetable mechanisms may be functionally altered and play a role in the disease. Hence, a thorough understanding of its RNA biology could aid in the discovery of new clinically actionable vulnerabilities in this rare disease.,","container-title":"Cancer Gene Therapy","DOI":"10.1038/s41417-025-00911-x","ISSN":"0929-1903","issue":"6","journalAbbreviation":"Cancer Gene Ther","page":"721-736","PMID":"40301643","PMCID":"PMC12183082","source":"PubMed Central","title":"Exploring RNA biology in pseudomyxoma peritonei uncovers splicing dysregulation as a novel, targetable molecular vulnerability","volume":"32","author":[{"family":"Moreno-Montilla","given":"María Trinidad"},{"family":"Pedraza-Arevalo","given":"Sergio"},{"family":"Martínez-López","given":"Ana"},{"family":"Blázquez-Encinas","given":"Ricardo"},{"family":"García-Vioque","given":"Víctor"},{"family":"Rodríguez-Ortiz","given":"Lidia"},{"family":"Valenzuela-Molina","given":"Francisca"},{"family":"Rufián-Andújar","given":"Blanca"},{"family":"Granados-Rodríguez","given":"Melissa"},{"family":"Ortega-Salas","given":"Rosa"},{"family":"Alors-Pérez","given":"Emilia"},{"family":"Vázquez-Borrego","given":"Mari C."},{"family":"Romero-Ruiz","given":"Antonio"},{"family":"Castaño","given":"Justo P."},{"family":"Arjona-Sánchez","given":"Álvaro"},{"family":"Ibáñez-Costa","given":"Alejandro"}],"issued":{"date-parts":[["2025"]]}}}],"schema":"https://github.com/citation-style-language/schema/raw/master/csl-citation.json"}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[24]</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We adjusted RNA levels with three housekeeping genes (</w:t>
      </w:r>
      <w:r w:rsidRPr="00F11EA8">
        <w:rPr>
          <w:rFonts w:ascii="Times New Roman" w:hAnsi="Times New Roman" w:cs="Times New Roman"/>
          <w:i/>
          <w:iCs/>
          <w:sz w:val="20"/>
          <w:szCs w:val="20"/>
          <w:lang w:val="en-US"/>
        </w:rPr>
        <w:t>ACTB</w:t>
      </w:r>
      <w:r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lang w:val="en-US"/>
        </w:rPr>
        <w:t>GAPDH</w:t>
      </w:r>
      <w:r w:rsidRPr="00F11EA8">
        <w:rPr>
          <w:rFonts w:ascii="Times New Roman" w:hAnsi="Times New Roman" w:cs="Times New Roman"/>
          <w:sz w:val="20"/>
          <w:szCs w:val="20"/>
          <w:lang w:val="en-US"/>
        </w:rPr>
        <w:t xml:space="preserve"> and </w:t>
      </w:r>
      <w:r w:rsidRPr="00F11EA8">
        <w:rPr>
          <w:rFonts w:ascii="Times New Roman" w:hAnsi="Times New Roman" w:cs="Times New Roman"/>
          <w:i/>
          <w:iCs/>
          <w:sz w:val="20"/>
          <w:szCs w:val="20"/>
          <w:lang w:val="en-US"/>
        </w:rPr>
        <w:t>HPRT1</w:t>
      </w:r>
      <w:r w:rsidRPr="00F11EA8">
        <w:rPr>
          <w:rFonts w:ascii="Times New Roman" w:hAnsi="Times New Roman" w:cs="Times New Roman"/>
          <w:sz w:val="20"/>
          <w:szCs w:val="20"/>
          <w:lang w:val="en-US"/>
        </w:rPr>
        <w:t xml:space="preserve">), using geNorm software </w:t>
      </w:r>
      <w:r w:rsidRPr="00F11EA8">
        <w:rPr>
          <w:rFonts w:ascii="Times New Roman" w:hAnsi="Times New Roman" w:cs="Times New Roman"/>
          <w:sz w:val="20"/>
          <w:szCs w:val="20"/>
          <w:lang w:val="en-US"/>
        </w:rPr>
        <w:fldChar w:fldCharType="begin"/>
      </w:r>
      <w:r w:rsidR="00724F37">
        <w:rPr>
          <w:rFonts w:ascii="Times New Roman" w:hAnsi="Times New Roman" w:cs="Times New Roman"/>
          <w:sz w:val="20"/>
          <w:szCs w:val="20"/>
          <w:lang w:val="en-US"/>
        </w:rPr>
        <w:instrText xml:space="preserve"> ADDIN ZOTERO_ITEM CSL_CITATION {"citationID":"Gcqv3Wrv","properties":{"formattedCitation":"[25]","plainCitation":"[25]","noteIndex":0},"citationItems":[{"id":"Ir82PTlG/stGm6GZA","uris":["http://zotero.org/users/9137939/items/ANZPASYM"],"itemData":{"id":387,"type":"article-journal","abstract":"BACKGROUND: Gene-expression analysis is increasingly important in biological research, with real-time reverse transcription PCR (RT-PCR) becoming the method of choice for high-throughput and accurate expression profiling of selected genes. Given the increased sensitivity, reproducibility and large dynamic range of this methodology, the requirements for a proper internal control gene for normalization have become increasingly stringent. Although housekeeping gene expression has been reported to vary considerably, no systematic survey has properly determined the errors related to the common practice of using only one control gene, nor presented an adequate way of working around this problem.\nRESULTS: We outline a robust and innovative strategy to identify the most stably expressed control genes in a given set of tissues, and to determine the minimum number of genes required to calculate a reliable normalization factor. We have evaluated ten housekeeping genes from different abundance and functional classes in various human tissues, and demonstrated that the conventional use of a single gene for normalization leads to relatively large errors in a significant proportion of samples tested. The geometric mean of multiple carefully selected housekeeping genes was validated as an accurate normalization factor by analyzing publicly available microarray data.\nCONCLUSIONS: The normalization strategy presented here is a prerequisite for accurate RT-PCR expression profiling, which, among other things, opens up the possibility of studying the biological relevance of small expression differences.","container-title":"Genome Biology","DOI":"10.1186/gb-2002-3-7-research0034","ISSN":"1474-760X","issue":"7","journalAbbreviation":"Genome Biol","language":"eng","note":"PMID: 12184808\nPMCID: PMC126239","page":"RESEARCH0034","source":"PubMed","title":"Accurate normalization of real-time quantitative RT-PCR data by geometric averaging of multiple internal control genes","volume":"3","author":[{"family":"Vandesompele","given":"Jo"},{"family":"De Preter","given":"Katleen"},{"family":"Pattyn","given":"Filip"},{"family":"Poppe","given":"Bruce"},{"family":"Van Roy","given":"Nadine"},{"family":"De Paepe","given":"Anne"},{"family":"Speleman","given":"Frank"}],"issued":{"date-parts":[["2002",6,18]]}}}],"schema":"https://github.com/citation-style-language/schema/raw/master/csl-citation.json"}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[25]</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whose levels were stable and without differences among sample groups.</w:t>
      </w:r>
    </w:p>
    <w:p w14:paraId="74DD140D" w14:textId="77777777" w:rsidR="0006041B" w:rsidRPr="00F11EA8" w:rsidRDefault="0006041B" w:rsidP="0006041B">
      <w:pPr>
        <w:spacing w:after="0" w:line="480" w:lineRule="auto"/>
        <w:jc w:val="both"/>
        <w:rPr>
          <w:rFonts w:ascii="Times New Roman" w:hAnsi="Times New Roman" w:cs="Times New Roman"/>
          <w:b/>
          <w:bCs/>
          <w:sz w:val="20"/>
          <w:szCs w:val="20"/>
          <w:lang w:val="en-US"/>
        </w:rPr>
      </w:pPr>
    </w:p>
    <w:p w14:paraId="229918B7" w14:textId="77777777" w:rsidR="0045605C" w:rsidRPr="00F11EA8" w:rsidRDefault="0045605C" w:rsidP="0006041B">
      <w:pPr>
        <w:spacing w:after="0" w:line="480" w:lineRule="auto"/>
        <w:jc w:val="both"/>
        <w:rPr>
          <w:rFonts w:ascii="Times New Roman" w:hAnsi="Times New Roman" w:cs="Times New Roman"/>
          <w:b/>
          <w:bCs/>
          <w:sz w:val="20"/>
          <w:szCs w:val="20"/>
          <w:lang w:val="en-US"/>
        </w:rPr>
      </w:pPr>
    </w:p>
    <w:p w14:paraId="09EB19E8" w14:textId="77777777" w:rsidR="0045605C" w:rsidRPr="00F11EA8" w:rsidRDefault="0045605C" w:rsidP="0006041B">
      <w:pPr>
        <w:spacing w:after="0" w:line="480" w:lineRule="auto"/>
        <w:jc w:val="both"/>
        <w:rPr>
          <w:rFonts w:ascii="Times New Roman" w:hAnsi="Times New Roman" w:cs="Times New Roman"/>
          <w:b/>
          <w:bCs/>
          <w:sz w:val="20"/>
          <w:szCs w:val="20"/>
          <w:lang w:val="en-US"/>
        </w:rPr>
      </w:pPr>
    </w:p>
    <w:p w14:paraId="598B5164" w14:textId="389630DB" w:rsidR="00B5772D" w:rsidRPr="00F11EA8" w:rsidRDefault="0006041B" w:rsidP="0006041B">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lastRenderedPageBreak/>
        <w:t xml:space="preserve">Silencing of </w:t>
      </w:r>
      <w:r w:rsidRPr="00F11EA8">
        <w:rPr>
          <w:rFonts w:ascii="Times New Roman" w:hAnsi="Times New Roman" w:cs="Times New Roman"/>
          <w:b/>
          <w:bCs/>
          <w:i/>
          <w:iCs/>
          <w:sz w:val="20"/>
          <w:szCs w:val="20"/>
          <w:lang w:val="en-US"/>
        </w:rPr>
        <w:t>SSTR2</w:t>
      </w:r>
      <w:r w:rsidRPr="00F11EA8">
        <w:rPr>
          <w:rFonts w:ascii="Times New Roman" w:hAnsi="Times New Roman" w:cs="Times New Roman"/>
          <w:b/>
          <w:bCs/>
          <w:sz w:val="20"/>
          <w:szCs w:val="20"/>
          <w:lang w:val="en-US"/>
        </w:rPr>
        <w:t xml:space="preserve"> in vitro</w:t>
      </w:r>
    </w:p>
    <w:p w14:paraId="3CDB0253" w14:textId="2015115D" w:rsidR="0006041B" w:rsidRPr="00F11EA8" w:rsidRDefault="0006041B" w:rsidP="0006041B">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SK-N-AS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cell lines were transiently transfected with a siRNA to specifically knockdown the expression of </w:t>
      </w:r>
      <w:r w:rsidRPr="00F11EA8">
        <w:rPr>
          <w:rFonts w:ascii="Times New Roman" w:hAnsi="Times New Roman" w:cs="Times New Roman"/>
          <w:i/>
          <w:iCs/>
          <w:sz w:val="20"/>
          <w:szCs w:val="20"/>
          <w:lang w:val="en-US"/>
        </w:rPr>
        <w:t xml:space="preserve">SSTR2 </w:t>
      </w:r>
      <w:r w:rsidRPr="00F11EA8">
        <w:rPr>
          <w:rFonts w:ascii="Times New Roman" w:hAnsi="Times New Roman" w:cs="Times New Roman"/>
          <w:sz w:val="20"/>
          <w:szCs w:val="20"/>
          <w:lang w:val="en-US"/>
        </w:rPr>
        <w:t>(ThermoFisher Scientific, Cat #4392421, Waltham, MA, USA). As a control, cells were transfected with Silencer Select Negative Control siRNA (ThermoFisher-Scientific). To this end, 250,000 cells were seeded in 6-well plates and transfected with 75 nM siRNA using lipofectamine RNAiMAX reagent (ThermoFisher-Scientific) a</w:t>
      </w:r>
      <w:r w:rsidR="00095D43" w:rsidRPr="00F11EA8">
        <w:rPr>
          <w:rFonts w:ascii="Times New Roman" w:hAnsi="Times New Roman" w:cs="Times New Roman"/>
          <w:sz w:val="20"/>
          <w:szCs w:val="20"/>
          <w:lang w:val="en-US"/>
        </w:rPr>
        <w:t>t</w:t>
      </w:r>
      <w:r w:rsidRPr="00F11EA8">
        <w:rPr>
          <w:rFonts w:ascii="Times New Roman" w:hAnsi="Times New Roman" w:cs="Times New Roman"/>
          <w:sz w:val="20"/>
          <w:szCs w:val="20"/>
          <w:lang w:val="en-US"/>
        </w:rPr>
        <w:t xml:space="preserve"> 37 ºC, following manufacturer’s instructions.</w:t>
      </w:r>
    </w:p>
    <w:p w14:paraId="2BC843BA" w14:textId="77777777" w:rsidR="0006041B" w:rsidRPr="00F11EA8" w:rsidRDefault="0006041B" w:rsidP="0006041B">
      <w:pPr>
        <w:spacing w:after="0" w:line="480" w:lineRule="auto"/>
        <w:jc w:val="both"/>
        <w:rPr>
          <w:rFonts w:ascii="Times New Roman" w:hAnsi="Times New Roman" w:cs="Times New Roman"/>
          <w:sz w:val="20"/>
          <w:szCs w:val="20"/>
          <w:lang w:val="en-US"/>
        </w:rPr>
      </w:pPr>
    </w:p>
    <w:p w14:paraId="710F6635" w14:textId="530C4EFC" w:rsidR="005A6F25" w:rsidRPr="00F11EA8" w:rsidRDefault="00B5772D" w:rsidP="00B5772D">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In vitro studies</w:t>
      </w:r>
    </w:p>
    <w:p w14:paraId="3FE7BA52" w14:textId="77777777" w:rsidR="005A6F25" w:rsidRPr="00F11EA8" w:rsidRDefault="005A6F25" w:rsidP="005A6F25">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Measurement of cell viability</w:t>
      </w:r>
    </w:p>
    <w:p w14:paraId="37E3B5DB" w14:textId="4EEF9309" w:rsidR="005A6F25" w:rsidRPr="00F11EA8" w:rsidRDefault="005A6F25" w:rsidP="005A6F25">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Cell viability of PC-12 Adh,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-silenced SK-N-AS, PGL1 and PGL7 in response to </w:t>
      </w:r>
      <w:r w:rsidRPr="00F11EA8">
        <w:rPr>
          <w:rFonts w:ascii="Times New Roman" w:hAnsi="Times New Roman" w:cs="Times New Roman"/>
          <w:i/>
          <w:iCs/>
          <w:sz w:val="20"/>
          <w:szCs w:val="20"/>
          <w:lang w:val="en-US"/>
        </w:rPr>
        <w:t>SSTR2</w:t>
      </w:r>
      <w:r w:rsidRPr="00F11EA8">
        <w:rPr>
          <w:rFonts w:ascii="Times New Roman" w:hAnsi="Times New Roman" w:cs="Times New Roman"/>
          <w:sz w:val="20"/>
          <w:szCs w:val="20"/>
          <w:lang w:val="en-US"/>
        </w:rPr>
        <w:t xml:space="preserve"> silencing or drug administration was assessed using Alamar-Blue (ThermoFisher-Scientific) fluorescent assay, as reported previously </w:t>
      </w:r>
      <w:r w:rsidRPr="00F11EA8">
        <w:rPr>
          <w:rFonts w:ascii="Times New Roman" w:hAnsi="Times New Roman" w:cs="Times New Roman"/>
          <w:sz w:val="20"/>
          <w:szCs w:val="20"/>
          <w:lang w:val="en-US"/>
        </w:rPr>
        <w:fldChar w:fldCharType="begin"/>
      </w:r>
      <w:r w:rsidR="0045605C" w:rsidRPr="00F11EA8">
        <w:rPr>
          <w:rFonts w:ascii="Times New Roman" w:hAnsi="Times New Roman" w:cs="Times New Roman"/>
          <w:sz w:val="20"/>
          <w:szCs w:val="20"/>
          <w:lang w:val="en-US"/>
        </w:rPr>
        <w:instrText xml:space="preserve"> ADDIN ZOTERO_ITEM CSL_CITATION {"citationID":"biFmBS36","properties":{"formattedCitation":"[24]","plainCitation":"[24]","noteIndex":0},"citationItems":[{"id":1097,"uris":["http://zotero.org/users/9137939/items/RN478GRI"],"itemData":{"id":1097,"type":"article-journal","abstract":"Pseudomyxoma peritonei (PMP) is a rare neoplasm coursing with uncontrollable mucus accumulation, with a high relapse rate. RNA biology processes have emerged as new players in cancer development and progression, nevertheless their role in PMP remains unknown. In this study, we aimed to examine RNA-regulatory machineries in PMP and their potential contribution to this disease progression. We analyzed 62 splicing-related genes, 27 RNA exosome and 21 nonsense-mediated decay genes, in a cohort of 29 patients using a microfluidic array, comparing tumor and control/reference tissues, together with external RNA-seq and proteomic data. Our results revealed a profound dysregulation of key components, which correlated to relevant clinical parameters and enabled to distinguish between tumor and control tissues. In vitro splicing inhibition using Pladienolide-B, as well as the modulation of specific splicing factors, reduced aggressiveness parameters, enhanced the effect of clinically used drugs, and revealed a strong correlation between dysregulated genes and key cancer-related genes. This inhibition also affected mucin secretion and mucin variants production. Collectively, our findings provide the first evidence for dysregulation of the genes of pivotal RNA-regulatory processes in PMP, implying that these targetable mechanisms may be functionally altered and play a role in the disease. Hence, a thorough understanding of its RNA biology could aid in the discovery of new clinically actionable vulnerabilities in this rare disease.,","container-title":"Cancer Gene Therapy","DOI":"10.1038/s41417-025-00911-x","ISSN":"0929-1903","issue":"6","journalAbbreviation":"Cancer Gene Ther","page":"721-736","PMID":"40301643","PMCID":"PMC12183082","source":"PubMed Central","title":"Exploring RNA biology in pseudomyxoma peritonei uncovers splicing dysregulation as a novel, targetable molecular vulnerability","volume":"32","author":[{"family":"Moreno-Montilla","given":"María Trinidad"},{"family":"Pedraza-Arevalo","given":"Sergio"},{"family":"Martínez-López","given":"Ana"},{"family":"Blázquez-Encinas","given":"Ricardo"},{"family":"García-Vioque","given":"Víctor"},{"family":"Rodríguez-Ortiz","given":"Lidia"},{"family":"Valenzuela-Molina","given":"Francisca"},{"family":"Rufián-Andújar","given":"Blanca"},{"family":"Granados-Rodríguez","given":"Melissa"},{"family":"Ortega-Salas","given":"Rosa"},{"family":"Alors-Pérez","given":"Emilia"},{"family":"Vázquez-Borrego","given":"Mari C."},{"family":"Romero-Ruiz","given":"Antonio"},{"family":"Castaño","given":"Justo P."},{"family":"Arjona-Sánchez","given":"Álvaro"},{"family":"Ibáñez-Costa","given":"Alejandro"}],"issued":{"date-parts":[["2025"]]}}}],"schema":"https://github.com/citation-style-language/schema/raw/master/csl-citation.json"}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[24]</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Briefly, cells were seeded in 96-well plates at a density of 5</w:t>
      </w:r>
      <w:r w:rsidR="005A41EE" w:rsidRPr="00F11EA8">
        <w:rPr>
          <w:rFonts w:ascii="Times New Roman" w:hAnsi="Times New Roman" w:cs="Times New Roman"/>
          <w:sz w:val="20"/>
          <w:szCs w:val="20"/>
          <w:lang w:val="en-US"/>
        </w:rPr>
        <w:t>,</w:t>
      </w:r>
      <w:r w:rsidRPr="00F11EA8">
        <w:rPr>
          <w:rFonts w:ascii="Times New Roman" w:hAnsi="Times New Roman" w:cs="Times New Roman"/>
          <w:sz w:val="20"/>
          <w:szCs w:val="20"/>
          <w:lang w:val="en-US"/>
        </w:rPr>
        <w:t>000 cells/well and serum starved for 12 h. Then, cell viability was assessed at 5% FBS every 24 h using the FlexStation 3 Multi-Mode Microplate reader (Molecular devices, San Jose, CA, USA) until 72 h. Results were expressed as a percentage with respect to vehicle-treated controls, where the vehicle refers to Silencer Select Negative Control siRNA or</w:t>
      </w:r>
      <w:r w:rsidRPr="00F11EA8">
        <w:rPr>
          <w:rFonts w:ascii="Times New Roman" w:hAnsi="Times New Roman" w:cs="Times New Roman"/>
          <w:b/>
          <w:bCs/>
          <w:sz w:val="20"/>
          <w:szCs w:val="20"/>
          <w:lang w:val="en-US"/>
        </w:rPr>
        <w:t xml:space="preserve"> </w:t>
      </w:r>
      <w:r w:rsidRPr="00F11EA8">
        <w:rPr>
          <w:rFonts w:ascii="Times New Roman" w:hAnsi="Times New Roman" w:cs="Times New Roman"/>
          <w:sz w:val="20"/>
          <w:szCs w:val="20"/>
          <w:lang w:val="en-US"/>
        </w:rPr>
        <w:t>the solvent used to resuspend each treatment.</w:t>
      </w:r>
    </w:p>
    <w:p w14:paraId="35C452C6" w14:textId="77777777" w:rsidR="005A6F25" w:rsidRPr="00F11EA8" w:rsidRDefault="005A6F25" w:rsidP="005A6F25">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Measurement of colony formation</w:t>
      </w:r>
    </w:p>
    <w:p w14:paraId="47A842F5" w14:textId="2CCB941E" w:rsidR="005A6F25" w:rsidRPr="00F11EA8" w:rsidRDefault="005A6F25" w:rsidP="005A6F25">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To determine the effect of the different treatments on the clonogenic capacity of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-silenced SK-N-AS, PGL1, and PGL7</w:t>
      </w:r>
      <w:r w:rsidR="005A41EE" w:rsidRPr="00F11EA8">
        <w:rPr>
          <w:rFonts w:ascii="Times New Roman" w:hAnsi="Times New Roman" w:cs="Times New Roman"/>
          <w:sz w:val="20"/>
          <w:szCs w:val="20"/>
          <w:lang w:val="en-US"/>
        </w:rPr>
        <w:t xml:space="preserve"> cells,</w:t>
      </w:r>
      <w:r w:rsidRPr="00F11EA8">
        <w:rPr>
          <w:rFonts w:ascii="Times New Roman" w:hAnsi="Times New Roman" w:cs="Times New Roman"/>
          <w:sz w:val="20"/>
          <w:szCs w:val="20"/>
          <w:lang w:val="en-US"/>
        </w:rPr>
        <w:t xml:space="preserve"> 4</w:t>
      </w:r>
      <w:r w:rsidR="005A41EE" w:rsidRPr="00F11EA8">
        <w:rPr>
          <w:rFonts w:ascii="Times New Roman" w:hAnsi="Times New Roman" w:cs="Times New Roman"/>
          <w:sz w:val="20"/>
          <w:szCs w:val="20"/>
          <w:lang w:val="en-US"/>
        </w:rPr>
        <w:t>,</w:t>
      </w:r>
      <w:r w:rsidRPr="00F11EA8">
        <w:rPr>
          <w:rFonts w:ascii="Times New Roman" w:hAnsi="Times New Roman" w:cs="Times New Roman"/>
          <w:sz w:val="20"/>
          <w:szCs w:val="20"/>
          <w:lang w:val="en-US"/>
        </w:rPr>
        <w:t xml:space="preserve">000 cells/well were seeded in 6-well plates after 24 h of treatment. These cells were incubated for 10 days, changing medium every 3 days, then the medium was removed, the colonies were washed with PBS, stained with crystal violet solution (0.5% crystal violet and 6% glutaraldehyde) for 30 min and air dried. Finally, images collected were analyzed using ImageJ v.1.53 (NIH, Bethesda, MD, USA, </w:t>
      </w:r>
      <w:hyperlink r:id="rId12" w:history="1">
        <w:r w:rsidRPr="00F11EA8">
          <w:rPr>
            <w:rStyle w:val="Hipervnculo"/>
            <w:rFonts w:ascii="Times New Roman" w:hAnsi="Times New Roman" w:cs="Times New Roman"/>
            <w:color w:val="auto"/>
            <w:sz w:val="20"/>
            <w:szCs w:val="20"/>
            <w:lang w:val="en-US"/>
          </w:rPr>
          <w:t>RRID:SCR_003070</w:t>
        </w:r>
      </w:hyperlink>
      <w:r w:rsidRPr="00F11EA8">
        <w:rPr>
          <w:rFonts w:ascii="Times New Roman" w:hAnsi="Times New Roman" w:cs="Times New Roman"/>
          <w:sz w:val="20"/>
          <w:szCs w:val="20"/>
          <w:lang w:val="en-US"/>
        </w:rPr>
        <w:t>) to determine the number of individual colonies.</w:t>
      </w:r>
    </w:p>
    <w:p w14:paraId="1D1D805B" w14:textId="77777777" w:rsidR="005A6F25" w:rsidRPr="00F11EA8" w:rsidRDefault="005A6F25" w:rsidP="005A6F25">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Measurement of cell migration</w:t>
      </w:r>
    </w:p>
    <w:p w14:paraId="0FD1E440" w14:textId="7A562BA5" w:rsidR="005A6F25" w:rsidRPr="00F11EA8" w:rsidRDefault="005A6F25" w:rsidP="005A6F25">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The ability of PC-12 Adh,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-silenced SK-N-AS, PGL1, and PGL7</w:t>
      </w:r>
      <w:r w:rsidR="005A41EE" w:rsidRPr="00F11EA8">
        <w:rPr>
          <w:rFonts w:ascii="Times New Roman" w:hAnsi="Times New Roman" w:cs="Times New Roman"/>
          <w:sz w:val="20"/>
          <w:szCs w:val="20"/>
          <w:lang w:val="en-US"/>
        </w:rPr>
        <w:t xml:space="preserve"> cells</w:t>
      </w:r>
      <w:r w:rsidRPr="00F11EA8">
        <w:rPr>
          <w:rFonts w:ascii="Times New Roman" w:hAnsi="Times New Roman" w:cs="Times New Roman"/>
          <w:sz w:val="20"/>
          <w:szCs w:val="20"/>
          <w:lang w:val="en-US"/>
        </w:rPr>
        <w:t xml:space="preserve"> to migrate after treatment with the above mentioned compounds (24 h) was assessed by wound-healing assay as previously reported </w:t>
      </w:r>
      <w:r w:rsidRPr="00F11EA8">
        <w:rPr>
          <w:rFonts w:ascii="Times New Roman" w:hAnsi="Times New Roman" w:cs="Times New Roman"/>
          <w:sz w:val="20"/>
          <w:szCs w:val="20"/>
          <w:lang w:val="en-US"/>
        </w:rPr>
        <w:fldChar w:fldCharType="begin"/>
      </w:r>
      <w:r w:rsidR="0045605C" w:rsidRPr="00F11EA8">
        <w:rPr>
          <w:rFonts w:ascii="Times New Roman" w:hAnsi="Times New Roman" w:cs="Times New Roman"/>
          <w:sz w:val="20"/>
          <w:szCs w:val="20"/>
          <w:lang w:val="en-US"/>
        </w:rPr>
        <w:instrText xml:space="preserve"> ADDIN ZOTERO_ITEM CSL_CITATION {"citationID":"ABpNIfM7","properties":{"formattedCitation":"[24]","plainCitation":"[24]","noteIndex":0},"citationItems":[{"id":1097,"uris":["http://zotero.org/users/9137939/items/RN478GRI"],"itemData":{"id":1097,"type":"article-journal","abstract":"Pseudomyxoma peritonei (PMP) is a rare neoplasm coursing with uncontrollable mucus accumulation, with a high relapse rate. RNA biology processes have emerged as new players in cancer development and progression, nevertheless their role in PMP remains unknown. In this study, we aimed to examine RNA-regulatory machineries in PMP and their potential contribution to this disease progression. We analyzed 62 splicing-related genes, 27 RNA exosome and 21 nonsense-mediated decay genes, in a cohort of 29 patients using a microfluidic array, comparing tumor and control/reference tissues, together with external RNA-seq and proteomic data. Our results revealed a profound dysregulation of key components, which correlated to relevant clinical parameters and enabled to distinguish between tumor and control tissues. In vitro splicing inhibition using Pladienolide-B, as well as the modulation of specific splicing factors, reduced aggressiveness parameters, enhanced the effect of clinically used drugs, and revealed a strong correlation between dysregulated genes and key cancer-related genes. This inhibition also affected mucin secretion and mucin variants production. Collectively, our findings provide the first evidence for dysregulation of the genes of pivotal RNA-regulatory processes in PMP, implying that these targetable mechanisms may be functionally altered and play a role in the disease. Hence, a thorough understanding of its RNA biology could aid in the discovery of new clinically actionable vulnerabilities in this rare disease.,","container-title":"Cancer Gene Therapy","DOI":"10.1038/s41417-025-00911-x","ISSN":"0929-1903","issue":"6","journalAbbreviation":"Cancer Gene Ther","page":"721-736","PMID":"40301643","PMCID":"PMC12183082","source":"PubMed Central","title":"Exploring RNA biology in pseudomyxoma peritonei uncovers splicing dysregulation as a novel, targetable molecular vulnerability","volume":"32","author":[{"family":"Moreno-Montilla","given":"María Trinidad"},{"family":"Pedraza-Arevalo","given":"Sergio"},{"family":"Martínez-López","given":"Ana"},{"family":"Blázquez-Encinas","given":"Ricardo"},{"family":"García-Vioque","given":"Víctor"},{"family":"Rodríguez-Ortiz","given":"Lidia"},{"family":"Valenzuela-Molina","given":"Francisca"},{"family":"Rufián-Andújar","given":"Blanca"},{"family":"Granados-Rodríguez","given":"Melissa"},{"family":"Ortega-Salas","given":"Rosa"},{"family":"Alors-Pérez","given":"Emilia"},{"family":"Vázquez-Borrego","given":"Mari C."},{"family":"Romero-Ruiz","given":"Antonio"},{"family":"Castaño","given":"Justo P."},{"family":"Arjona-Sánchez","given":"Álvaro"},{"family":"Ibáñez-Costa","given":"Alejandro"}],"issued":{"date-parts":[["2025"]]}}}],"schema":"https://github.com/citation-style-language/schema/raw/master/csl-citation.json"}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[24]</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xml:space="preserve">. Briefly, 50,000 cells were seeded in 96-well plates and serum-starved for 24 h to achieve cell cycle synchronization and the wound was performed with a 100 </w:t>
      </w:r>
      <w:r w:rsidRPr="00F11EA8">
        <w:rPr>
          <w:rFonts w:ascii="Times New Roman" w:hAnsi="Times New Roman" w:cs="Times New Roman"/>
          <w:sz w:val="20"/>
          <w:szCs w:val="20"/>
        </w:rPr>
        <w:t>μ</w:t>
      </w:r>
      <w:r w:rsidRPr="00F11EA8">
        <w:rPr>
          <w:rFonts w:ascii="Times New Roman" w:hAnsi="Times New Roman" w:cs="Times New Roman"/>
          <w:sz w:val="20"/>
          <w:szCs w:val="20"/>
          <w:lang w:val="en-US"/>
        </w:rPr>
        <w:t xml:space="preserve">L sterile pipette tip. Subsequently, the wells were washed with PBS and the cells were incubated for 24 and </w:t>
      </w:r>
      <w:r w:rsidR="00D13CE5" w:rsidRPr="00F11EA8">
        <w:rPr>
          <w:rFonts w:ascii="Times New Roman" w:hAnsi="Times New Roman" w:cs="Times New Roman"/>
          <w:sz w:val="20"/>
          <w:szCs w:val="20"/>
          <w:lang w:val="en-US"/>
        </w:rPr>
        <w:t>48</w:t>
      </w:r>
      <w:r w:rsidRPr="00F11EA8">
        <w:rPr>
          <w:rFonts w:ascii="Times New Roman" w:hAnsi="Times New Roman" w:cs="Times New Roman"/>
          <w:sz w:val="20"/>
          <w:szCs w:val="20"/>
          <w:lang w:val="en-US"/>
        </w:rPr>
        <w:t xml:space="preserve"> h with medium supplemented without FBS. Wound images were acquired with Moticam 4000 equipment (MoticEurope, </w:t>
      </w:r>
      <w:r w:rsidRPr="00F11EA8">
        <w:rPr>
          <w:rFonts w:ascii="Times New Roman" w:hAnsi="Times New Roman" w:cs="Times New Roman"/>
          <w:sz w:val="20"/>
          <w:szCs w:val="20"/>
          <w:lang w:val="en-US"/>
        </w:rPr>
        <w:lastRenderedPageBreak/>
        <w:t>Barcelona, Spain) and analyzed with ImageJ software. Wound-healing was compared with the wound area just after wounding.</w:t>
      </w:r>
    </w:p>
    <w:p w14:paraId="022E1FC7" w14:textId="77777777" w:rsidR="005A6F25" w:rsidRPr="00F11EA8" w:rsidRDefault="005A6F25" w:rsidP="005A6F25">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Measurement of caspase activity</w:t>
      </w:r>
    </w:p>
    <w:p w14:paraId="3E85D56F" w14:textId="5B3EDEDC" w:rsidR="005A6F25" w:rsidRPr="00F11EA8" w:rsidRDefault="005A6F25" w:rsidP="005A6F25">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-altered SK-N-AS were seeded at a density of 10,000 cells/well in 96-well plates and treated with octreotide and BIM-23120 or transfected with </w:t>
      </w:r>
      <w:r w:rsidRPr="00F11EA8">
        <w:rPr>
          <w:rFonts w:ascii="Times New Roman" w:hAnsi="Times New Roman" w:cs="Times New Roman"/>
          <w:i/>
          <w:iCs/>
          <w:sz w:val="20"/>
          <w:szCs w:val="20"/>
          <w:lang w:val="en-US"/>
        </w:rPr>
        <w:t>SSTR2</w:t>
      </w:r>
      <w:r w:rsidRPr="00F11EA8">
        <w:rPr>
          <w:rFonts w:ascii="Times New Roman" w:hAnsi="Times New Roman" w:cs="Times New Roman"/>
          <w:sz w:val="20"/>
          <w:szCs w:val="20"/>
          <w:lang w:val="en-US"/>
        </w:rPr>
        <w:t xml:space="preserve"> siRNA. After 48 h, caspase-3/7 enzyme activity was determined using Apo-ONE Homogeneous Caspase-3/7 Assay (Promega) according to the manufacturer's instructions. In brief, caspase-3/7 substrate was diluted 1:100 in their commercial buffer and added to the cells. After 3-6 h of incubation, fluorescence was measured at a wavelength of 499/521 nm with the FlexStation 3 Multi-Mode Microplate reader as previously described </w:t>
      </w:r>
      <w:r w:rsidRPr="00F11EA8">
        <w:rPr>
          <w:rFonts w:ascii="Times New Roman" w:hAnsi="Times New Roman" w:cs="Times New Roman"/>
          <w:sz w:val="20"/>
          <w:szCs w:val="20"/>
          <w:lang w:val="en-US"/>
        </w:rPr>
        <w:fldChar w:fldCharType="begin"/>
      </w:r>
      <w:r w:rsidR="0045605C" w:rsidRPr="00F11EA8">
        <w:rPr>
          <w:rFonts w:ascii="Times New Roman" w:hAnsi="Times New Roman" w:cs="Times New Roman"/>
          <w:sz w:val="20"/>
          <w:szCs w:val="20"/>
          <w:lang w:val="en-US"/>
        </w:rPr>
        <w:instrText xml:space="preserve"> ADDIN ZOTERO_ITEM CSL_CITATION {"citationID":"ZkALktTQ","properties":{"formattedCitation":"[26]","plainCitation":"[26]","noteIndex":0},"citationItems":[{"id":1867,"uris":["http://zotero.org/users/9137939/items/Y3H7QDFW"],"itemData":{"id":1867,"type":"article-journal","abstract":"Pancreatic neuroendocrine tumors (PanNETs) comprise a heterogeneous group of tumors with growing incidence. Recent molecular analyses provided a precise picture of their genomic and epigenomic landscape. Splicing dysregulation is increasingly regarded as a novel cancer hallmark influencing key tumor features. We have previously demonstrated that splicing machinery is markedly dysregulated in PanNETs. Here, we aimed to elucidate the molecular and functional implications of CUGBP ELAV-like family member 4 (CELF4), one of the most altered splicing factors in PanNETs. CELF4 expression was determined in 20 PanNETs, comparing tumor and non-tumoral adjacent tissue. An RNA sequencing (RNA-seq) dataset was analyzed to explore CELF4-linked interrelations among clinical features, gene expression, and splicing events. Two PanNET cell lines were employed to assess CELF4 function in vitro and in vivo. PanNETs display markedly upregulated CELF4 expression, which is closely associated with malignancy features, altered expression of key tumor players, and distinct splicing event profiles. Modulation of CELF4 influenced proliferation in vitro and reduced in vivo xenograft tumor growth. Interestingly, functional assays and RNA-seq analysis revealed that CELF4 silencing altered mTOR signaling pathway, enhancing the effect of everolimus. We demonstrate that CELF4 is dysregulated in PanNETs, where it influences tumor development and aggressiveness, likely by modulating the mTOR pathway, suggesting its potential as therapeutic target.","container-title":"Molecular Therapy. Nucleic Acids","DOI":"10.1016/j.omtn.2023.102090","ISSN":"2162-2531","issue":"1","journalAbbreviation":"Mol Ther Nucleic Acids","language":"eng","page":"102090","PMID":"38187140","PMCID":"PMC10767201","source":"PubMed","title":"Altered CELF4 splicing factor enhances pancreatic neuroendocrine tumors aggressiveness influencing mTOR and everolimus response","volume":"35","author":[{"family":"Alors-Pérez","given":"Emilia"},{"family":"Pedraza-Arevalo","given":"Sergio"},{"family":"Blázquez-Encinas","given":"Ricardo"},{"family":"García-Vioque","given":"Víctor"},{"family":"Agraz-Doblas","given":"Antonio"},{"family":"Yubero-Serrano","given":"Elena M."},{"family":"Sánchez-Frías","given":"Marina E."},{"family":"Serrano-Blanch","given":"Raquel"},{"family":"Gálvez-Moreno","given":"María Ángeles"},{"family":"Gracia-Navarro","given":"Francisco"},{"family":"Gahete","given":"Manuel D."},{"family":"Arjona-Sánchez","given":"Álvaro"},{"family":"Luque","given":"Raúl M."},{"family":"Ibáñez-Costa","given":"Alejandro"},{"family":"Castaño","given":"Justo P."}],"issued":{"date-parts":[["2024",3,12]]}}}],"schema":"https://github.com/citation-style-language/schema/raw/master/csl-citation.json"}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[26]</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w:t>
      </w:r>
    </w:p>
    <w:p w14:paraId="3AAAC8D2" w14:textId="77777777" w:rsidR="0006041B" w:rsidRPr="00F11EA8" w:rsidRDefault="0006041B" w:rsidP="005A6F25">
      <w:pPr>
        <w:spacing w:after="0" w:line="480" w:lineRule="auto"/>
        <w:ind w:firstLine="720"/>
        <w:jc w:val="both"/>
        <w:rPr>
          <w:rFonts w:ascii="Times New Roman" w:hAnsi="Times New Roman" w:cs="Times New Roman"/>
          <w:sz w:val="20"/>
          <w:szCs w:val="20"/>
          <w:lang w:val="en-US"/>
        </w:rPr>
      </w:pPr>
    </w:p>
    <w:p w14:paraId="011816D0" w14:textId="77777777" w:rsidR="0006041B" w:rsidRPr="00F11EA8" w:rsidRDefault="0006041B" w:rsidP="0006041B">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Analysis of signaling pathways by human phosphokinase array</w:t>
      </w:r>
    </w:p>
    <w:p w14:paraId="1D148604" w14:textId="14C78CDD" w:rsidR="0006041B" w:rsidRPr="00F11EA8" w:rsidRDefault="0006041B" w:rsidP="0006041B">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As previously reported </w:t>
      </w:r>
      <w:r w:rsidRPr="00F11EA8">
        <w:rPr>
          <w:rFonts w:ascii="Times New Roman" w:hAnsi="Times New Roman" w:cs="Times New Roman"/>
          <w:sz w:val="20"/>
          <w:szCs w:val="20"/>
          <w:lang w:val="en-US"/>
        </w:rPr>
        <w:fldChar w:fldCharType="begin"/>
      </w:r>
      <w:r w:rsidR="00724F37">
        <w:rPr>
          <w:rFonts w:ascii="Times New Roman" w:hAnsi="Times New Roman" w:cs="Times New Roman"/>
          <w:sz w:val="20"/>
          <w:szCs w:val="20"/>
          <w:lang w:val="en-US"/>
        </w:rPr>
        <w:instrText xml:space="preserve"> ADDIN ZOTERO_ITEM CSL_CITATION {"citationID":"oRlCEOdG","properties":{"formattedCitation":"[16]","plainCitation":"[16]","noteIndex":0},"citationItems":[{"id":"Ir82PTlG/9E0ElFV6","uris":["http://zotero.org/users/9137939/items/LBT6GXRP"],"itemData":{"id":274,"type":"article-journal","abstract":"PURPOSE: Somatostatin analogues (SSA) are efficacious and safe treatments for a variety of neuroendocrine tumors, especially pituitary neuroendocrine tumors (PitNET). Their therapeutic effects are mainly mediated by somatostatin receptors SST2 and SST5. Most SSAs, such as octreotide/lanreotide/pasireotide, are either nonselective or activate mainly SST2. However, nonfunctioning pituitary tumors (NFPTs), the most common PitNET type, mainly express SST3 and finding peptides that activate this particular somatostatin receptor has been very challenging. Therefore, the main objective of this study was to identify SST3-agonists and characterize their effects on experimental NFPT models.\nEXPERIMENTAL DESIGN: Binding to SSTs and cAMP level determinations were used to screen a peptide library and identify SST3-agonists. Key functional parameters (cell viability/caspase activity/chromogranin-A secretion/mRNA expression/intracellular signaling pathways) were assessed on NFPT primary cell cultures in response to SST3-agonists. Tumor growth was assessed in a preclinical PitNET mouse model treated with a SST3-agonist.\nRESULTS: We successfully identified the first SST3-agonist peptides. SST3-agonists lowered cell viability and chromogranin-A secretion, increased apoptosis in vitro, and reduced tumor growth in a preclinical PitNET model. As expected, inhibition of cell viability in response to SST3-agonists defined two NFPT populations: responsive and unresponsive, wherein responsive NFPTs expressed more SST3 than unresponsive NFPTs and exhibited a profound reduction of MAPK, PI3K-AKT/mTOR, and JAK/STAT signaling pathways upon SST3-agonist treatments. Concurrently, SSTR3 silencing increased cell viability in a subset of NFPTs.\nCONCLUSIONS: This study demonstrates that SST3-agonists activate signaling mechanisms that reduce NFPT cell viability and inhibit pituitary tumor growth in experimental models that expresses SST3, suggesting that targeting this receptor could be an efficacious treatment for NFPTs.","container-title":"Clinical Cancer Research: An Official Journal of the American Association for Cancer Research","DOI":"10.1158/1078-0432.CCR-19-2154","ISSN":"1557-3265","issue":"4","journalAbbreviation":"Clin Cancer Res","language":"eng","note":"PMID: 31624102","page":"957-969","source":"PubMed","title":"A Somatostatin Receptor Subtype-3 (SST3) Peptide Agonist Shows Antitumor Effects in Experimental Models of Nonfunctioning Pituitary Tumors","volume":"26","author":[{"family":"Vázquez-Borrego","given":"Mari C."},{"family":"Gupta","given":"Vandana"},{"family":"Ibáñez-Costa","given":"Alejandro"},{"family":"Gahete","given":"Manuel D."},{"family":"Venegas-Moreno","given":"Eva"},{"family":"Toledano-Delgado","given":"Álvaro"},{"family":"Cano","given":"David A."},{"family":"Blanco-Acevedo","given":"Cristóbal"},{"family":"Ortega-Salas","given":"Rosa"},{"family":"Japón","given":"Miguel A."},{"family":"Barrera-Martín","given":"Ana"},{"family":"Vasiljevic","given":"Alexandre"},{"family":"Hill","given":"Jason"},{"family":"Zhang","given":"Shengwen"},{"family":"Halem","given":"Heather"},{"family":"Solivera","given":"Juan"},{"family":"Raverot","given":"Gérald"},{"family":"Gálvez","given":"María A."},{"family":"Soto-Moreno","given":"Alfonso"},{"family":"Paez-Pereda","given":"Marcelo"},{"family":"Culler","given":"Michael D."},{"family":"Castaño","given":"Justo P."},{"family":"Luque","given":"Raúl M."}],"issued":{"date-parts":[["2020",2,15]]}}}],"schema":"https://github.com/citation-style-language/schema/raw/master/csl-citation.json"}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[16]</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xml:space="preserve"> to test altered signaling pathways in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-silenced SK-N-AS treated with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agonists, 50,000 cells/well were seeded in 6-well plates and incubated for 15 min with vehicle, octreotide and BIM-23120. Specifically, three biological replicates of each condition (vehicle/treatment; WT/</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were pooled and 600 μg of cell lysate was loaded onto array membranes to determine the relative phosphorylation levels of 37 critical kinase phosphorylation sites, following the manufacturer's instructions (Proteome Profiler; R&amp;D Systems, ARY003C, Minneapolis, MN, USA). The average signal of each pair of duplicated dots, representing each phosphorylated site, was calculated after subtracting the background values (pixel density) of the negative control dots and normalized to the average values of the positive controls using ImageJ software.</w:t>
      </w:r>
    </w:p>
    <w:p w14:paraId="38466EDE" w14:textId="77777777" w:rsidR="0006041B" w:rsidRPr="00F11EA8" w:rsidRDefault="0006041B" w:rsidP="0006041B">
      <w:pPr>
        <w:spacing w:after="0" w:line="480" w:lineRule="auto"/>
        <w:jc w:val="both"/>
        <w:rPr>
          <w:rFonts w:ascii="Times New Roman" w:hAnsi="Times New Roman" w:cs="Times New Roman"/>
          <w:sz w:val="20"/>
          <w:szCs w:val="20"/>
          <w:lang w:val="en-US"/>
        </w:rPr>
      </w:pPr>
    </w:p>
    <w:p w14:paraId="766DD520" w14:textId="77777777" w:rsidR="00D52E93" w:rsidRPr="00F11EA8" w:rsidRDefault="00D52E93" w:rsidP="00D52E93">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Measurement of key proteins by Western blotting</w:t>
      </w:r>
    </w:p>
    <w:p w14:paraId="0F1A1394" w14:textId="2C0FE09B" w:rsidR="00D52E93" w:rsidRPr="00F11EA8" w:rsidRDefault="00D52E93" w:rsidP="0006041B">
      <w:pPr>
        <w:spacing w:after="0" w:line="480" w:lineRule="auto"/>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To determine protein levels and validate the results found in the phosphokinase array, cell lysates obtained with the commercial lysis buffer of this kit were separated on Mini-PROTEAN TGX polyacrylamide precast gels (Bio-Rad Laboratories, Madrid, Spain, Cat# 4568126) by SDS-PAGE and transferred to nitrocellulose membranes (Millipore, Burlington, MA, USA, Cat# 1704270). The membranes were then blocked with a solution of 5% non-fat dry milk in Tris-buffered saline containing 0.05% Tween-20 (Sigma-Aldrich, Cat# 93773). The membranes were then incubated with the corresponding primary antibodies, including phospho-GSK-3β (1:1000, Cell Signaling, Danvers, MA, USA; Cat# 9336, </w:t>
      </w:r>
      <w:hyperlink r:id="rId13" w:history="1">
        <w:r w:rsidRPr="00F11EA8">
          <w:rPr>
            <w:rStyle w:val="Hipervnculo"/>
            <w:rFonts w:ascii="Times New Roman" w:hAnsi="Times New Roman" w:cs="Times New Roman"/>
            <w:color w:val="auto"/>
            <w:sz w:val="20"/>
            <w:szCs w:val="20"/>
            <w:lang w:val="en-US"/>
          </w:rPr>
          <w:t>RRID:AB_331405</w:t>
        </w:r>
      </w:hyperlink>
      <w:r w:rsidRPr="00F11EA8">
        <w:rPr>
          <w:rFonts w:ascii="Times New Roman" w:hAnsi="Times New Roman" w:cs="Times New Roman"/>
          <w:sz w:val="20"/>
          <w:szCs w:val="20"/>
          <w:lang w:val="en-US"/>
        </w:rPr>
        <w:t xml:space="preserve">), phospho-p44/42 MAPK (1:1000, Cell Signaling, Cat# 4370S, </w:t>
      </w:r>
      <w:hyperlink r:id="rId14" w:history="1">
        <w:r w:rsidRPr="00F11EA8">
          <w:rPr>
            <w:rStyle w:val="Hipervnculo"/>
            <w:rFonts w:ascii="Times New Roman" w:hAnsi="Times New Roman" w:cs="Times New Roman"/>
            <w:color w:val="auto"/>
            <w:sz w:val="20"/>
            <w:szCs w:val="20"/>
            <w:lang w:val="en-US"/>
          </w:rPr>
          <w:t>RRID:AB_2315112</w:t>
        </w:r>
      </w:hyperlink>
      <w:r w:rsidRPr="00F11EA8">
        <w:rPr>
          <w:rFonts w:ascii="Times New Roman" w:hAnsi="Times New Roman" w:cs="Times New Roman"/>
          <w:sz w:val="20"/>
          <w:szCs w:val="20"/>
          <w:lang w:val="en-US"/>
        </w:rPr>
        <w:t xml:space="preserve">), phospho-AKT </w:t>
      </w:r>
      <w:r w:rsidRPr="00F11EA8">
        <w:rPr>
          <w:rFonts w:ascii="Times New Roman" w:hAnsi="Times New Roman" w:cs="Times New Roman"/>
          <w:sz w:val="20"/>
          <w:szCs w:val="20"/>
          <w:lang w:val="en-US"/>
        </w:rPr>
        <w:lastRenderedPageBreak/>
        <w:t xml:space="preserve">(1:1000, Cell Signaling, Cat# 13038S, </w:t>
      </w:r>
      <w:hyperlink r:id="rId15" w:history="1">
        <w:r w:rsidRPr="00F11EA8">
          <w:rPr>
            <w:rStyle w:val="Hipervnculo"/>
            <w:rFonts w:ascii="Times New Roman" w:hAnsi="Times New Roman" w:cs="Times New Roman"/>
            <w:color w:val="auto"/>
            <w:sz w:val="20"/>
            <w:szCs w:val="20"/>
            <w:lang w:val="en-US"/>
          </w:rPr>
          <w:t>RRID:AB_2629447</w:t>
        </w:r>
      </w:hyperlink>
      <w:r w:rsidRPr="00F11EA8">
        <w:rPr>
          <w:rFonts w:ascii="Times New Roman" w:hAnsi="Times New Roman" w:cs="Times New Roman"/>
          <w:sz w:val="20"/>
          <w:szCs w:val="20"/>
          <w:lang w:val="en-US"/>
        </w:rPr>
        <w:t xml:space="preserve">) and GAPDH (1:2000, ThermoFisher-Scientific, Cat# AM4300, </w:t>
      </w:r>
      <w:hyperlink r:id="rId16" w:history="1">
        <w:r w:rsidRPr="00F11EA8">
          <w:rPr>
            <w:rStyle w:val="Hipervnculo"/>
            <w:rFonts w:ascii="Times New Roman" w:hAnsi="Times New Roman" w:cs="Times New Roman"/>
            <w:color w:val="auto"/>
            <w:sz w:val="20"/>
            <w:szCs w:val="20"/>
            <w:lang w:val="en-US"/>
          </w:rPr>
          <w:t>RRID:AB_2536381</w:t>
        </w:r>
      </w:hyperlink>
      <w:r w:rsidRPr="00F11EA8">
        <w:rPr>
          <w:rFonts w:ascii="Times New Roman" w:hAnsi="Times New Roman" w:cs="Times New Roman"/>
          <w:sz w:val="20"/>
          <w:szCs w:val="20"/>
          <w:lang w:val="en-US"/>
        </w:rPr>
        <w:t xml:space="preserve">). They were then incubated with secondary anti-rabbit antibody (1:2000, Cell Signaling, Cat# 7074S, </w:t>
      </w:r>
      <w:hyperlink r:id="rId17" w:history="1">
        <w:r w:rsidRPr="00F11EA8">
          <w:rPr>
            <w:rStyle w:val="Hipervnculo"/>
            <w:rFonts w:ascii="Times New Roman" w:hAnsi="Times New Roman" w:cs="Times New Roman"/>
            <w:color w:val="auto"/>
            <w:sz w:val="20"/>
            <w:szCs w:val="20"/>
            <w:lang w:val="en-US"/>
          </w:rPr>
          <w:t>RRID:AB_2099233</w:t>
        </w:r>
      </w:hyperlink>
      <w:r w:rsidRPr="00F11EA8">
        <w:rPr>
          <w:rFonts w:ascii="Times New Roman" w:hAnsi="Times New Roman" w:cs="Times New Roman"/>
          <w:sz w:val="20"/>
          <w:szCs w:val="20"/>
          <w:lang w:val="en-US"/>
        </w:rPr>
        <w:t xml:space="preserve">) or secondary anti-mouse antibody (1:2000, Cell Signaling, Cat# 7076, </w:t>
      </w:r>
      <w:hyperlink r:id="rId18" w:history="1">
        <w:r w:rsidRPr="00F11EA8">
          <w:rPr>
            <w:rStyle w:val="Hipervnculo"/>
            <w:rFonts w:ascii="Times New Roman" w:hAnsi="Times New Roman" w:cs="Times New Roman"/>
            <w:color w:val="auto"/>
            <w:sz w:val="20"/>
            <w:szCs w:val="20"/>
            <w:lang w:val="en-US"/>
          </w:rPr>
          <w:t>RRID:AB_330924</w:t>
        </w:r>
      </w:hyperlink>
      <w:r w:rsidRPr="00F11EA8">
        <w:rPr>
          <w:rFonts w:ascii="Times New Roman" w:hAnsi="Times New Roman" w:cs="Times New Roman"/>
          <w:sz w:val="20"/>
          <w:szCs w:val="20"/>
          <w:lang w:val="en-US"/>
        </w:rPr>
        <w:t>) and the proteins were revealed using Clarity Western-ECL Blotting Substrate (Bio-Rad Laboratories). The resulting blots were scanned with an ImageQuant Las 4000 system (GE Healthcare Europe GmbH, Madrid, Spain) and densitometric analysis with ImageJ was performed on the resulting images.</w:t>
      </w:r>
    </w:p>
    <w:p w14:paraId="1669ABFF" w14:textId="77777777" w:rsidR="00D52E93" w:rsidRPr="00F11EA8" w:rsidRDefault="00D52E93" w:rsidP="0006041B">
      <w:pPr>
        <w:spacing w:after="0" w:line="480" w:lineRule="auto"/>
        <w:jc w:val="both"/>
        <w:rPr>
          <w:rFonts w:ascii="Times New Roman" w:hAnsi="Times New Roman" w:cs="Times New Roman"/>
          <w:sz w:val="20"/>
          <w:szCs w:val="20"/>
          <w:lang w:val="en-US"/>
        </w:rPr>
      </w:pPr>
    </w:p>
    <w:p w14:paraId="50D1C04F" w14:textId="77777777" w:rsidR="007A23CF" w:rsidRPr="00F11EA8" w:rsidRDefault="007A23CF" w:rsidP="007A23CF">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Immunofluorescence</w:t>
      </w:r>
    </w:p>
    <w:p w14:paraId="084A7AAC" w14:textId="77777777" w:rsidR="007A23CF" w:rsidRPr="00F11EA8" w:rsidRDefault="007A23CF" w:rsidP="007A23CF">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SK-N-AS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cells were seeded on 25-mm coverslips at a density of 50,000 cells/well in 6-well plates and incubated at 37 °C for 24 h. Subsequently, cells were either treated or not with BIM-23120 10</w:t>
      </w:r>
      <w:r w:rsidRPr="00F11EA8">
        <w:rPr>
          <w:rFonts w:ascii="Times New Roman" w:hAnsi="Times New Roman" w:cs="Times New Roman"/>
          <w:sz w:val="20"/>
          <w:szCs w:val="20"/>
          <w:vertAlign w:val="superscript"/>
          <w:lang w:val="en-US"/>
        </w:rPr>
        <w:t>-8</w:t>
      </w:r>
      <w:r w:rsidRPr="00F11EA8">
        <w:rPr>
          <w:rFonts w:ascii="Times New Roman" w:hAnsi="Times New Roman" w:cs="Times New Roman"/>
          <w:sz w:val="20"/>
          <w:szCs w:val="20"/>
          <w:lang w:val="en-US"/>
        </w:rPr>
        <w:t xml:space="preserve"> M for 5 or 30 min. After treatment, cells were fixed with 4% paraformaldehyde (ThermoFisher-Scientific) for 20 min at room temperature, permeabilized with 0.2% PBS-Tween 20, and incubated with blocking solution (1% PBS-BSA) for 30 min at room temperature. Cells were then incubated overnight at 4 °C with an anti-SST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antibody (ThermoFisher-Scientific, Cat# 704011, RRID:AB_2895896). The following day, cells were incubated with an Alexa Fluor 647-conjugated secondary antibody (ThermoFisher-Scientific, Cat# A-21245) for 1 h at room temperature, counterstained with 4′,6-Diamidino-2-Phenylindole (DAPI) (Sigma-Aldrich), and mounted using fluorescence mounting medium (Dako, S3023). Cell preparations were visualized with a Leica Thunder microscope (Leica Microsystems, Barcelona, Spain, RRID:SCR_023794; Microscopy facility, IMIBIC), images were processed using the LAS X software v3.10.1 (Leica Microsystems, RRID:SCR_013673) and analyzed with ImageJ to study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cell distribution.</w:t>
      </w:r>
    </w:p>
    <w:p w14:paraId="2994E995" w14:textId="77777777" w:rsidR="007A23CF" w:rsidRPr="00F11EA8" w:rsidRDefault="007A23CF" w:rsidP="0006041B">
      <w:pPr>
        <w:spacing w:after="0" w:line="480" w:lineRule="auto"/>
        <w:jc w:val="both"/>
        <w:rPr>
          <w:rFonts w:ascii="Times New Roman" w:hAnsi="Times New Roman" w:cs="Times New Roman"/>
          <w:sz w:val="20"/>
          <w:szCs w:val="20"/>
          <w:lang w:val="en-US"/>
        </w:rPr>
      </w:pPr>
    </w:p>
    <w:p w14:paraId="236D26FB" w14:textId="77777777" w:rsidR="00B5772D" w:rsidRPr="00F11EA8" w:rsidRDefault="00B5772D" w:rsidP="00B5772D">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Xenograft model</w:t>
      </w:r>
    </w:p>
    <w:p w14:paraId="3ECE9A9B" w14:textId="692E6041" w:rsidR="00B5772D" w:rsidRPr="00F11EA8" w:rsidRDefault="00B5772D" w:rsidP="00B5772D">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 xml:space="preserve">One million SK-N-AS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cells were injected in each flank of 7-week-old male BALB/cAnNRj-Foxn1nu mice (Janvier Labs, Le Genest-Saint-Isle, France; n = 16 mice), resuspended in 100 µL of Matrigel Matrix (Corning) and DMEM 4.5 g/L glucose supplemented with 10% FBS (1:1 ratio). After three days, when the tumors became palpable, mice were randomly divided into two homogeneous groups based on body weight: a control group, which received a daily oral administration of the vehicle diluted in corn oil (10% vehicle / 90% corn oil) (Sigma-Aldrich) for 14 consecutive days, and a treatment </w:t>
      </w:r>
      <w:r w:rsidRPr="00F11EA8">
        <w:rPr>
          <w:rFonts w:ascii="Times New Roman" w:hAnsi="Times New Roman" w:cs="Times New Roman"/>
          <w:sz w:val="20"/>
          <w:szCs w:val="20"/>
          <w:lang w:val="en-US"/>
        </w:rPr>
        <w:lastRenderedPageBreak/>
        <w:t xml:space="preserve">group, which received paltusotine formulated in the same vehicle mixture at a dose of 10 mg per kilogram and day. For dose selection, we chose the lowest effective dose used in previous in vivo studies </w:t>
      </w:r>
      <w:r w:rsidRPr="00F11EA8">
        <w:rPr>
          <w:rFonts w:ascii="Times New Roman" w:hAnsi="Times New Roman" w:cs="Times New Roman"/>
          <w:sz w:val="20"/>
          <w:szCs w:val="20"/>
          <w:lang w:val="en-US"/>
        </w:rPr>
        <w:fldChar w:fldCharType="begin"/>
      </w:r>
      <w:r w:rsidR="00724F37">
        <w:rPr>
          <w:rFonts w:ascii="Times New Roman" w:hAnsi="Times New Roman" w:cs="Times New Roman"/>
          <w:sz w:val="20"/>
          <w:szCs w:val="20"/>
          <w:lang w:val="en-US"/>
        </w:rPr>
        <w:instrText xml:space="preserve"> ADDIN ZOTERO_ITEM CSL_CITATION {"citationID":"H242Ol2n","properties":{"formattedCitation":"[23]","plainCitation":"[23]","noteIndex":0},"citationItems":[{"id":"Ir82PTlG/c82g17Vf","uris":["http://zotero.org/users/9137939/items/T74QTTH8"],"itemData":{"id":1010,"type":"article-journal","abstract":", The discovery of a novel 4-(4-aminopiperidinyl)-3,6-diarylquinoline\nseries of potent SST2 agonists is described. This class of molecules\nexhibit excellent selectivity over SST1, SST3, SST4, and SST5 receptors.\nThe compound 3-[4-(4-aminopiperidin-1-yl)-3-(3,5-difluorophenyl)quinolin-6-yl]-2-hydroxybenzonitrile\n(22, paltusotine, formerly known as CRN00808) showed\nno direct inhibition of major cytochrome P450 enzymes or the hERG\nion channel and had sufficient exposure in rats and excellent exposure\nin dogs upon oral dosing. In pharmacodynamic studies, compound 22 dose-dependently suppressed growth hormone (GH) secretion\ninduced by an exogenous growth-hormone-releasing hormone (GHRH) challenge\nin both male and female rats following a single oral dose and suppressed\nIGF-1 levels with repeated oral administration in both rats and dogs.\nTo the best of our knowledge, compound 22 is the first\nnon-peptide SST2 agonist to advance to human clinical trials and is\ncurrently in Phase 3 trials in acromegaly patients and a Phase 2 trial\nin neuroendocrine tumor patients suffering from carcinoid syndrome.","container-title":"ACS Medicinal Chemistry Letters","DOI":"10.1021/acsmedchemlett.2c00431","ISSN":"1948-5875","issue":"1","journalAbbreviation":"ACS Med Chem Lett","note":"PMID: 36655128\nPMCID: PMC9841592","page":"66-74","source":"PubMed Central","title":"Discovery of Paltusotine (CRN00808), a Potent, Selective, and Orally Bioavailable Non-peptide SST2 Agonist","volume":"14","author":[{"family":"Zhao","given":"Jian"},{"family":"Wang","given":"Shimiao"},{"family":"Markison","given":"Stacy"},{"family":"Kim","given":"Sun Hee"},{"family":"Han","given":"Sangdon"},{"family":"Chen","given":"Mi"},{"family":"Kusnetzow","given":"Ana Karin"},{"family":"Rico-Bautista","given":"Elizabeth"},{"family":"Johns","given":"Michael"},{"family":"Luo","given":"Rosa"},{"family":"Struthers","given":"R. Scott"},{"family":"Madan","given":"Ajay"},{"family":"Zhu","given":"Yunfei"},{"family":"Betz","given":"Stephen F."}],"issued":{"date-parts":[["2022",12,10]]}}}],"schema":"https://github.com/citation-style-language/schema/raw/master/csl-citation.json"} </w:instrText>
      </w:r>
      <w:r w:rsidRPr="00F11EA8">
        <w:rPr>
          <w:rFonts w:ascii="Times New Roman" w:hAnsi="Times New Roman" w:cs="Times New Roman"/>
          <w:sz w:val="20"/>
          <w:szCs w:val="20"/>
          <w:lang w:val="en-US"/>
        </w:rPr>
        <w:fldChar w:fldCharType="separate"/>
      </w:r>
      <w:r w:rsidR="00EE5CD2" w:rsidRPr="00EE5CD2">
        <w:rPr>
          <w:rFonts w:ascii="Times New Roman" w:hAnsi="Times New Roman" w:cs="Times New Roman"/>
          <w:sz w:val="20"/>
          <w:lang w:val="en-US"/>
        </w:rPr>
        <w:t>[23]</w:t>
      </w:r>
      <w:r w:rsidRPr="00F11EA8">
        <w:rPr>
          <w:rFonts w:ascii="Times New Roman" w:hAnsi="Times New Roman" w:cs="Times New Roman"/>
          <w:sz w:val="20"/>
          <w:szCs w:val="20"/>
          <w:lang w:val="en-US"/>
        </w:rPr>
        <w:fldChar w:fldCharType="end"/>
      </w:r>
      <w:r w:rsidRPr="00F11EA8">
        <w:rPr>
          <w:rFonts w:ascii="Times New Roman" w:hAnsi="Times New Roman" w:cs="Times New Roman"/>
          <w:sz w:val="20"/>
          <w:szCs w:val="20"/>
          <w:lang w:val="en-US"/>
        </w:rPr>
        <w:t xml:space="preserve">. </w:t>
      </w:r>
      <w:bookmarkStart w:id="7" w:name="_Hlk215150514"/>
      <w:r w:rsidRPr="00F11EA8">
        <w:rPr>
          <w:rFonts w:ascii="Times New Roman" w:hAnsi="Times New Roman" w:cs="Times New Roman"/>
          <w:sz w:val="20"/>
          <w:szCs w:val="20"/>
          <w:lang w:val="en-US"/>
        </w:rPr>
        <w:t>Tumor growth was monitored twice per week for 4 weeks by using a digital caliper</w:t>
      </w:r>
      <w:bookmarkEnd w:id="7"/>
      <w:r w:rsidRPr="00F11EA8">
        <w:rPr>
          <w:rFonts w:ascii="Times New Roman" w:hAnsi="Times New Roman" w:cs="Times New Roman"/>
          <w:sz w:val="20"/>
          <w:szCs w:val="20"/>
          <w:lang w:val="en-US"/>
        </w:rPr>
        <w:t>, and all animals were sacrificed 15 days after the start of treatment. All experimental procedures were carried out following the European Regulations for Animal Care, in accordance with guidelines and regulations, and under the approval of the University of C</w:t>
      </w:r>
      <w:r w:rsidR="00F7630C" w:rsidRPr="00F11EA8">
        <w:rPr>
          <w:rFonts w:ascii="Times New Roman" w:hAnsi="Times New Roman" w:cs="Times New Roman"/>
          <w:sz w:val="20"/>
          <w:szCs w:val="20"/>
          <w:lang w:val="en-US"/>
        </w:rPr>
        <w:t>o</w:t>
      </w:r>
      <w:r w:rsidRPr="00F11EA8">
        <w:rPr>
          <w:rFonts w:ascii="Times New Roman" w:hAnsi="Times New Roman" w:cs="Times New Roman"/>
          <w:sz w:val="20"/>
          <w:szCs w:val="20"/>
          <w:lang w:val="en-US"/>
        </w:rPr>
        <w:t>rdoba Research Ethics Committee.</w:t>
      </w:r>
    </w:p>
    <w:p w14:paraId="55EE2895" w14:textId="77777777" w:rsidR="00CF17F3" w:rsidRPr="00F11EA8" w:rsidRDefault="00CF17F3" w:rsidP="00B5772D">
      <w:pPr>
        <w:spacing w:after="0" w:line="480" w:lineRule="auto"/>
        <w:ind w:firstLine="720"/>
        <w:jc w:val="both"/>
        <w:rPr>
          <w:rFonts w:ascii="Times New Roman" w:hAnsi="Times New Roman" w:cs="Times New Roman"/>
          <w:sz w:val="20"/>
          <w:szCs w:val="20"/>
          <w:lang w:val="en-US"/>
        </w:rPr>
      </w:pPr>
    </w:p>
    <w:p w14:paraId="2DF91BE6" w14:textId="77777777" w:rsidR="00CF17F3" w:rsidRPr="00F11EA8" w:rsidRDefault="00CF17F3" w:rsidP="00CF17F3">
      <w:pPr>
        <w:spacing w:after="0" w:line="480" w:lineRule="auto"/>
        <w:jc w:val="both"/>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t>Statistical analysis</w:t>
      </w:r>
    </w:p>
    <w:p w14:paraId="01B5B2F0" w14:textId="110D4FBC" w:rsidR="004E36CC" w:rsidRPr="00F11EA8" w:rsidRDefault="00CF17F3" w:rsidP="00CF17F3">
      <w:pPr>
        <w:spacing w:after="0" w:line="480" w:lineRule="auto"/>
        <w:ind w:firstLine="720"/>
        <w:jc w:val="both"/>
        <w:rPr>
          <w:rFonts w:ascii="Times New Roman" w:hAnsi="Times New Roman" w:cs="Times New Roman"/>
          <w:sz w:val="20"/>
          <w:szCs w:val="20"/>
          <w:lang w:val="en-US"/>
        </w:rPr>
      </w:pPr>
      <w:r w:rsidRPr="00F11EA8">
        <w:rPr>
          <w:rFonts w:ascii="Times New Roman" w:hAnsi="Times New Roman" w:cs="Times New Roman"/>
          <w:sz w:val="20"/>
          <w:szCs w:val="20"/>
          <w:lang w:val="en-US"/>
        </w:rPr>
        <w:t>First, the data were evaluated for parametric distribution with the Kolmogorov-Smirnov test and expressed as median ± IQR (Interquartile Range)</w:t>
      </w:r>
      <w:r w:rsidR="00623675" w:rsidRPr="00F11EA8">
        <w:rPr>
          <w:rFonts w:ascii="Times New Roman" w:hAnsi="Times New Roman" w:cs="Times New Roman"/>
          <w:sz w:val="20"/>
          <w:szCs w:val="20"/>
          <w:lang w:val="en-US"/>
        </w:rPr>
        <w:t xml:space="preserve"> or mean ± SD</w:t>
      </w:r>
      <w:r w:rsidRPr="00F11EA8">
        <w:rPr>
          <w:rFonts w:ascii="Times New Roman" w:hAnsi="Times New Roman" w:cs="Times New Roman"/>
          <w:sz w:val="20"/>
          <w:szCs w:val="20"/>
          <w:lang w:val="en-US"/>
        </w:rPr>
        <w:t xml:space="preserve">. Statistical comparisons between groups were performed by unpaired parametric t-test and nonparametric Mann-Whitney U-test, depending on the normality of the data. For groups with three or more variables, one-way ANOVA analysis or Kruskal-Wallis test were performed. </w:t>
      </w:r>
      <w:bookmarkStart w:id="8" w:name="_Hlk211800502"/>
      <w:r w:rsidRPr="00F11EA8">
        <w:rPr>
          <w:rFonts w:ascii="Times New Roman" w:hAnsi="Times New Roman" w:cs="Times New Roman"/>
          <w:sz w:val="20"/>
          <w:szCs w:val="20"/>
          <w:lang w:val="en-US"/>
        </w:rPr>
        <w:t xml:space="preserve">For experiments involving multiple treatment groups, statistical significance versus the control group is indicated by an asterisk placed above the corresponding bar and colored according to the group. Significant differences between treatment groups are denoted by black asterisks placed above a bracket connecting the compared groups. </w:t>
      </w:r>
      <w:bookmarkEnd w:id="8"/>
      <w:r w:rsidRPr="00F11EA8">
        <w:rPr>
          <w:rFonts w:ascii="Times New Roman" w:hAnsi="Times New Roman" w:cs="Times New Roman"/>
          <w:sz w:val="20"/>
          <w:szCs w:val="20"/>
          <w:lang w:val="en-US"/>
        </w:rPr>
        <w:t xml:space="preserve">PLS-DA (Partial Least Squares-Discriminant Analysis) and VIP (Variable Importance in Prediction) Score analyses were performed </w:t>
      </w:r>
      <w:proofErr w:type="gramStart"/>
      <w:r w:rsidRPr="00F11EA8">
        <w:rPr>
          <w:rFonts w:ascii="Times New Roman" w:hAnsi="Times New Roman" w:cs="Times New Roman"/>
          <w:sz w:val="20"/>
          <w:szCs w:val="20"/>
          <w:lang w:val="en-US"/>
        </w:rPr>
        <w:t>in order to</w:t>
      </w:r>
      <w:proofErr w:type="gramEnd"/>
      <w:r w:rsidRPr="00F11EA8">
        <w:rPr>
          <w:rFonts w:ascii="Times New Roman" w:hAnsi="Times New Roman" w:cs="Times New Roman"/>
          <w:sz w:val="20"/>
          <w:szCs w:val="20"/>
          <w:lang w:val="en-US"/>
        </w:rPr>
        <w:t xml:space="preserve"> pinpoint the most discriminant molecules among the different groups of samples available. These analyses as well as unsupervised hierarchical clustering heatmaps were carried out using MetaboAnalyst 6.0 </w:t>
      </w:r>
      <w:r w:rsidRPr="00F11EA8">
        <w:rPr>
          <w:rFonts w:ascii="Times New Roman" w:hAnsi="Times New Roman" w:cs="Times New Roman"/>
          <w:sz w:val="20"/>
          <w:szCs w:val="20"/>
        </w:rPr>
        <w:fldChar w:fldCharType="begin"/>
      </w:r>
      <w:r w:rsidR="00724F37">
        <w:rPr>
          <w:rFonts w:ascii="Times New Roman" w:hAnsi="Times New Roman" w:cs="Times New Roman"/>
          <w:sz w:val="20"/>
          <w:szCs w:val="20"/>
          <w:lang w:val="en-US"/>
        </w:rPr>
        <w:instrText xml:space="preserve"> ADDIN ZOTERO_ITEM CSL_CITATION {"citationID":"DtObGTED","properties":{"formattedCitation":"[27]","plainCitation":"[27]","noteIndex":0},"citationItems":[{"id":"Ir82PTlG/rKib0qnd","uris":["http://zotero.org/users/9137939/items/SYSUAQ92"],"itemData":{"id":402,"type":"article-journal","abstract":"We introduce MetaboAnalyst version 6.0 as a unified platform for processing, analyzing, and interpreting data from targeted as well as untargeted metabolomics studies using liquid chromatography - mass spectrometry (LC-MS). The two main objectives in developing version 6.0 are to support tandem MS (MS2) data processing and annotation, as well as to support the analysis of data from exposomics studies and related experiments. Key features of MetaboAnalyst 6.0 include: (i) a significantly enhanced Spectra Processing module with support for MS2 data and the asari algorithm; (ii) a MS2 Peak Annotation module based on comprehensive MS2 reference databases with fragment-level annotation; (iii) a new Statistical Analysis module dedicated for handling complex study design with multiple factors or phenotypic descriptors; (iv) a Causal Analysis module for estimating metabolite - phenotype causal relations based on two-sample Mendelian randomization, and (v) a Dose-Response Analysis module for benchmark dose calculations. In addition, we have also improved MetaboAnalyst's visualization functions, updated its compound database and metabolite sets, and significantly expanded its pathway analysis support to around 130 species. MetaboAnalyst 6.0 is freely available at https://www.metaboanalyst.ca.","container-title":"Nucleic Acids Research","DOI":"10.1093/nar/gkae253","ISSN":"1362-4962","issue":"W1","journalAbbreviation":"Nucleic Acids Res","language":"eng","note":"PMID: 38587201\nPMCID: PMC11223798","page":"W398-W406","source":"PubMed","title":"MetaboAnalyst 6.0: towards a unified platform for metabolomics data processing, analysis and interpretation","title-short":"MetaboAnalyst 6.0","volume":"52","author":[{"family":"Pang","given":"Zhiqiang"},{"family":"Lu","given":"Yao"},{"family":"Zhou","given":"Guangyan"},{"family":"Hui","given":"Fiona"},{"family":"Xu","given":"Lei"},{"family":"Viau","given":"Charles"},{"family":"Spigelman","given":"Aliya F."},{"family":"MacDonald","given":"Patrick E."},{"family":"Wishart","given":"David S."},{"family":"Li","given":"Shuzhao"},{"family":"Xia","given":"Jianguo"}],"issued":{"date-parts":[["2024",7,5]]}}}],"schema":"https://github.com/citation-style-language/schema/raw/master/csl-citation.json"} </w:instrText>
      </w:r>
      <w:r w:rsidRPr="00F11EA8">
        <w:rPr>
          <w:rFonts w:ascii="Times New Roman" w:hAnsi="Times New Roman" w:cs="Times New Roman"/>
          <w:sz w:val="20"/>
          <w:szCs w:val="20"/>
        </w:rPr>
        <w:fldChar w:fldCharType="separate"/>
      </w:r>
      <w:r w:rsidR="00EE5CD2" w:rsidRPr="00EE5CD2">
        <w:rPr>
          <w:rFonts w:ascii="Times New Roman" w:hAnsi="Times New Roman" w:cs="Times New Roman"/>
          <w:sz w:val="20"/>
          <w:lang w:val="en-US"/>
        </w:rPr>
        <w:t>[27]</w:t>
      </w:r>
      <w:r w:rsidRPr="00F11EA8">
        <w:rPr>
          <w:rFonts w:ascii="Times New Roman" w:hAnsi="Times New Roman" w:cs="Times New Roman"/>
          <w:sz w:val="20"/>
          <w:szCs w:val="20"/>
        </w:rPr>
        <w:fldChar w:fldCharType="end"/>
      </w:r>
      <w:r w:rsidRPr="00F11EA8">
        <w:rPr>
          <w:rFonts w:ascii="Times New Roman" w:hAnsi="Times New Roman" w:cs="Times New Roman"/>
          <w:sz w:val="20"/>
          <w:szCs w:val="20"/>
          <w:lang w:val="en-US"/>
        </w:rPr>
        <w:t>. At least three different replicates of the in vitro experiments were carried out. Statistical significance was set at *</w:t>
      </w:r>
      <w:r w:rsidR="00A11672"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0.05; **</w:t>
      </w:r>
      <w:r w:rsidR="00A11672"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0.01; ***</w:t>
      </w:r>
      <w:r w:rsidR="00A11672"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0.001, ****</w:t>
      </w:r>
      <w:r w:rsidR="00A11672"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0.0001. Statistical analyses were performed using Prism v8.0 (GraphPad, La Jolla, CA, USA, </w:t>
      </w:r>
      <w:hyperlink r:id="rId19" w:history="1">
        <w:r w:rsidRPr="00F11EA8">
          <w:rPr>
            <w:rStyle w:val="Hipervnculo"/>
            <w:rFonts w:ascii="Times New Roman" w:hAnsi="Times New Roman" w:cs="Times New Roman"/>
            <w:color w:val="auto"/>
            <w:sz w:val="20"/>
            <w:szCs w:val="20"/>
            <w:lang w:val="en-US"/>
          </w:rPr>
          <w:t>RRID:SCR_002798</w:t>
        </w:r>
      </w:hyperlink>
      <w:r w:rsidRPr="00F11EA8">
        <w:rPr>
          <w:rFonts w:ascii="Times New Roman" w:hAnsi="Times New Roman" w:cs="Times New Roman"/>
          <w:sz w:val="20"/>
          <w:szCs w:val="20"/>
          <w:lang w:val="en-US"/>
        </w:rPr>
        <w:t>).</w:t>
      </w:r>
    </w:p>
    <w:p w14:paraId="7703FBB6" w14:textId="77777777" w:rsidR="004E36CC" w:rsidRPr="00F11EA8" w:rsidRDefault="004E36CC">
      <w:pPr>
        <w:rPr>
          <w:rFonts w:ascii="Times New Roman" w:hAnsi="Times New Roman" w:cs="Times New Roman"/>
          <w:sz w:val="20"/>
          <w:szCs w:val="20"/>
          <w:lang w:val="en-US"/>
        </w:rPr>
      </w:pPr>
      <w:r w:rsidRPr="00F11EA8">
        <w:rPr>
          <w:rFonts w:ascii="Times New Roman" w:hAnsi="Times New Roman" w:cs="Times New Roman"/>
          <w:sz w:val="20"/>
          <w:szCs w:val="20"/>
          <w:lang w:val="en-US"/>
        </w:rPr>
        <w:br w:type="page"/>
      </w:r>
    </w:p>
    <w:p w14:paraId="51D36984" w14:textId="5A6C9EFF" w:rsidR="00CF17F3" w:rsidRPr="00F11EA8" w:rsidRDefault="004E36CC" w:rsidP="004E36CC">
      <w:pPr>
        <w:spacing w:after="0" w:line="480" w:lineRule="auto"/>
        <w:jc w:val="both"/>
        <w:rPr>
          <w:rFonts w:ascii="Times New Roman" w:hAnsi="Times New Roman" w:cs="Times New Roman"/>
          <w:b/>
          <w:bCs/>
          <w:sz w:val="20"/>
          <w:szCs w:val="20"/>
          <w:u w:val="single"/>
          <w:lang w:val="en-US"/>
        </w:rPr>
      </w:pPr>
      <w:r w:rsidRPr="00F11EA8">
        <w:rPr>
          <w:rFonts w:ascii="Times New Roman" w:hAnsi="Times New Roman" w:cs="Times New Roman"/>
          <w:b/>
          <w:bCs/>
          <w:sz w:val="20"/>
          <w:szCs w:val="20"/>
          <w:u w:val="single"/>
          <w:lang w:val="en-US"/>
        </w:rPr>
        <w:lastRenderedPageBreak/>
        <w:t>Supplementa</w:t>
      </w:r>
      <w:r w:rsidR="0068721C" w:rsidRPr="00F11EA8">
        <w:rPr>
          <w:rFonts w:ascii="Times New Roman" w:hAnsi="Times New Roman" w:cs="Times New Roman"/>
          <w:b/>
          <w:bCs/>
          <w:sz w:val="20"/>
          <w:szCs w:val="20"/>
          <w:u w:val="single"/>
          <w:lang w:val="en-US"/>
        </w:rPr>
        <w:t>ry</w:t>
      </w:r>
      <w:r w:rsidRPr="00F11EA8">
        <w:rPr>
          <w:rFonts w:ascii="Times New Roman" w:hAnsi="Times New Roman" w:cs="Times New Roman"/>
          <w:b/>
          <w:bCs/>
          <w:sz w:val="20"/>
          <w:szCs w:val="20"/>
          <w:u w:val="single"/>
          <w:lang w:val="en-US"/>
        </w:rPr>
        <w:t xml:space="preserve"> </w:t>
      </w:r>
      <w:r w:rsidR="0068721C" w:rsidRPr="00F11EA8">
        <w:rPr>
          <w:rFonts w:ascii="Times New Roman" w:hAnsi="Times New Roman" w:cs="Times New Roman"/>
          <w:b/>
          <w:bCs/>
          <w:sz w:val="20"/>
          <w:szCs w:val="20"/>
          <w:u w:val="single"/>
          <w:lang w:val="en-US"/>
        </w:rPr>
        <w:t>T</w:t>
      </w:r>
      <w:r w:rsidRPr="00F11EA8">
        <w:rPr>
          <w:rFonts w:ascii="Times New Roman" w:hAnsi="Times New Roman" w:cs="Times New Roman"/>
          <w:b/>
          <w:bCs/>
          <w:sz w:val="20"/>
          <w:szCs w:val="20"/>
          <w:u w:val="single"/>
          <w:lang w:val="en-US"/>
        </w:rPr>
        <w:t>ables</w:t>
      </w:r>
    </w:p>
    <w:p w14:paraId="4F6A86D0" w14:textId="77777777" w:rsidR="004E36CC" w:rsidRPr="00F11EA8" w:rsidRDefault="004E36CC" w:rsidP="004E36CC">
      <w:pPr>
        <w:spacing w:after="0" w:line="240" w:lineRule="auto"/>
        <w:jc w:val="both"/>
        <w:rPr>
          <w:rFonts w:ascii="Times New Roman" w:hAnsi="Times New Roman" w:cs="Times New Roman"/>
          <w:sz w:val="20"/>
          <w:szCs w:val="20"/>
          <w:lang w:val="en-US"/>
        </w:rPr>
      </w:pPr>
      <w:r w:rsidRPr="00F11EA8">
        <w:rPr>
          <w:rFonts w:ascii="Times New Roman" w:hAnsi="Times New Roman" w:cs="Times New Roman"/>
          <w:b/>
          <w:bCs/>
          <w:sz w:val="20"/>
          <w:szCs w:val="20"/>
          <w:lang w:val="en-US"/>
        </w:rPr>
        <w:t>Supp. Table 1.</w:t>
      </w:r>
      <w:r w:rsidRPr="00F11EA8">
        <w:rPr>
          <w:rFonts w:ascii="Times New Roman" w:hAnsi="Times New Roman" w:cs="Times New Roman"/>
          <w:sz w:val="20"/>
          <w:szCs w:val="20"/>
          <w:lang w:val="en-US"/>
        </w:rPr>
        <w:t xml:space="preserve"> List of genes implicated in downstream signaling upon ligand binding to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w:t>
      </w:r>
    </w:p>
    <w:tbl>
      <w:tblPr>
        <w:tblStyle w:val="Tablaconcuadrcula"/>
        <w:tblW w:w="8536" w:type="dxa"/>
        <w:tblLook w:val="04A0" w:firstRow="1" w:lastRow="0" w:firstColumn="1" w:lastColumn="0" w:noHBand="0" w:noVBand="1"/>
      </w:tblPr>
      <w:tblGrid>
        <w:gridCol w:w="2274"/>
        <w:gridCol w:w="2730"/>
        <w:gridCol w:w="3532"/>
      </w:tblGrid>
      <w:tr w:rsidR="002608DC" w:rsidRPr="00F11EA8" w14:paraId="3E492365" w14:textId="77777777" w:rsidTr="006716B6">
        <w:trPr>
          <w:cantSplit/>
          <w:trHeight w:val="20"/>
        </w:trPr>
        <w:tc>
          <w:tcPr>
            <w:tcW w:w="2274" w:type="dxa"/>
            <w:tcBorders>
              <w:top w:val="single" w:sz="12" w:space="0" w:color="auto"/>
              <w:left w:val="single" w:sz="4" w:space="0" w:color="000000"/>
              <w:bottom w:val="single" w:sz="12" w:space="0" w:color="auto"/>
              <w:right w:val="single" w:sz="4" w:space="0" w:color="000000"/>
            </w:tcBorders>
            <w:vAlign w:val="center"/>
          </w:tcPr>
          <w:p w14:paraId="44C2C576" w14:textId="77777777" w:rsidR="004E36CC" w:rsidRPr="00F11EA8" w:rsidRDefault="004E36CC" w:rsidP="006716B6">
            <w:pPr>
              <w:jc w:val="center"/>
              <w:rPr>
                <w:rFonts w:ascii="Times New Roman" w:hAnsi="Times New Roman" w:cs="Times New Roman"/>
                <w:b/>
                <w:bCs/>
                <w:sz w:val="20"/>
                <w:szCs w:val="20"/>
              </w:rPr>
            </w:pPr>
            <w:r w:rsidRPr="00F11EA8">
              <w:rPr>
                <w:rFonts w:ascii="Times New Roman" w:hAnsi="Times New Roman" w:cs="Times New Roman"/>
                <w:b/>
                <w:bCs/>
                <w:sz w:val="20"/>
                <w:szCs w:val="20"/>
              </w:rPr>
              <w:t>Receptor</w:t>
            </w:r>
          </w:p>
        </w:tc>
        <w:tc>
          <w:tcPr>
            <w:tcW w:w="6262" w:type="dxa"/>
            <w:gridSpan w:val="2"/>
            <w:tcBorders>
              <w:top w:val="single" w:sz="12" w:space="0" w:color="auto"/>
              <w:left w:val="single" w:sz="4" w:space="0" w:color="000000"/>
              <w:bottom w:val="single" w:sz="12" w:space="0" w:color="auto"/>
              <w:right w:val="single" w:sz="4" w:space="0" w:color="000000"/>
            </w:tcBorders>
            <w:vAlign w:val="center"/>
          </w:tcPr>
          <w:p w14:paraId="7F1E08EB"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SSTR2</w:t>
            </w:r>
          </w:p>
        </w:tc>
      </w:tr>
      <w:tr w:rsidR="002608DC" w:rsidRPr="00F11EA8" w14:paraId="423EC2EF" w14:textId="77777777" w:rsidTr="006716B6">
        <w:trPr>
          <w:cantSplit/>
          <w:trHeight w:val="20"/>
        </w:trPr>
        <w:tc>
          <w:tcPr>
            <w:tcW w:w="2274" w:type="dxa"/>
            <w:vMerge w:val="restart"/>
            <w:tcBorders>
              <w:top w:val="single" w:sz="12" w:space="0" w:color="auto"/>
              <w:left w:val="single" w:sz="4" w:space="0" w:color="000000"/>
              <w:right w:val="single" w:sz="4" w:space="0" w:color="000000"/>
            </w:tcBorders>
            <w:vAlign w:val="center"/>
          </w:tcPr>
          <w:p w14:paraId="16DFB5A2" w14:textId="77777777" w:rsidR="004E36CC" w:rsidRPr="00F11EA8" w:rsidRDefault="004E36CC" w:rsidP="006716B6">
            <w:pPr>
              <w:jc w:val="center"/>
              <w:rPr>
                <w:rFonts w:ascii="Times New Roman" w:hAnsi="Times New Roman" w:cs="Times New Roman"/>
                <w:b/>
                <w:bCs/>
                <w:sz w:val="20"/>
                <w:szCs w:val="20"/>
              </w:rPr>
            </w:pPr>
            <w:r w:rsidRPr="00F11EA8">
              <w:rPr>
                <w:rFonts w:ascii="Times New Roman" w:hAnsi="Times New Roman" w:cs="Times New Roman"/>
                <w:b/>
                <w:bCs/>
                <w:sz w:val="20"/>
                <w:szCs w:val="20"/>
              </w:rPr>
              <w:t>Adenylate cyclase pathway (cell death &amp; survival)</w:t>
            </w:r>
          </w:p>
        </w:tc>
        <w:tc>
          <w:tcPr>
            <w:tcW w:w="2730" w:type="dxa"/>
            <w:tcBorders>
              <w:top w:val="single" w:sz="12" w:space="0" w:color="auto"/>
              <w:left w:val="single" w:sz="4" w:space="0" w:color="000000"/>
              <w:bottom w:val="single" w:sz="4" w:space="0" w:color="FFFFFF" w:themeColor="background1"/>
              <w:right w:val="single" w:sz="4" w:space="0" w:color="FFFFFF" w:themeColor="background1"/>
            </w:tcBorders>
            <w:vAlign w:val="center"/>
          </w:tcPr>
          <w:p w14:paraId="1F47B676"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GNAI1</w:t>
            </w:r>
          </w:p>
        </w:tc>
        <w:tc>
          <w:tcPr>
            <w:tcW w:w="3531" w:type="dxa"/>
            <w:tcBorders>
              <w:top w:val="single" w:sz="12" w:space="0" w:color="auto"/>
              <w:left w:val="single" w:sz="4" w:space="0" w:color="FFFFFF" w:themeColor="background1"/>
              <w:bottom w:val="single" w:sz="4" w:space="0" w:color="FFFFFF" w:themeColor="background1"/>
            </w:tcBorders>
            <w:vAlign w:val="center"/>
          </w:tcPr>
          <w:p w14:paraId="1D2F7F99"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PLAGL1</w:t>
            </w:r>
          </w:p>
        </w:tc>
      </w:tr>
      <w:tr w:rsidR="002608DC" w:rsidRPr="00F11EA8" w14:paraId="046D8927" w14:textId="77777777" w:rsidTr="006716B6">
        <w:trPr>
          <w:cantSplit/>
          <w:trHeight w:val="20"/>
        </w:trPr>
        <w:tc>
          <w:tcPr>
            <w:tcW w:w="2274" w:type="dxa"/>
            <w:vMerge/>
            <w:tcBorders>
              <w:left w:val="single" w:sz="4" w:space="0" w:color="000000"/>
              <w:right w:val="single" w:sz="4" w:space="0" w:color="000000"/>
            </w:tcBorders>
          </w:tcPr>
          <w:p w14:paraId="7CC9270F"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4BEC5B4A"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GNAI2</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45771500"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FOS</w:t>
            </w:r>
          </w:p>
        </w:tc>
      </w:tr>
      <w:tr w:rsidR="002608DC" w:rsidRPr="00F11EA8" w14:paraId="2A82C8B4" w14:textId="77777777" w:rsidTr="006716B6">
        <w:trPr>
          <w:cantSplit/>
          <w:trHeight w:val="20"/>
        </w:trPr>
        <w:tc>
          <w:tcPr>
            <w:tcW w:w="2274" w:type="dxa"/>
            <w:vMerge/>
            <w:tcBorders>
              <w:left w:val="single" w:sz="4" w:space="0" w:color="000000"/>
              <w:right w:val="single" w:sz="4" w:space="0" w:color="000000"/>
            </w:tcBorders>
          </w:tcPr>
          <w:p w14:paraId="79336313"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436CBBCD"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GNAI3</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3D6D7087"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JUN</w:t>
            </w:r>
          </w:p>
        </w:tc>
      </w:tr>
      <w:tr w:rsidR="002608DC" w:rsidRPr="00F11EA8" w14:paraId="0198E107" w14:textId="77777777" w:rsidTr="006716B6">
        <w:trPr>
          <w:cantSplit/>
          <w:trHeight w:val="20"/>
        </w:trPr>
        <w:tc>
          <w:tcPr>
            <w:tcW w:w="2274" w:type="dxa"/>
            <w:vMerge/>
            <w:tcBorders>
              <w:left w:val="single" w:sz="4" w:space="0" w:color="000000"/>
              <w:right w:val="single" w:sz="4" w:space="0" w:color="000000"/>
            </w:tcBorders>
          </w:tcPr>
          <w:p w14:paraId="765A7D2D"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088114BF"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ADCY1</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5B059E5B"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PRKACA</w:t>
            </w:r>
          </w:p>
        </w:tc>
      </w:tr>
      <w:tr w:rsidR="002608DC" w:rsidRPr="00F11EA8" w14:paraId="2D32DA76" w14:textId="77777777" w:rsidTr="006716B6">
        <w:trPr>
          <w:cantSplit/>
          <w:trHeight w:val="20"/>
        </w:trPr>
        <w:tc>
          <w:tcPr>
            <w:tcW w:w="2274" w:type="dxa"/>
            <w:vMerge/>
            <w:tcBorders>
              <w:left w:val="single" w:sz="4" w:space="0" w:color="000000"/>
              <w:bottom w:val="single" w:sz="12" w:space="0" w:color="auto"/>
              <w:right w:val="single" w:sz="4" w:space="0" w:color="000000"/>
            </w:tcBorders>
          </w:tcPr>
          <w:p w14:paraId="60FD8675"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12" w:space="0" w:color="auto"/>
              <w:right w:val="single" w:sz="4" w:space="0" w:color="FFFFFF" w:themeColor="background1"/>
            </w:tcBorders>
            <w:vAlign w:val="center"/>
          </w:tcPr>
          <w:p w14:paraId="791C2A31"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CREB3</w:t>
            </w:r>
          </w:p>
        </w:tc>
        <w:tc>
          <w:tcPr>
            <w:tcW w:w="3531" w:type="dxa"/>
            <w:tcBorders>
              <w:top w:val="single" w:sz="4" w:space="0" w:color="FFFFFF" w:themeColor="background1"/>
              <w:left w:val="single" w:sz="4" w:space="0" w:color="FFFFFF" w:themeColor="background1"/>
              <w:bottom w:val="single" w:sz="12" w:space="0" w:color="auto"/>
            </w:tcBorders>
            <w:vAlign w:val="center"/>
          </w:tcPr>
          <w:p w14:paraId="488B907D" w14:textId="77777777" w:rsidR="004E36CC" w:rsidRPr="00F11EA8" w:rsidRDefault="004E36CC" w:rsidP="006716B6">
            <w:pPr>
              <w:jc w:val="center"/>
              <w:rPr>
                <w:rFonts w:ascii="Times New Roman" w:hAnsi="Times New Roman" w:cs="Times New Roman"/>
                <w:i/>
                <w:iCs/>
                <w:sz w:val="20"/>
                <w:szCs w:val="20"/>
              </w:rPr>
            </w:pPr>
          </w:p>
        </w:tc>
      </w:tr>
      <w:tr w:rsidR="002608DC" w:rsidRPr="00F11EA8" w14:paraId="0EA512D1" w14:textId="77777777" w:rsidTr="006716B6">
        <w:trPr>
          <w:cantSplit/>
          <w:trHeight w:val="20"/>
        </w:trPr>
        <w:tc>
          <w:tcPr>
            <w:tcW w:w="2274" w:type="dxa"/>
            <w:vMerge w:val="restart"/>
            <w:tcBorders>
              <w:top w:val="single" w:sz="12" w:space="0" w:color="auto"/>
              <w:left w:val="single" w:sz="4" w:space="0" w:color="000000"/>
              <w:right w:val="single" w:sz="4" w:space="0" w:color="000000"/>
            </w:tcBorders>
            <w:vAlign w:val="center"/>
          </w:tcPr>
          <w:p w14:paraId="12F3AC8C" w14:textId="77777777" w:rsidR="004E36CC" w:rsidRPr="00F11EA8" w:rsidRDefault="004E36CC" w:rsidP="006716B6">
            <w:pPr>
              <w:jc w:val="center"/>
              <w:rPr>
                <w:rFonts w:ascii="Times New Roman" w:hAnsi="Times New Roman" w:cs="Times New Roman"/>
                <w:sz w:val="20"/>
                <w:szCs w:val="20"/>
              </w:rPr>
            </w:pPr>
            <w:r w:rsidRPr="00F11EA8">
              <w:rPr>
                <w:rFonts w:ascii="Times New Roman" w:hAnsi="Times New Roman" w:cs="Times New Roman"/>
                <w:b/>
                <w:bCs/>
                <w:sz w:val="20"/>
                <w:szCs w:val="20"/>
              </w:rPr>
              <w:t>Cell cycle</w:t>
            </w:r>
          </w:p>
        </w:tc>
        <w:tc>
          <w:tcPr>
            <w:tcW w:w="2730" w:type="dxa"/>
            <w:tcBorders>
              <w:top w:val="single" w:sz="12" w:space="0" w:color="auto"/>
              <w:left w:val="single" w:sz="4" w:space="0" w:color="000000"/>
              <w:bottom w:val="single" w:sz="4" w:space="0" w:color="FFFFFF" w:themeColor="background1"/>
              <w:right w:val="single" w:sz="4" w:space="0" w:color="FFFFFF" w:themeColor="background1"/>
            </w:tcBorders>
            <w:vAlign w:val="center"/>
          </w:tcPr>
          <w:p w14:paraId="292F3BDF"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GNAI1</w:t>
            </w:r>
          </w:p>
        </w:tc>
        <w:tc>
          <w:tcPr>
            <w:tcW w:w="3531" w:type="dxa"/>
            <w:tcBorders>
              <w:top w:val="single" w:sz="12" w:space="0" w:color="auto"/>
              <w:left w:val="single" w:sz="4" w:space="0" w:color="FFFFFF" w:themeColor="background1"/>
              <w:bottom w:val="single" w:sz="4" w:space="0" w:color="FFFFFF" w:themeColor="background1"/>
            </w:tcBorders>
            <w:vAlign w:val="center"/>
          </w:tcPr>
          <w:p w14:paraId="141898A8"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CDC6</w:t>
            </w:r>
          </w:p>
        </w:tc>
      </w:tr>
      <w:tr w:rsidR="002608DC" w:rsidRPr="00F11EA8" w14:paraId="0B7C8EA9" w14:textId="77777777" w:rsidTr="006716B6">
        <w:trPr>
          <w:cantSplit/>
          <w:trHeight w:val="20"/>
        </w:trPr>
        <w:tc>
          <w:tcPr>
            <w:tcW w:w="2274" w:type="dxa"/>
            <w:vMerge/>
            <w:tcBorders>
              <w:left w:val="single" w:sz="4" w:space="0" w:color="000000"/>
              <w:right w:val="single" w:sz="4" w:space="0" w:color="000000"/>
            </w:tcBorders>
            <w:vAlign w:val="center"/>
          </w:tcPr>
          <w:p w14:paraId="6DCF8EBA"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4EA35541"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GNAI2</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6B0A76CD"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RB1</w:t>
            </w:r>
          </w:p>
        </w:tc>
      </w:tr>
      <w:tr w:rsidR="002608DC" w:rsidRPr="00F11EA8" w14:paraId="4090E874" w14:textId="77777777" w:rsidTr="006716B6">
        <w:trPr>
          <w:cantSplit/>
          <w:trHeight w:val="20"/>
        </w:trPr>
        <w:tc>
          <w:tcPr>
            <w:tcW w:w="2274" w:type="dxa"/>
            <w:vMerge/>
            <w:tcBorders>
              <w:left w:val="single" w:sz="4" w:space="0" w:color="000000"/>
              <w:right w:val="single" w:sz="4" w:space="0" w:color="000000"/>
            </w:tcBorders>
            <w:vAlign w:val="center"/>
          </w:tcPr>
          <w:p w14:paraId="4479AA5B"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0A895169"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GNAI3</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5104CF48"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RBL1</w:t>
            </w:r>
          </w:p>
        </w:tc>
      </w:tr>
      <w:tr w:rsidR="002608DC" w:rsidRPr="00F11EA8" w14:paraId="6CD872DB" w14:textId="77777777" w:rsidTr="006716B6">
        <w:trPr>
          <w:cantSplit/>
          <w:trHeight w:val="20"/>
        </w:trPr>
        <w:tc>
          <w:tcPr>
            <w:tcW w:w="2274" w:type="dxa"/>
            <w:vMerge/>
            <w:tcBorders>
              <w:left w:val="single" w:sz="4" w:space="0" w:color="000000"/>
              <w:right w:val="single" w:sz="4" w:space="0" w:color="000000"/>
            </w:tcBorders>
            <w:vAlign w:val="center"/>
          </w:tcPr>
          <w:p w14:paraId="1232882E"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379EFE9D"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CCNA</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699AA5D3"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ORC1</w:t>
            </w:r>
          </w:p>
        </w:tc>
      </w:tr>
      <w:tr w:rsidR="002608DC" w:rsidRPr="00F11EA8" w14:paraId="7903B394" w14:textId="77777777" w:rsidTr="006716B6">
        <w:trPr>
          <w:cantSplit/>
          <w:trHeight w:val="20"/>
        </w:trPr>
        <w:tc>
          <w:tcPr>
            <w:tcW w:w="2274" w:type="dxa"/>
            <w:vMerge/>
            <w:tcBorders>
              <w:left w:val="single" w:sz="4" w:space="0" w:color="000000"/>
              <w:right w:val="single" w:sz="4" w:space="0" w:color="000000"/>
            </w:tcBorders>
            <w:vAlign w:val="center"/>
          </w:tcPr>
          <w:p w14:paraId="46BB2848" w14:textId="77777777" w:rsidR="004E36CC" w:rsidRPr="00F11EA8" w:rsidRDefault="004E36CC" w:rsidP="006716B6">
            <w:pPr>
              <w:jc w:val="center"/>
              <w:rPr>
                <w:rFonts w:ascii="Times New Roman" w:hAnsi="Times New Roman" w:cs="Times New Roman"/>
                <w:b/>
                <w:bCs/>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15051B37"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CCND1</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7FF1C446"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E2F1</w:t>
            </w:r>
          </w:p>
        </w:tc>
      </w:tr>
      <w:tr w:rsidR="002608DC" w:rsidRPr="00F11EA8" w14:paraId="3BF91BA5" w14:textId="77777777" w:rsidTr="006716B6">
        <w:trPr>
          <w:cantSplit/>
          <w:trHeight w:val="20"/>
        </w:trPr>
        <w:tc>
          <w:tcPr>
            <w:tcW w:w="2274" w:type="dxa"/>
            <w:vMerge/>
            <w:tcBorders>
              <w:left w:val="single" w:sz="4" w:space="0" w:color="000000"/>
              <w:right w:val="single" w:sz="4" w:space="0" w:color="000000"/>
            </w:tcBorders>
            <w:vAlign w:val="center"/>
          </w:tcPr>
          <w:p w14:paraId="1E0D223D"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78E7402B"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CCNE</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5A95B2CC"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E2F4</w:t>
            </w:r>
          </w:p>
        </w:tc>
      </w:tr>
      <w:tr w:rsidR="002608DC" w:rsidRPr="00F11EA8" w14:paraId="4623EF21" w14:textId="77777777" w:rsidTr="006716B6">
        <w:trPr>
          <w:cantSplit/>
          <w:trHeight w:val="20"/>
        </w:trPr>
        <w:tc>
          <w:tcPr>
            <w:tcW w:w="2274" w:type="dxa"/>
            <w:vMerge/>
            <w:tcBorders>
              <w:left w:val="single" w:sz="4" w:space="0" w:color="000000"/>
              <w:right w:val="single" w:sz="4" w:space="0" w:color="000000"/>
            </w:tcBorders>
            <w:vAlign w:val="center"/>
          </w:tcPr>
          <w:p w14:paraId="5EA6531E"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2DCF9F5C"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CDKN1A</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112150C2"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E2F5</w:t>
            </w:r>
          </w:p>
        </w:tc>
      </w:tr>
      <w:tr w:rsidR="002608DC" w:rsidRPr="00F11EA8" w14:paraId="1A48B2D5" w14:textId="77777777" w:rsidTr="006716B6">
        <w:trPr>
          <w:cantSplit/>
          <w:trHeight w:val="20"/>
        </w:trPr>
        <w:tc>
          <w:tcPr>
            <w:tcW w:w="2274" w:type="dxa"/>
            <w:vMerge/>
            <w:tcBorders>
              <w:left w:val="single" w:sz="4" w:space="0" w:color="000000"/>
              <w:right w:val="single" w:sz="4" w:space="0" w:color="000000"/>
            </w:tcBorders>
            <w:vAlign w:val="center"/>
          </w:tcPr>
          <w:p w14:paraId="6B9997DB"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7E63A8B6"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CDK4</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504C4D92"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TFDP1</w:t>
            </w:r>
          </w:p>
        </w:tc>
      </w:tr>
      <w:tr w:rsidR="002608DC" w:rsidRPr="00F11EA8" w14:paraId="7DE5C917" w14:textId="77777777" w:rsidTr="006716B6">
        <w:trPr>
          <w:cantSplit/>
          <w:trHeight w:val="20"/>
        </w:trPr>
        <w:tc>
          <w:tcPr>
            <w:tcW w:w="2274" w:type="dxa"/>
            <w:vMerge/>
            <w:tcBorders>
              <w:left w:val="single" w:sz="4" w:space="0" w:color="000000"/>
              <w:bottom w:val="single" w:sz="12" w:space="0" w:color="auto"/>
              <w:right w:val="single" w:sz="4" w:space="0" w:color="000000"/>
            </w:tcBorders>
            <w:vAlign w:val="center"/>
          </w:tcPr>
          <w:p w14:paraId="72015238" w14:textId="77777777" w:rsidR="004E36CC" w:rsidRPr="00F11EA8" w:rsidRDefault="004E36CC" w:rsidP="006716B6">
            <w:pPr>
              <w:jc w:val="center"/>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12" w:space="0" w:color="auto"/>
              <w:right w:val="single" w:sz="4" w:space="0" w:color="FFFFFF" w:themeColor="background1"/>
            </w:tcBorders>
            <w:vAlign w:val="center"/>
          </w:tcPr>
          <w:p w14:paraId="37BC1B11"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CDK2</w:t>
            </w:r>
          </w:p>
        </w:tc>
        <w:tc>
          <w:tcPr>
            <w:tcW w:w="3531" w:type="dxa"/>
            <w:tcBorders>
              <w:top w:val="single" w:sz="4" w:space="0" w:color="FFFFFF" w:themeColor="background1"/>
              <w:left w:val="single" w:sz="4" w:space="0" w:color="FFFFFF" w:themeColor="background1"/>
              <w:bottom w:val="single" w:sz="12" w:space="0" w:color="auto"/>
            </w:tcBorders>
            <w:vAlign w:val="center"/>
          </w:tcPr>
          <w:p w14:paraId="4667243B" w14:textId="77777777" w:rsidR="004E36CC" w:rsidRPr="00F11EA8" w:rsidRDefault="004E36CC" w:rsidP="006716B6">
            <w:pPr>
              <w:jc w:val="center"/>
              <w:rPr>
                <w:rFonts w:ascii="Times New Roman" w:hAnsi="Times New Roman" w:cs="Times New Roman"/>
                <w:i/>
                <w:iCs/>
                <w:sz w:val="20"/>
                <w:szCs w:val="20"/>
              </w:rPr>
            </w:pPr>
          </w:p>
        </w:tc>
      </w:tr>
      <w:tr w:rsidR="002608DC" w:rsidRPr="00F11EA8" w14:paraId="775DB86C" w14:textId="77777777" w:rsidTr="006716B6">
        <w:trPr>
          <w:cantSplit/>
          <w:trHeight w:val="20"/>
        </w:trPr>
        <w:tc>
          <w:tcPr>
            <w:tcW w:w="2274" w:type="dxa"/>
            <w:vMerge w:val="restart"/>
            <w:tcBorders>
              <w:top w:val="single" w:sz="12" w:space="0" w:color="auto"/>
              <w:left w:val="single" w:sz="4" w:space="0" w:color="000000"/>
              <w:right w:val="single" w:sz="4" w:space="0" w:color="000000"/>
            </w:tcBorders>
            <w:vAlign w:val="center"/>
          </w:tcPr>
          <w:p w14:paraId="73607981" w14:textId="77777777" w:rsidR="004E36CC" w:rsidRPr="00F11EA8" w:rsidRDefault="004E36CC" w:rsidP="006716B6">
            <w:pPr>
              <w:jc w:val="center"/>
              <w:rPr>
                <w:rFonts w:ascii="Times New Roman" w:hAnsi="Times New Roman" w:cs="Times New Roman"/>
                <w:b/>
                <w:bCs/>
                <w:sz w:val="20"/>
                <w:szCs w:val="20"/>
              </w:rPr>
            </w:pPr>
            <w:r w:rsidRPr="00F11EA8">
              <w:rPr>
                <w:rFonts w:ascii="Times New Roman" w:hAnsi="Times New Roman" w:cs="Times New Roman"/>
                <w:b/>
                <w:bCs/>
                <w:sz w:val="20"/>
                <w:szCs w:val="20"/>
              </w:rPr>
              <w:t>Proliferation (JAK/STAT, MAPK &amp; PI3K-mTOR pathways)</w:t>
            </w:r>
          </w:p>
        </w:tc>
        <w:tc>
          <w:tcPr>
            <w:tcW w:w="2730" w:type="dxa"/>
            <w:tcBorders>
              <w:top w:val="single" w:sz="12" w:space="0" w:color="auto"/>
              <w:left w:val="single" w:sz="4" w:space="0" w:color="000000"/>
              <w:bottom w:val="single" w:sz="12" w:space="0" w:color="FFFFFF" w:themeColor="background1"/>
              <w:right w:val="single" w:sz="12" w:space="0" w:color="FFFFFF" w:themeColor="background1"/>
            </w:tcBorders>
            <w:vAlign w:val="center"/>
          </w:tcPr>
          <w:p w14:paraId="57223755"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GNAI1</w:t>
            </w:r>
          </w:p>
        </w:tc>
        <w:tc>
          <w:tcPr>
            <w:tcW w:w="3531" w:type="dxa"/>
            <w:tcBorders>
              <w:top w:val="single" w:sz="12" w:space="0" w:color="auto"/>
              <w:left w:val="single" w:sz="12" w:space="0" w:color="FFFFFF" w:themeColor="background1"/>
              <w:bottom w:val="single" w:sz="12" w:space="0" w:color="FFFFFF" w:themeColor="background1"/>
            </w:tcBorders>
            <w:vAlign w:val="center"/>
          </w:tcPr>
          <w:p w14:paraId="56B1A041"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RAF1</w:t>
            </w:r>
          </w:p>
        </w:tc>
      </w:tr>
      <w:tr w:rsidR="002608DC" w:rsidRPr="00F11EA8" w14:paraId="15981A3E" w14:textId="77777777" w:rsidTr="006716B6">
        <w:trPr>
          <w:cantSplit/>
          <w:trHeight w:val="20"/>
        </w:trPr>
        <w:tc>
          <w:tcPr>
            <w:tcW w:w="2274" w:type="dxa"/>
            <w:vMerge/>
            <w:tcBorders>
              <w:left w:val="single" w:sz="4" w:space="0" w:color="000000"/>
              <w:right w:val="single" w:sz="4" w:space="0" w:color="000000"/>
            </w:tcBorders>
          </w:tcPr>
          <w:p w14:paraId="61790D21"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12" w:space="0" w:color="FFFFFF" w:themeColor="background1"/>
              <w:left w:val="single" w:sz="4" w:space="0" w:color="000000"/>
              <w:bottom w:val="single" w:sz="12" w:space="0" w:color="FFFFFF" w:themeColor="background1"/>
              <w:right w:val="single" w:sz="12" w:space="0" w:color="FFFFFF" w:themeColor="background1"/>
            </w:tcBorders>
            <w:vAlign w:val="center"/>
          </w:tcPr>
          <w:p w14:paraId="7BF99B9A"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GNAI2</w:t>
            </w:r>
          </w:p>
        </w:tc>
        <w:tc>
          <w:tcPr>
            <w:tcW w:w="3531" w:type="dxa"/>
            <w:tcBorders>
              <w:top w:val="single" w:sz="12" w:space="0" w:color="FFFFFF" w:themeColor="background1"/>
              <w:left w:val="single" w:sz="12" w:space="0" w:color="FFFFFF" w:themeColor="background1"/>
              <w:bottom w:val="single" w:sz="12" w:space="0" w:color="FFFFFF" w:themeColor="background1"/>
            </w:tcBorders>
            <w:vAlign w:val="center"/>
          </w:tcPr>
          <w:p w14:paraId="31D36360"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MAP2K1</w:t>
            </w:r>
          </w:p>
        </w:tc>
      </w:tr>
      <w:tr w:rsidR="002608DC" w:rsidRPr="00F11EA8" w14:paraId="2B271EA5" w14:textId="77777777" w:rsidTr="006716B6">
        <w:trPr>
          <w:cantSplit/>
          <w:trHeight w:val="20"/>
        </w:trPr>
        <w:tc>
          <w:tcPr>
            <w:tcW w:w="2274" w:type="dxa"/>
            <w:vMerge/>
            <w:tcBorders>
              <w:left w:val="single" w:sz="4" w:space="0" w:color="000000"/>
              <w:right w:val="single" w:sz="4" w:space="0" w:color="000000"/>
            </w:tcBorders>
          </w:tcPr>
          <w:p w14:paraId="07337120"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12" w:space="0" w:color="FFFFFF" w:themeColor="background1"/>
              <w:left w:val="single" w:sz="4" w:space="0" w:color="000000"/>
              <w:bottom w:val="single" w:sz="12" w:space="0" w:color="FFFFFF" w:themeColor="background1"/>
              <w:right w:val="single" w:sz="12" w:space="0" w:color="FFFFFF" w:themeColor="background1"/>
            </w:tcBorders>
            <w:vAlign w:val="center"/>
          </w:tcPr>
          <w:p w14:paraId="5B879FBB"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GNAI3</w:t>
            </w:r>
          </w:p>
        </w:tc>
        <w:tc>
          <w:tcPr>
            <w:tcW w:w="3531" w:type="dxa"/>
            <w:tcBorders>
              <w:top w:val="single" w:sz="12" w:space="0" w:color="FFFFFF" w:themeColor="background1"/>
              <w:left w:val="single" w:sz="12" w:space="0" w:color="FFFFFF" w:themeColor="background1"/>
              <w:bottom w:val="single" w:sz="12" w:space="0" w:color="FFFFFF" w:themeColor="background1"/>
            </w:tcBorders>
            <w:vAlign w:val="center"/>
          </w:tcPr>
          <w:p w14:paraId="7D07B13B"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MAP2K2</w:t>
            </w:r>
          </w:p>
        </w:tc>
      </w:tr>
      <w:tr w:rsidR="002608DC" w:rsidRPr="00F11EA8" w14:paraId="39EFCF75" w14:textId="77777777" w:rsidTr="006716B6">
        <w:trPr>
          <w:cantSplit/>
          <w:trHeight w:val="20"/>
        </w:trPr>
        <w:tc>
          <w:tcPr>
            <w:tcW w:w="2274" w:type="dxa"/>
            <w:vMerge/>
            <w:tcBorders>
              <w:left w:val="single" w:sz="4" w:space="0" w:color="000000"/>
              <w:right w:val="single" w:sz="4" w:space="0" w:color="000000"/>
            </w:tcBorders>
          </w:tcPr>
          <w:p w14:paraId="16CF5D4F"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12" w:space="0" w:color="FFFFFF" w:themeColor="background1"/>
              <w:left w:val="single" w:sz="4" w:space="0" w:color="000000"/>
              <w:bottom w:val="single" w:sz="4" w:space="0" w:color="FFFFFF" w:themeColor="background1"/>
              <w:right w:val="single" w:sz="12" w:space="0" w:color="FFFFFF" w:themeColor="background1"/>
            </w:tcBorders>
            <w:vAlign w:val="center"/>
          </w:tcPr>
          <w:p w14:paraId="2C3B7079"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JAK1</w:t>
            </w:r>
          </w:p>
        </w:tc>
        <w:tc>
          <w:tcPr>
            <w:tcW w:w="3531" w:type="dxa"/>
            <w:tcBorders>
              <w:top w:val="single" w:sz="12" w:space="0" w:color="FFFFFF" w:themeColor="background1"/>
              <w:left w:val="single" w:sz="12" w:space="0" w:color="FFFFFF" w:themeColor="background1"/>
              <w:bottom w:val="single" w:sz="4" w:space="0" w:color="FFFFFF" w:themeColor="background1"/>
            </w:tcBorders>
            <w:vAlign w:val="center"/>
          </w:tcPr>
          <w:p w14:paraId="7F56A473"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MAPK1</w:t>
            </w:r>
          </w:p>
        </w:tc>
      </w:tr>
      <w:tr w:rsidR="002608DC" w:rsidRPr="00F11EA8" w14:paraId="4045341C" w14:textId="77777777" w:rsidTr="006716B6">
        <w:trPr>
          <w:cantSplit/>
          <w:trHeight w:val="20"/>
        </w:trPr>
        <w:tc>
          <w:tcPr>
            <w:tcW w:w="2274" w:type="dxa"/>
            <w:vMerge/>
            <w:tcBorders>
              <w:left w:val="single" w:sz="4" w:space="0" w:color="000000"/>
              <w:right w:val="single" w:sz="4" w:space="0" w:color="000000"/>
            </w:tcBorders>
          </w:tcPr>
          <w:p w14:paraId="3FF682C3"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12" w:space="0" w:color="FFFFFF" w:themeColor="background1"/>
            </w:tcBorders>
            <w:vAlign w:val="center"/>
          </w:tcPr>
          <w:p w14:paraId="6F0342B6"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PTPN2</w:t>
            </w:r>
          </w:p>
        </w:tc>
        <w:tc>
          <w:tcPr>
            <w:tcW w:w="3531" w:type="dxa"/>
            <w:tcBorders>
              <w:top w:val="single" w:sz="4" w:space="0" w:color="FFFFFF" w:themeColor="background1"/>
              <w:left w:val="single" w:sz="12" w:space="0" w:color="FFFFFF" w:themeColor="background1"/>
              <w:bottom w:val="single" w:sz="4" w:space="0" w:color="FFFFFF" w:themeColor="background1"/>
            </w:tcBorders>
            <w:vAlign w:val="center"/>
          </w:tcPr>
          <w:p w14:paraId="6B233215"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MAPK3</w:t>
            </w:r>
          </w:p>
        </w:tc>
      </w:tr>
      <w:tr w:rsidR="002608DC" w:rsidRPr="00F11EA8" w14:paraId="47FE3844" w14:textId="77777777" w:rsidTr="006716B6">
        <w:trPr>
          <w:cantSplit/>
          <w:trHeight w:val="20"/>
        </w:trPr>
        <w:tc>
          <w:tcPr>
            <w:tcW w:w="2274" w:type="dxa"/>
            <w:vMerge/>
            <w:tcBorders>
              <w:left w:val="single" w:sz="4" w:space="0" w:color="000000"/>
              <w:right w:val="single" w:sz="4" w:space="0" w:color="000000"/>
            </w:tcBorders>
          </w:tcPr>
          <w:p w14:paraId="39ECDFFA"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12" w:space="0" w:color="FFFFFF" w:themeColor="background1"/>
            </w:tcBorders>
            <w:vAlign w:val="center"/>
          </w:tcPr>
          <w:p w14:paraId="4F595070"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PTPN6</w:t>
            </w:r>
          </w:p>
        </w:tc>
        <w:tc>
          <w:tcPr>
            <w:tcW w:w="3531" w:type="dxa"/>
            <w:tcBorders>
              <w:top w:val="single" w:sz="4" w:space="0" w:color="FFFFFF" w:themeColor="background1"/>
              <w:left w:val="single" w:sz="12" w:space="0" w:color="FFFFFF" w:themeColor="background1"/>
              <w:bottom w:val="single" w:sz="4" w:space="0" w:color="FFFFFF" w:themeColor="background1"/>
            </w:tcBorders>
            <w:vAlign w:val="center"/>
          </w:tcPr>
          <w:p w14:paraId="306FB1A1"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PIK3CA</w:t>
            </w:r>
          </w:p>
        </w:tc>
      </w:tr>
      <w:tr w:rsidR="002608DC" w:rsidRPr="00F11EA8" w14:paraId="75D63D1B" w14:textId="77777777" w:rsidTr="006716B6">
        <w:trPr>
          <w:cantSplit/>
          <w:trHeight w:val="20"/>
        </w:trPr>
        <w:tc>
          <w:tcPr>
            <w:tcW w:w="2274" w:type="dxa"/>
            <w:vMerge/>
            <w:tcBorders>
              <w:left w:val="single" w:sz="4" w:space="0" w:color="000000"/>
              <w:right w:val="single" w:sz="4" w:space="0" w:color="000000"/>
            </w:tcBorders>
          </w:tcPr>
          <w:p w14:paraId="7EC16D2E"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12" w:space="0" w:color="FFFFFF" w:themeColor="background1"/>
            </w:tcBorders>
            <w:vAlign w:val="center"/>
          </w:tcPr>
          <w:p w14:paraId="5D866DCD"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PTPN11</w:t>
            </w:r>
          </w:p>
        </w:tc>
        <w:tc>
          <w:tcPr>
            <w:tcW w:w="3531" w:type="dxa"/>
            <w:tcBorders>
              <w:top w:val="single" w:sz="4" w:space="0" w:color="FFFFFF" w:themeColor="background1"/>
              <w:left w:val="single" w:sz="12" w:space="0" w:color="FFFFFF" w:themeColor="background1"/>
              <w:bottom w:val="single" w:sz="4" w:space="0" w:color="FFFFFF" w:themeColor="background1"/>
            </w:tcBorders>
            <w:vAlign w:val="center"/>
          </w:tcPr>
          <w:p w14:paraId="092F477D"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PIK3CB</w:t>
            </w:r>
          </w:p>
        </w:tc>
      </w:tr>
      <w:tr w:rsidR="002608DC" w:rsidRPr="00F11EA8" w14:paraId="06AE7CC9" w14:textId="77777777" w:rsidTr="006716B6">
        <w:trPr>
          <w:cantSplit/>
          <w:trHeight w:val="20"/>
        </w:trPr>
        <w:tc>
          <w:tcPr>
            <w:tcW w:w="2274" w:type="dxa"/>
            <w:vMerge/>
            <w:tcBorders>
              <w:left w:val="single" w:sz="4" w:space="0" w:color="000000"/>
              <w:right w:val="single" w:sz="4" w:space="0" w:color="000000"/>
            </w:tcBorders>
          </w:tcPr>
          <w:p w14:paraId="36F32594"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12" w:space="0" w:color="FFFFFF" w:themeColor="background1"/>
            </w:tcBorders>
            <w:vAlign w:val="center"/>
          </w:tcPr>
          <w:p w14:paraId="28F5607B"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GRB2</w:t>
            </w:r>
          </w:p>
        </w:tc>
        <w:tc>
          <w:tcPr>
            <w:tcW w:w="3531" w:type="dxa"/>
            <w:tcBorders>
              <w:top w:val="single" w:sz="4" w:space="0" w:color="FFFFFF" w:themeColor="background1"/>
              <w:left w:val="single" w:sz="12" w:space="0" w:color="FFFFFF" w:themeColor="background1"/>
              <w:bottom w:val="single" w:sz="4" w:space="0" w:color="FFFFFF" w:themeColor="background1"/>
            </w:tcBorders>
            <w:vAlign w:val="center"/>
          </w:tcPr>
          <w:p w14:paraId="68830D9F"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PIK3CD</w:t>
            </w:r>
          </w:p>
        </w:tc>
      </w:tr>
      <w:tr w:rsidR="002608DC" w:rsidRPr="00F11EA8" w14:paraId="7A39ED84" w14:textId="77777777" w:rsidTr="006716B6">
        <w:trPr>
          <w:cantSplit/>
          <w:trHeight w:val="20"/>
        </w:trPr>
        <w:tc>
          <w:tcPr>
            <w:tcW w:w="2274" w:type="dxa"/>
            <w:vMerge/>
            <w:tcBorders>
              <w:left w:val="single" w:sz="4" w:space="0" w:color="000000"/>
              <w:right w:val="single" w:sz="4" w:space="0" w:color="000000"/>
            </w:tcBorders>
          </w:tcPr>
          <w:p w14:paraId="6EF5CD56"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12" w:space="0" w:color="FFFFFF" w:themeColor="background1"/>
            </w:tcBorders>
            <w:vAlign w:val="center"/>
          </w:tcPr>
          <w:p w14:paraId="66D33D6C"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SOS</w:t>
            </w:r>
          </w:p>
        </w:tc>
        <w:tc>
          <w:tcPr>
            <w:tcW w:w="3531" w:type="dxa"/>
            <w:tcBorders>
              <w:top w:val="single" w:sz="4" w:space="0" w:color="FFFFFF" w:themeColor="background1"/>
              <w:left w:val="single" w:sz="12" w:space="0" w:color="FFFFFF" w:themeColor="background1"/>
              <w:bottom w:val="single" w:sz="4" w:space="0" w:color="FFFFFF" w:themeColor="background1"/>
            </w:tcBorders>
            <w:vAlign w:val="center"/>
          </w:tcPr>
          <w:p w14:paraId="50E848B3"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AKT</w:t>
            </w:r>
          </w:p>
        </w:tc>
      </w:tr>
      <w:tr w:rsidR="002608DC" w:rsidRPr="00F11EA8" w14:paraId="7BEB9C3A" w14:textId="77777777" w:rsidTr="006716B6">
        <w:trPr>
          <w:cantSplit/>
          <w:trHeight w:val="20"/>
        </w:trPr>
        <w:tc>
          <w:tcPr>
            <w:tcW w:w="2274" w:type="dxa"/>
            <w:vMerge/>
            <w:tcBorders>
              <w:left w:val="single" w:sz="4" w:space="0" w:color="000000"/>
              <w:bottom w:val="single" w:sz="12" w:space="0" w:color="auto"/>
              <w:right w:val="single" w:sz="4" w:space="0" w:color="000000"/>
            </w:tcBorders>
          </w:tcPr>
          <w:p w14:paraId="1B59CFC6"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12" w:space="0" w:color="auto"/>
              <w:right w:val="single" w:sz="12" w:space="0" w:color="FFFFFF" w:themeColor="background1"/>
            </w:tcBorders>
            <w:vAlign w:val="center"/>
          </w:tcPr>
          <w:p w14:paraId="5F84AB48"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HRAS</w:t>
            </w:r>
          </w:p>
        </w:tc>
        <w:tc>
          <w:tcPr>
            <w:tcW w:w="3531" w:type="dxa"/>
            <w:tcBorders>
              <w:top w:val="single" w:sz="4" w:space="0" w:color="FFFFFF" w:themeColor="background1"/>
              <w:left w:val="single" w:sz="12" w:space="0" w:color="FFFFFF" w:themeColor="background1"/>
              <w:bottom w:val="single" w:sz="12" w:space="0" w:color="auto"/>
            </w:tcBorders>
            <w:vAlign w:val="center"/>
          </w:tcPr>
          <w:p w14:paraId="7FABC683"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MTOR</w:t>
            </w:r>
          </w:p>
        </w:tc>
      </w:tr>
      <w:tr w:rsidR="002608DC" w:rsidRPr="00F11EA8" w14:paraId="373DC1C7" w14:textId="77777777" w:rsidTr="006716B6">
        <w:trPr>
          <w:cantSplit/>
          <w:trHeight w:val="20"/>
        </w:trPr>
        <w:tc>
          <w:tcPr>
            <w:tcW w:w="2274" w:type="dxa"/>
            <w:vMerge w:val="restart"/>
            <w:tcBorders>
              <w:top w:val="single" w:sz="12" w:space="0" w:color="auto"/>
              <w:left w:val="single" w:sz="4" w:space="0" w:color="000000"/>
              <w:right w:val="single" w:sz="4" w:space="0" w:color="000000"/>
            </w:tcBorders>
            <w:vAlign w:val="center"/>
          </w:tcPr>
          <w:p w14:paraId="18D55B07" w14:textId="77777777" w:rsidR="004E36CC" w:rsidRPr="00F11EA8" w:rsidRDefault="004E36CC" w:rsidP="006716B6">
            <w:pPr>
              <w:jc w:val="center"/>
              <w:rPr>
                <w:rFonts w:ascii="Times New Roman" w:hAnsi="Times New Roman" w:cs="Times New Roman"/>
                <w:b/>
                <w:bCs/>
                <w:sz w:val="20"/>
                <w:szCs w:val="20"/>
              </w:rPr>
            </w:pPr>
            <w:r w:rsidRPr="00F11EA8">
              <w:rPr>
                <w:rFonts w:ascii="Times New Roman" w:hAnsi="Times New Roman" w:cs="Times New Roman"/>
                <w:b/>
                <w:bCs/>
                <w:sz w:val="20"/>
                <w:szCs w:val="20"/>
              </w:rPr>
              <w:t>Antiangiogenic (nitric oxide pathway)</w:t>
            </w:r>
          </w:p>
        </w:tc>
        <w:tc>
          <w:tcPr>
            <w:tcW w:w="2730" w:type="dxa"/>
            <w:tcBorders>
              <w:top w:val="single" w:sz="12" w:space="0" w:color="auto"/>
              <w:left w:val="single" w:sz="4" w:space="0" w:color="000000"/>
              <w:bottom w:val="single" w:sz="4" w:space="0" w:color="FFFFFF" w:themeColor="background1"/>
              <w:right w:val="single" w:sz="4" w:space="0" w:color="FFFFFF" w:themeColor="background1"/>
            </w:tcBorders>
            <w:vAlign w:val="center"/>
          </w:tcPr>
          <w:p w14:paraId="4C11DC0E"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NOS1</w:t>
            </w:r>
          </w:p>
        </w:tc>
        <w:tc>
          <w:tcPr>
            <w:tcW w:w="3531" w:type="dxa"/>
            <w:tcBorders>
              <w:top w:val="single" w:sz="12" w:space="0" w:color="auto"/>
              <w:left w:val="single" w:sz="4" w:space="0" w:color="FFFFFF" w:themeColor="background1"/>
              <w:bottom w:val="single" w:sz="4" w:space="0" w:color="FFFFFF" w:themeColor="background1"/>
            </w:tcBorders>
            <w:vAlign w:val="center"/>
          </w:tcPr>
          <w:p w14:paraId="6433EDFC"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GUCY1A2</w:t>
            </w:r>
          </w:p>
        </w:tc>
      </w:tr>
      <w:tr w:rsidR="002608DC" w:rsidRPr="00F11EA8" w14:paraId="4377EA9C" w14:textId="77777777" w:rsidTr="006716B6">
        <w:trPr>
          <w:cantSplit/>
          <w:trHeight w:val="20"/>
        </w:trPr>
        <w:tc>
          <w:tcPr>
            <w:tcW w:w="2274" w:type="dxa"/>
            <w:vMerge/>
            <w:tcBorders>
              <w:left w:val="single" w:sz="4" w:space="0" w:color="000000"/>
              <w:right w:val="single" w:sz="4" w:space="0" w:color="000000"/>
            </w:tcBorders>
          </w:tcPr>
          <w:p w14:paraId="573FB1FA"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419BB6FC"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NOS2</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0DC7C25C"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GUCY1B1</w:t>
            </w:r>
          </w:p>
        </w:tc>
      </w:tr>
      <w:tr w:rsidR="002608DC" w:rsidRPr="00F11EA8" w14:paraId="1A5171F5" w14:textId="77777777" w:rsidTr="006716B6">
        <w:trPr>
          <w:cantSplit/>
          <w:trHeight w:val="20"/>
        </w:trPr>
        <w:tc>
          <w:tcPr>
            <w:tcW w:w="2274" w:type="dxa"/>
            <w:vMerge/>
            <w:tcBorders>
              <w:left w:val="single" w:sz="4" w:space="0" w:color="000000"/>
              <w:right w:val="single" w:sz="4" w:space="0" w:color="000000"/>
            </w:tcBorders>
          </w:tcPr>
          <w:p w14:paraId="6A703C6F"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4" w:space="0" w:color="FFFFFF" w:themeColor="background1"/>
              <w:right w:val="single" w:sz="4" w:space="0" w:color="FFFFFF" w:themeColor="background1"/>
            </w:tcBorders>
            <w:vAlign w:val="center"/>
          </w:tcPr>
          <w:p w14:paraId="6ECB5F63"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NOS3</w:t>
            </w:r>
          </w:p>
        </w:tc>
        <w:tc>
          <w:tcPr>
            <w:tcW w:w="3531" w:type="dxa"/>
            <w:tcBorders>
              <w:top w:val="single" w:sz="4" w:space="0" w:color="FFFFFF" w:themeColor="background1"/>
              <w:left w:val="single" w:sz="4" w:space="0" w:color="FFFFFF" w:themeColor="background1"/>
              <w:bottom w:val="single" w:sz="4" w:space="0" w:color="FFFFFF" w:themeColor="background1"/>
            </w:tcBorders>
            <w:vAlign w:val="center"/>
          </w:tcPr>
          <w:p w14:paraId="0B175CD8"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GUCY1B2</w:t>
            </w:r>
          </w:p>
        </w:tc>
      </w:tr>
      <w:tr w:rsidR="004E36CC" w:rsidRPr="00F11EA8" w14:paraId="2941E43B" w14:textId="77777777" w:rsidTr="006716B6">
        <w:trPr>
          <w:cantSplit/>
          <w:trHeight w:val="20"/>
        </w:trPr>
        <w:tc>
          <w:tcPr>
            <w:tcW w:w="2274" w:type="dxa"/>
            <w:vMerge/>
            <w:tcBorders>
              <w:left w:val="single" w:sz="4" w:space="0" w:color="000000"/>
              <w:bottom w:val="single" w:sz="12" w:space="0" w:color="auto"/>
              <w:right w:val="single" w:sz="4" w:space="0" w:color="000000"/>
            </w:tcBorders>
          </w:tcPr>
          <w:p w14:paraId="418D9347" w14:textId="77777777" w:rsidR="004E36CC" w:rsidRPr="00F11EA8" w:rsidRDefault="004E36CC" w:rsidP="006716B6">
            <w:pPr>
              <w:jc w:val="both"/>
              <w:rPr>
                <w:rFonts w:ascii="Times New Roman" w:hAnsi="Times New Roman" w:cs="Times New Roman"/>
                <w:sz w:val="20"/>
                <w:szCs w:val="20"/>
              </w:rPr>
            </w:pPr>
          </w:p>
        </w:tc>
        <w:tc>
          <w:tcPr>
            <w:tcW w:w="2730" w:type="dxa"/>
            <w:tcBorders>
              <w:top w:val="single" w:sz="4" w:space="0" w:color="FFFFFF" w:themeColor="background1"/>
              <w:left w:val="single" w:sz="4" w:space="0" w:color="000000"/>
              <w:bottom w:val="single" w:sz="12" w:space="0" w:color="auto"/>
              <w:right w:val="single" w:sz="4" w:space="0" w:color="FFFFFF" w:themeColor="background1"/>
            </w:tcBorders>
            <w:vAlign w:val="center"/>
          </w:tcPr>
          <w:p w14:paraId="6F57EB5F"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GUCY1A1</w:t>
            </w:r>
          </w:p>
        </w:tc>
        <w:tc>
          <w:tcPr>
            <w:tcW w:w="3531" w:type="dxa"/>
            <w:tcBorders>
              <w:top w:val="single" w:sz="4" w:space="0" w:color="FFFFFF" w:themeColor="background1"/>
              <w:left w:val="single" w:sz="4" w:space="0" w:color="FFFFFF" w:themeColor="background1"/>
              <w:bottom w:val="single" w:sz="12" w:space="0" w:color="auto"/>
            </w:tcBorders>
            <w:vAlign w:val="center"/>
          </w:tcPr>
          <w:p w14:paraId="1AEDA0E3" w14:textId="77777777" w:rsidR="004E36CC" w:rsidRPr="00F11EA8" w:rsidRDefault="004E36CC" w:rsidP="006716B6">
            <w:pPr>
              <w:jc w:val="center"/>
              <w:rPr>
                <w:rFonts w:ascii="Times New Roman" w:hAnsi="Times New Roman" w:cs="Times New Roman"/>
                <w:i/>
                <w:iCs/>
                <w:sz w:val="20"/>
                <w:szCs w:val="20"/>
              </w:rPr>
            </w:pPr>
            <w:r w:rsidRPr="00F11EA8">
              <w:rPr>
                <w:rFonts w:ascii="Times New Roman" w:hAnsi="Times New Roman" w:cs="Times New Roman"/>
                <w:i/>
                <w:iCs/>
                <w:sz w:val="20"/>
                <w:szCs w:val="20"/>
              </w:rPr>
              <w:t>PRKG1</w:t>
            </w:r>
          </w:p>
        </w:tc>
      </w:tr>
    </w:tbl>
    <w:p w14:paraId="5FDD7503" w14:textId="77777777" w:rsidR="004E36CC" w:rsidRPr="00F11EA8" w:rsidRDefault="004E36CC" w:rsidP="004E36CC">
      <w:pPr>
        <w:spacing w:after="0" w:line="240" w:lineRule="auto"/>
        <w:jc w:val="both"/>
        <w:rPr>
          <w:rFonts w:ascii="Times New Roman" w:hAnsi="Times New Roman" w:cs="Times New Roman"/>
          <w:b/>
          <w:bCs/>
          <w:sz w:val="20"/>
          <w:szCs w:val="20"/>
          <w:lang w:val="en-US"/>
        </w:rPr>
      </w:pPr>
    </w:p>
    <w:p w14:paraId="4DDEDC2A" w14:textId="77777777" w:rsidR="004E36CC" w:rsidRPr="00F11EA8" w:rsidRDefault="004E36CC" w:rsidP="004E36CC">
      <w:pPr>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br w:type="page"/>
      </w:r>
    </w:p>
    <w:p w14:paraId="79B11C8F" w14:textId="77777777" w:rsidR="004E36CC" w:rsidRPr="00F11EA8" w:rsidRDefault="004E36CC" w:rsidP="004E36CC">
      <w:pPr>
        <w:spacing w:after="0"/>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lastRenderedPageBreak/>
        <w:t>Supp. Table 2.</w:t>
      </w:r>
      <w:r w:rsidRPr="00F11EA8">
        <w:rPr>
          <w:rFonts w:ascii="Times New Roman" w:hAnsi="Times New Roman" w:cs="Times New Roman"/>
          <w:sz w:val="20"/>
          <w:szCs w:val="20"/>
          <w:lang w:val="en-US"/>
        </w:rPr>
        <w:t xml:space="preserve"> </w:t>
      </w:r>
      <w:bookmarkStart w:id="9" w:name="_Hlk188893965"/>
      <w:r w:rsidRPr="00F11EA8">
        <w:rPr>
          <w:rFonts w:ascii="Times New Roman" w:hAnsi="Times New Roman" w:cs="Times New Roman"/>
          <w:sz w:val="20"/>
          <w:szCs w:val="20"/>
          <w:lang w:val="en-US"/>
        </w:rPr>
        <w:t>Affinity of the different ligands used in this study for each of the SSTs</w:t>
      </w:r>
      <w:bookmarkEnd w:id="9"/>
      <w:r w:rsidRPr="00F11EA8">
        <w:rPr>
          <w:rFonts w:ascii="Times New Roman" w:hAnsi="Times New Roman" w:cs="Times New Roman"/>
          <w:sz w:val="20"/>
          <w:szCs w:val="20"/>
          <w:lang w:val="en-US"/>
        </w:rPr>
        <w:t>.</w:t>
      </w:r>
    </w:p>
    <w:tbl>
      <w:tblPr>
        <w:tblW w:w="0" w:type="auto"/>
        <w:tblCellMar>
          <w:left w:w="0" w:type="dxa"/>
          <w:right w:w="0" w:type="dxa"/>
        </w:tblCellMar>
        <w:tblLook w:val="0420" w:firstRow="1" w:lastRow="0" w:firstColumn="0" w:lastColumn="0" w:noHBand="0" w:noVBand="1"/>
      </w:tblPr>
      <w:tblGrid>
        <w:gridCol w:w="2061"/>
        <w:gridCol w:w="815"/>
        <w:gridCol w:w="921"/>
        <w:gridCol w:w="1499"/>
        <w:gridCol w:w="815"/>
        <w:gridCol w:w="1107"/>
      </w:tblGrid>
      <w:tr w:rsidR="002608DC" w:rsidRPr="00F11EA8" w14:paraId="4837E7FB" w14:textId="77777777" w:rsidTr="006716B6">
        <w:trPr>
          <w:trHeight w:val="20"/>
        </w:trPr>
        <w:tc>
          <w:tcPr>
            <w:tcW w:w="0" w:type="auto"/>
            <w:tcBorders>
              <w:top w:val="single" w:sz="12" w:space="0" w:color="000000"/>
              <w:left w:val="nil"/>
              <w:bottom w:val="single" w:sz="4" w:space="0" w:color="FFFFFF"/>
              <w:right w:val="nil"/>
            </w:tcBorders>
            <w:tcMar>
              <w:top w:w="72" w:type="dxa"/>
              <w:left w:w="144" w:type="dxa"/>
              <w:bottom w:w="72" w:type="dxa"/>
              <w:right w:w="144" w:type="dxa"/>
            </w:tcMar>
            <w:vAlign w:val="center"/>
          </w:tcPr>
          <w:p w14:paraId="1AA189F8" w14:textId="77777777" w:rsidR="004E36CC" w:rsidRPr="00F11EA8" w:rsidRDefault="004E36CC" w:rsidP="006716B6">
            <w:pPr>
              <w:spacing w:after="0"/>
              <w:rPr>
                <w:rFonts w:ascii="Times New Roman" w:hAnsi="Times New Roman" w:cs="Times New Roman"/>
                <w:b/>
                <w:bCs/>
                <w:sz w:val="20"/>
                <w:szCs w:val="20"/>
                <w:lang w:val="en-US"/>
              </w:rPr>
            </w:pPr>
          </w:p>
        </w:tc>
        <w:tc>
          <w:tcPr>
            <w:tcW w:w="5156" w:type="dxa"/>
            <w:gridSpan w:val="5"/>
            <w:tcBorders>
              <w:top w:val="single" w:sz="12" w:space="0" w:color="000000"/>
              <w:left w:val="nil"/>
              <w:bottom w:val="single" w:sz="8" w:space="0" w:color="000000"/>
              <w:right w:val="nil"/>
            </w:tcBorders>
            <w:tcMar>
              <w:top w:w="72" w:type="dxa"/>
              <w:left w:w="144" w:type="dxa"/>
              <w:bottom w:w="72" w:type="dxa"/>
              <w:right w:w="144" w:type="dxa"/>
            </w:tcMar>
            <w:vAlign w:val="center"/>
          </w:tcPr>
          <w:p w14:paraId="4236B7D9" w14:textId="77777777" w:rsidR="004E36CC" w:rsidRPr="00F11EA8" w:rsidRDefault="004E36CC" w:rsidP="006716B6">
            <w:pPr>
              <w:spacing w:after="0"/>
              <w:jc w:val="center"/>
              <w:rPr>
                <w:rFonts w:ascii="Times New Roman" w:hAnsi="Times New Roman" w:cs="Times New Roman"/>
                <w:b/>
                <w:bCs/>
                <w:sz w:val="20"/>
                <w:szCs w:val="20"/>
              </w:rPr>
            </w:pPr>
            <w:r w:rsidRPr="00F11EA8">
              <w:rPr>
                <w:rFonts w:ascii="Times New Roman" w:hAnsi="Times New Roman" w:cs="Times New Roman"/>
                <w:b/>
                <w:bCs/>
                <w:sz w:val="20"/>
                <w:szCs w:val="20"/>
              </w:rPr>
              <w:t>IC</w:t>
            </w:r>
            <w:r w:rsidRPr="00F11EA8">
              <w:rPr>
                <w:rFonts w:ascii="Times New Roman" w:hAnsi="Times New Roman" w:cs="Times New Roman"/>
                <w:b/>
                <w:bCs/>
                <w:sz w:val="20"/>
                <w:szCs w:val="20"/>
                <w:vertAlign w:val="subscript"/>
              </w:rPr>
              <w:t>50</w:t>
            </w:r>
            <w:r w:rsidRPr="00F11EA8">
              <w:rPr>
                <w:rFonts w:ascii="Times New Roman" w:hAnsi="Times New Roman" w:cs="Times New Roman"/>
                <w:b/>
                <w:bCs/>
                <w:sz w:val="20"/>
                <w:szCs w:val="20"/>
              </w:rPr>
              <w:t xml:space="preserve"> (nM)</w:t>
            </w:r>
          </w:p>
        </w:tc>
      </w:tr>
      <w:tr w:rsidR="002608DC" w:rsidRPr="00F11EA8" w14:paraId="656320D3" w14:textId="77777777" w:rsidTr="006716B6">
        <w:trPr>
          <w:trHeight w:val="57"/>
        </w:trPr>
        <w:tc>
          <w:tcPr>
            <w:tcW w:w="0" w:type="auto"/>
            <w:tcBorders>
              <w:top w:val="single" w:sz="4" w:space="0" w:color="FFFFFF"/>
              <w:left w:val="nil"/>
              <w:bottom w:val="single" w:sz="8" w:space="0" w:color="000000"/>
              <w:right w:val="nil"/>
            </w:tcBorders>
            <w:tcMar>
              <w:top w:w="72" w:type="dxa"/>
              <w:left w:w="144" w:type="dxa"/>
              <w:bottom w:w="72" w:type="dxa"/>
              <w:right w:w="144" w:type="dxa"/>
            </w:tcMar>
            <w:vAlign w:val="center"/>
            <w:hideMark/>
          </w:tcPr>
          <w:p w14:paraId="23CB7475" w14:textId="77777777" w:rsidR="004E36CC" w:rsidRPr="00F11EA8" w:rsidRDefault="004E36CC" w:rsidP="006716B6">
            <w:pPr>
              <w:spacing w:after="0"/>
              <w:rPr>
                <w:rFonts w:ascii="Times New Roman" w:hAnsi="Times New Roman" w:cs="Times New Roman"/>
                <w:sz w:val="20"/>
                <w:szCs w:val="20"/>
                <w:lang w:val="en-US"/>
              </w:rPr>
            </w:pPr>
            <w:proofErr w:type="spellStart"/>
            <w:r w:rsidRPr="00F11EA8">
              <w:rPr>
                <w:rFonts w:ascii="Times New Roman" w:hAnsi="Times New Roman" w:cs="Times New Roman"/>
                <w:b/>
                <w:bCs/>
                <w:sz w:val="20"/>
                <w:szCs w:val="20"/>
              </w:rPr>
              <w:t>Compound</w:t>
            </w:r>
            <w:proofErr w:type="spellEnd"/>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F3F7209"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SST</w:t>
            </w:r>
            <w:r w:rsidRPr="00F11EA8">
              <w:rPr>
                <w:rFonts w:ascii="Times New Roman" w:hAnsi="Times New Roman" w:cs="Times New Roman"/>
                <w:b/>
                <w:bCs/>
                <w:sz w:val="20"/>
                <w:szCs w:val="20"/>
                <w:vertAlign w:val="subscript"/>
              </w:rPr>
              <w:t>1</w:t>
            </w: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006B2B0"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SST</w:t>
            </w:r>
            <w:r w:rsidRPr="00F11EA8">
              <w:rPr>
                <w:rFonts w:ascii="Times New Roman" w:hAnsi="Times New Roman" w:cs="Times New Roman"/>
                <w:b/>
                <w:bCs/>
                <w:sz w:val="20"/>
                <w:szCs w:val="20"/>
                <w:vertAlign w:val="subscript"/>
              </w:rPr>
              <w:t>2</w:t>
            </w:r>
          </w:p>
        </w:tc>
        <w:tc>
          <w:tcPr>
            <w:tcW w:w="130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C01E799"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SST</w:t>
            </w:r>
            <w:r w:rsidRPr="00F11EA8">
              <w:rPr>
                <w:rFonts w:ascii="Times New Roman" w:hAnsi="Times New Roman" w:cs="Times New Roman"/>
                <w:b/>
                <w:bCs/>
                <w:sz w:val="20"/>
                <w:szCs w:val="20"/>
                <w:vertAlign w:val="subscript"/>
              </w:rPr>
              <w:t>3</w:t>
            </w: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01EB45E"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SST</w:t>
            </w:r>
            <w:r w:rsidRPr="00F11EA8">
              <w:rPr>
                <w:rFonts w:ascii="Times New Roman" w:hAnsi="Times New Roman" w:cs="Times New Roman"/>
                <w:b/>
                <w:bCs/>
                <w:sz w:val="20"/>
                <w:szCs w:val="20"/>
                <w:vertAlign w:val="subscript"/>
              </w:rPr>
              <w:t>4</w:t>
            </w:r>
          </w:p>
        </w:tc>
        <w:tc>
          <w:tcPr>
            <w:tcW w:w="963"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4FA678C"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SST</w:t>
            </w:r>
            <w:r w:rsidRPr="00F11EA8">
              <w:rPr>
                <w:rFonts w:ascii="Times New Roman" w:hAnsi="Times New Roman" w:cs="Times New Roman"/>
                <w:b/>
                <w:bCs/>
                <w:sz w:val="20"/>
                <w:szCs w:val="20"/>
                <w:vertAlign w:val="subscript"/>
              </w:rPr>
              <w:t>5</w:t>
            </w:r>
          </w:p>
        </w:tc>
      </w:tr>
      <w:tr w:rsidR="002608DC" w:rsidRPr="00F11EA8" w14:paraId="7148C1A9" w14:textId="77777777" w:rsidTr="006716B6">
        <w:trPr>
          <w:trHeight w:val="57"/>
        </w:trPr>
        <w:tc>
          <w:tcPr>
            <w:tcW w:w="0" w:type="auto"/>
            <w:tcBorders>
              <w:top w:val="single" w:sz="8" w:space="0" w:color="000000"/>
              <w:left w:val="nil"/>
              <w:bottom w:val="single" w:sz="4" w:space="0" w:color="FFFFFF" w:themeColor="background1"/>
              <w:right w:val="nil"/>
            </w:tcBorders>
            <w:shd w:val="clear" w:color="auto" w:fill="FFFFFF"/>
            <w:tcMar>
              <w:top w:w="72" w:type="dxa"/>
              <w:left w:w="144" w:type="dxa"/>
              <w:bottom w:w="72" w:type="dxa"/>
              <w:right w:w="144" w:type="dxa"/>
            </w:tcMar>
            <w:vAlign w:val="center"/>
            <w:hideMark/>
          </w:tcPr>
          <w:p w14:paraId="26EF3CFC" w14:textId="22E75271" w:rsidR="004E36CC" w:rsidRPr="00F11EA8" w:rsidRDefault="004E36CC" w:rsidP="006716B6">
            <w:pPr>
              <w:spacing w:after="0"/>
              <w:rPr>
                <w:rFonts w:ascii="Times New Roman" w:hAnsi="Times New Roman" w:cs="Times New Roman"/>
                <w:sz w:val="20"/>
                <w:szCs w:val="20"/>
                <w:lang w:val="en-US"/>
              </w:rPr>
            </w:pPr>
            <w:r w:rsidRPr="00F11EA8">
              <w:rPr>
                <w:rFonts w:ascii="Times New Roman" w:hAnsi="Times New Roman" w:cs="Times New Roman"/>
                <w:b/>
                <w:bCs/>
                <w:sz w:val="20"/>
                <w:szCs w:val="20"/>
              </w:rPr>
              <w:t xml:space="preserve">Somatostatin-14 </w:t>
            </w:r>
            <w:r w:rsidR="00435176" w:rsidRPr="00F11EA8">
              <w:rPr>
                <w:rFonts w:ascii="Times New Roman" w:hAnsi="Times New Roman" w:cs="Times New Roman"/>
                <w:b/>
                <w:bCs/>
                <w:sz w:val="20"/>
                <w:szCs w:val="20"/>
              </w:rPr>
              <w:fldChar w:fldCharType="begin"/>
            </w:r>
            <w:r w:rsidR="00724F37">
              <w:rPr>
                <w:rFonts w:ascii="Times New Roman" w:hAnsi="Times New Roman" w:cs="Times New Roman"/>
                <w:b/>
                <w:bCs/>
                <w:sz w:val="20"/>
                <w:szCs w:val="20"/>
              </w:rPr>
              <w:instrText xml:space="preserve"> ADDIN ZOTERO_ITEM CSL_CITATION {"citationID":"7mA13ULe","properties":{"formattedCitation":"[10]","plainCitation":"[10]","noteIndex":0},"citationItems":[{"id":"Ir82PTlG/xDrb1NZM","uris":["http://zotero.org/users/9137939/items/H2MCFHRP"],"itemData":{"id":"JeEkpaw2/6R4xERnc","type":"article-journal","abstract":"Gastroenteropancreatic neuroendocrine tumours (GEP NETs) are rare tumours that present many clinical features.They secrete peptides and neuroamines that cause distinct clinical syndromes, including carcinoid syndrome. However, many are clinically silent until late presentation with mass effects.In 2000 the WHO developed a new classification which gives a better description of the characteristics and biological behaviour of the tumour.Surgical resection is the treatment of first choice for a patient with a GEP NET. In metastatic disease multiple therapeutic approaches are possible. In these cases the goal is to improve quality of life and to extent survival.GEP NETs express somatostatin receptors (SSTRs), which are bound by somatostatin (SST) or its synthetic analogues, although the subtypes and number of SSTRs expressed is very variable.Somatostatin analogues are used frequently to control hormone-related symptoms while their anti-neoplastic activity, even if it has not been widely studied and the regarding data are discordant, seems to result prevalently in tumour stabilisation.A few patients who fail to respond or cease to respond to standard SST analogues treatment seem to have a response to higher doses of these drugs.The use of higher doses of somatostatin analogues or the development of new subtype selective agonists and chimaeric somatostatin analogues, or pan-somatostatin will probably improve the clinical management of these patients.This review provides an update on the use of somatostatin analogues in the management of GEP NETs and discusses novel clinical strategies based on SSTR 2 gene transfer therapy.","container-title":"Journal of experimental &amp; clinical cancer research: CR","DOI":"10.1186/1756-9966-29-19","ISSN":"1756-9966","issue":"1","journalAbbreviation":"J Exp Clin Cancer Res","language":"eng","note":"PMID: 20196864\nPMCID: PMC2845555","page":"19","source":"PubMed","title":"Somatostatin analogues in the treatment of gastroenteropancreatic neuroendocrine tumours, current aspects and new perspectives","volume":"29","author":[{"family":"Appetecchia","given":"Marialuisa"},{"family":"Baldelli","given":"Roberto"}],"issued":{"date-parts":[["2010",3,2]]}}}],"schema":"https://github.com/citation-style-language/schema/raw/master/csl-citation.json"}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[10]</w:t>
            </w:r>
            <w:r w:rsidR="00435176" w:rsidRPr="00F11EA8">
              <w:rPr>
                <w:rFonts w:ascii="Times New Roman" w:hAnsi="Times New Roman" w:cs="Times New Roman"/>
                <w:b/>
                <w:bCs/>
                <w:sz w:val="20"/>
                <w:szCs w:val="20"/>
              </w:rPr>
              <w:fldChar w:fldCharType="end"/>
            </w:r>
          </w:p>
        </w:tc>
        <w:tc>
          <w:tcPr>
            <w:tcW w:w="0" w:type="auto"/>
            <w:tcBorders>
              <w:top w:val="single" w:sz="8" w:space="0" w:color="000000"/>
              <w:left w:val="nil"/>
              <w:bottom w:val="single" w:sz="4" w:space="0" w:color="FFFFFF" w:themeColor="background1"/>
              <w:right w:val="nil"/>
            </w:tcBorders>
            <w:shd w:val="clear" w:color="auto" w:fill="FFFFFF"/>
            <w:tcMar>
              <w:top w:w="72" w:type="dxa"/>
              <w:left w:w="144" w:type="dxa"/>
              <w:bottom w:w="72" w:type="dxa"/>
              <w:right w:w="144" w:type="dxa"/>
            </w:tcMar>
            <w:vAlign w:val="center"/>
            <w:hideMark/>
          </w:tcPr>
          <w:p w14:paraId="43034C77"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2.26</w:t>
            </w:r>
          </w:p>
        </w:tc>
        <w:tc>
          <w:tcPr>
            <w:tcW w:w="0" w:type="auto"/>
            <w:tcBorders>
              <w:top w:val="single" w:sz="8" w:space="0" w:color="000000"/>
              <w:left w:val="nil"/>
              <w:bottom w:val="single" w:sz="4" w:space="0" w:color="FFFFFF" w:themeColor="background1"/>
              <w:right w:val="nil"/>
            </w:tcBorders>
            <w:shd w:val="clear" w:color="auto" w:fill="FFFFFF"/>
            <w:tcMar>
              <w:top w:w="72" w:type="dxa"/>
              <w:left w:w="144" w:type="dxa"/>
              <w:bottom w:w="72" w:type="dxa"/>
              <w:right w:w="144" w:type="dxa"/>
            </w:tcMar>
            <w:vAlign w:val="center"/>
            <w:hideMark/>
          </w:tcPr>
          <w:p w14:paraId="70993E8E"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0.23</w:t>
            </w:r>
          </w:p>
        </w:tc>
        <w:tc>
          <w:tcPr>
            <w:tcW w:w="1304" w:type="dxa"/>
            <w:tcBorders>
              <w:top w:val="single" w:sz="8" w:space="0" w:color="000000"/>
              <w:left w:val="nil"/>
              <w:bottom w:val="single" w:sz="4" w:space="0" w:color="FFFFFF" w:themeColor="background1"/>
              <w:right w:val="nil"/>
            </w:tcBorders>
            <w:shd w:val="clear" w:color="auto" w:fill="FFFFFF"/>
            <w:tcMar>
              <w:top w:w="72" w:type="dxa"/>
              <w:left w:w="144" w:type="dxa"/>
              <w:bottom w:w="72" w:type="dxa"/>
              <w:right w:w="144" w:type="dxa"/>
            </w:tcMar>
            <w:vAlign w:val="center"/>
            <w:hideMark/>
          </w:tcPr>
          <w:p w14:paraId="4201B8CF"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1.43</w:t>
            </w:r>
          </w:p>
        </w:tc>
        <w:tc>
          <w:tcPr>
            <w:tcW w:w="0" w:type="auto"/>
            <w:tcBorders>
              <w:top w:val="single" w:sz="8" w:space="0" w:color="000000"/>
              <w:left w:val="nil"/>
              <w:bottom w:val="single" w:sz="4" w:space="0" w:color="FFFFFF" w:themeColor="background1"/>
              <w:right w:val="nil"/>
            </w:tcBorders>
            <w:shd w:val="clear" w:color="auto" w:fill="FFFFFF"/>
            <w:tcMar>
              <w:top w:w="72" w:type="dxa"/>
              <w:left w:w="144" w:type="dxa"/>
              <w:bottom w:w="72" w:type="dxa"/>
              <w:right w:w="144" w:type="dxa"/>
            </w:tcMar>
            <w:vAlign w:val="center"/>
            <w:hideMark/>
          </w:tcPr>
          <w:p w14:paraId="571BB457"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1.77</w:t>
            </w:r>
          </w:p>
        </w:tc>
        <w:tc>
          <w:tcPr>
            <w:tcW w:w="963" w:type="dxa"/>
            <w:tcBorders>
              <w:top w:val="single" w:sz="8" w:space="0" w:color="000000"/>
              <w:left w:val="nil"/>
              <w:bottom w:val="single" w:sz="4" w:space="0" w:color="FFFFFF" w:themeColor="background1"/>
              <w:right w:val="nil"/>
            </w:tcBorders>
            <w:shd w:val="clear" w:color="auto" w:fill="FFFFFF"/>
            <w:tcMar>
              <w:top w:w="72" w:type="dxa"/>
              <w:left w:w="144" w:type="dxa"/>
              <w:bottom w:w="72" w:type="dxa"/>
              <w:right w:w="144" w:type="dxa"/>
            </w:tcMar>
            <w:vAlign w:val="center"/>
            <w:hideMark/>
          </w:tcPr>
          <w:p w14:paraId="5CE250F5"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0.88</w:t>
            </w:r>
          </w:p>
        </w:tc>
      </w:tr>
      <w:tr w:rsidR="002608DC" w:rsidRPr="00F11EA8" w14:paraId="7F59E371" w14:textId="77777777" w:rsidTr="006716B6">
        <w:trPr>
          <w:trHeight w:val="57"/>
        </w:trPr>
        <w:tc>
          <w:tcPr>
            <w:tcW w:w="0" w:type="auto"/>
            <w:tcBorders>
              <w:top w:val="single" w:sz="4" w:space="0" w:color="FFFFFF" w:themeColor="background1"/>
              <w:left w:val="nil"/>
              <w:bottom w:val="nil"/>
              <w:right w:val="nil"/>
            </w:tcBorders>
            <w:shd w:val="clear" w:color="auto" w:fill="FFFFFF"/>
            <w:tcMar>
              <w:top w:w="72" w:type="dxa"/>
              <w:left w:w="144" w:type="dxa"/>
              <w:bottom w:w="72" w:type="dxa"/>
              <w:right w:w="144" w:type="dxa"/>
            </w:tcMar>
            <w:vAlign w:val="center"/>
          </w:tcPr>
          <w:p w14:paraId="0F3A5780" w14:textId="3109AF2D" w:rsidR="004E36CC" w:rsidRPr="00F11EA8" w:rsidRDefault="004E36CC" w:rsidP="006716B6">
            <w:pPr>
              <w:spacing w:after="0"/>
              <w:rPr>
                <w:rFonts w:ascii="Times New Roman" w:hAnsi="Times New Roman" w:cs="Times New Roman"/>
                <w:b/>
                <w:bCs/>
                <w:sz w:val="20"/>
                <w:szCs w:val="20"/>
                <w:vertAlign w:val="superscript"/>
              </w:rPr>
            </w:pPr>
            <w:r w:rsidRPr="00F11EA8">
              <w:rPr>
                <w:rFonts w:ascii="Times New Roman" w:hAnsi="Times New Roman" w:cs="Times New Roman"/>
                <w:b/>
                <w:bCs/>
                <w:sz w:val="20"/>
                <w:szCs w:val="20"/>
              </w:rPr>
              <w:t xml:space="preserve">Cortistatin-17 </w:t>
            </w:r>
            <w:r w:rsidR="007529EB">
              <w:rPr>
                <w:rFonts w:ascii="Times New Roman" w:hAnsi="Times New Roman" w:cs="Times New Roman"/>
                <w:b/>
                <w:bCs/>
                <w:sz w:val="20"/>
                <w:szCs w:val="20"/>
              </w:rPr>
              <w:fldChar w:fldCharType="begin"/>
            </w:r>
            <w:r w:rsidR="00015607">
              <w:rPr>
                <w:rFonts w:ascii="Times New Roman" w:hAnsi="Times New Roman" w:cs="Times New Roman"/>
                <w:b/>
                <w:bCs/>
                <w:sz w:val="20"/>
                <w:szCs w:val="20"/>
              </w:rPr>
              <w:instrText xml:space="preserve"> ADDIN ZOTERO_ITEM CSL_CITATION {"citationID":"GChjhXzG","properties":{"formattedCitation":"[11]","plainCitation":"[11]","noteIndex":0},"citationItems":[{"id":2103,"uris":["http://zotero.org/users/9137939/items/GHI5Z6VL"],"itemData":{"id":2103,"type":"article-journal","abstract":"Expressed sequence tags (ESTs) that showed significant homology to rat cortistatin (CST) were found in a human fetal brain cDNA library. A protein coded by the cDNA showed 55% identity to rat preprocortistatin in amino acid. Similarly in the generation of mature peptides from rat preprocortistatin, it was expected that cleavage at dibasic amino acids in the C-terminal portion of the coded protein might produce at least two different sizes of mature peptides with 29 and 17 amino acid residues, respectively. We chemically synthesized the predicted mature peptide with 17 amino acid residues (hCS-17) and examined its biological activities. It bound to all human somatostatin receptor (SSTR) subtypes in almost the same manner as rat CST-14. It also inhibited cAMP production induced by forskolin through SSTRs. Administration of hCS-17 to the cerebral ventricle showed flattening of cortical and hippocampal electroencephalograms in rats. These results indicate that a bioactive peptide encoded by the cDNA is a human counterpart corresponding to rat CST.","container-title":"Biochemical and Biophysical Research Communications","DOI":"10.1006/bbrc.1997.6252","ISSN":"0006-291X","issue":"1","journalAbbreviation":"Biochem Biophys Res Commun","language":"eng","page":"157-163","PMID":"9125122","source":"PubMed","title":"Identification and characterization of a novel human cortistatin-like peptide","volume":"232","author":[{"family":"Fukusumi","given":"S."},{"family":"Kitada","given":"C."},{"family":"Takekawa","given":"S."},{"family":"Kizawa","given":"H."},{"family":"Sakamoto","given":"J."},{"family":"Miyamoto","given":"M."},{"family":"Hinuma","given":"S."},{"family":"Kitano","given":"K."},{"family":"Fujino","given":"M."}],"issued":{"date-parts":[["1997",3,6]]}}}],"schema":"https://github.com/citation-style-language/schema/raw/master/csl-citation.json"} </w:instrText>
            </w:r>
            <w:r w:rsidR="007529EB">
              <w:rPr>
                <w:rFonts w:ascii="Times New Roman" w:hAnsi="Times New Roman" w:cs="Times New Roman"/>
                <w:b/>
                <w:bCs/>
                <w:sz w:val="20"/>
                <w:szCs w:val="20"/>
              </w:rPr>
              <w:fldChar w:fldCharType="separate"/>
            </w:r>
            <w:r w:rsidR="00015607" w:rsidRPr="00015607">
              <w:rPr>
                <w:rFonts w:ascii="Times New Roman" w:hAnsi="Times New Roman" w:cs="Times New Roman"/>
                <w:sz w:val="20"/>
              </w:rPr>
              <w:t>[11]</w:t>
            </w:r>
            <w:r w:rsidR="007529EB">
              <w:rPr>
                <w:rFonts w:ascii="Times New Roman" w:hAnsi="Times New Roman" w:cs="Times New Roman"/>
                <w:b/>
                <w:bCs/>
                <w:sz w:val="20"/>
                <w:szCs w:val="20"/>
              </w:rPr>
              <w:fldChar w:fldCharType="end"/>
            </w:r>
          </w:p>
        </w:tc>
        <w:tc>
          <w:tcPr>
            <w:tcW w:w="0" w:type="auto"/>
            <w:tcBorders>
              <w:top w:val="single" w:sz="4" w:space="0" w:color="FFFFFF" w:themeColor="background1"/>
              <w:left w:val="nil"/>
              <w:bottom w:val="nil"/>
              <w:right w:val="nil"/>
            </w:tcBorders>
            <w:shd w:val="clear" w:color="auto" w:fill="FFFFFF"/>
            <w:tcMar>
              <w:top w:w="72" w:type="dxa"/>
              <w:left w:w="144" w:type="dxa"/>
              <w:bottom w:w="72" w:type="dxa"/>
              <w:right w:w="144" w:type="dxa"/>
            </w:tcMar>
            <w:vAlign w:val="center"/>
          </w:tcPr>
          <w:p w14:paraId="4C3B7A94"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7</w:t>
            </w:r>
          </w:p>
        </w:tc>
        <w:tc>
          <w:tcPr>
            <w:tcW w:w="0" w:type="auto"/>
            <w:tcBorders>
              <w:top w:val="single" w:sz="4" w:space="0" w:color="FFFFFF" w:themeColor="background1"/>
              <w:left w:val="nil"/>
              <w:bottom w:val="nil"/>
              <w:right w:val="nil"/>
            </w:tcBorders>
            <w:shd w:val="clear" w:color="auto" w:fill="FFFFFF"/>
            <w:tcMar>
              <w:top w:w="72" w:type="dxa"/>
              <w:left w:w="144" w:type="dxa"/>
              <w:bottom w:w="72" w:type="dxa"/>
              <w:right w:w="144" w:type="dxa"/>
            </w:tcMar>
            <w:vAlign w:val="center"/>
          </w:tcPr>
          <w:p w14:paraId="20DA58A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0.6</w:t>
            </w:r>
          </w:p>
        </w:tc>
        <w:tc>
          <w:tcPr>
            <w:tcW w:w="1304" w:type="dxa"/>
            <w:tcBorders>
              <w:top w:val="single" w:sz="4" w:space="0" w:color="FFFFFF" w:themeColor="background1"/>
              <w:left w:val="nil"/>
              <w:bottom w:val="nil"/>
              <w:right w:val="nil"/>
            </w:tcBorders>
            <w:shd w:val="clear" w:color="auto" w:fill="FFFFFF"/>
            <w:tcMar>
              <w:top w:w="72" w:type="dxa"/>
              <w:left w:w="144" w:type="dxa"/>
              <w:bottom w:w="72" w:type="dxa"/>
              <w:right w:w="144" w:type="dxa"/>
            </w:tcMar>
            <w:vAlign w:val="center"/>
          </w:tcPr>
          <w:p w14:paraId="738702A9"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0.6</w:t>
            </w:r>
          </w:p>
        </w:tc>
        <w:tc>
          <w:tcPr>
            <w:tcW w:w="0" w:type="auto"/>
            <w:tcBorders>
              <w:top w:val="single" w:sz="4" w:space="0" w:color="FFFFFF" w:themeColor="background1"/>
              <w:left w:val="nil"/>
              <w:bottom w:val="nil"/>
              <w:right w:val="nil"/>
            </w:tcBorders>
            <w:shd w:val="clear" w:color="auto" w:fill="FFFFFF"/>
            <w:tcMar>
              <w:top w:w="72" w:type="dxa"/>
              <w:left w:w="144" w:type="dxa"/>
              <w:bottom w:w="72" w:type="dxa"/>
              <w:right w:w="144" w:type="dxa"/>
            </w:tcMar>
            <w:vAlign w:val="center"/>
          </w:tcPr>
          <w:p w14:paraId="1D7DF5FF"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0.5</w:t>
            </w:r>
          </w:p>
        </w:tc>
        <w:tc>
          <w:tcPr>
            <w:tcW w:w="963" w:type="dxa"/>
            <w:tcBorders>
              <w:top w:val="single" w:sz="4" w:space="0" w:color="FFFFFF" w:themeColor="background1"/>
              <w:left w:val="nil"/>
              <w:bottom w:val="nil"/>
              <w:right w:val="nil"/>
            </w:tcBorders>
            <w:shd w:val="clear" w:color="auto" w:fill="FFFFFF"/>
            <w:tcMar>
              <w:top w:w="72" w:type="dxa"/>
              <w:left w:w="144" w:type="dxa"/>
              <w:bottom w:w="72" w:type="dxa"/>
              <w:right w:w="144" w:type="dxa"/>
            </w:tcMar>
            <w:vAlign w:val="center"/>
          </w:tcPr>
          <w:p w14:paraId="045300FF"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0.4</w:t>
            </w:r>
          </w:p>
        </w:tc>
      </w:tr>
      <w:tr w:rsidR="002608DC" w:rsidRPr="00F11EA8" w14:paraId="6F083946" w14:textId="77777777" w:rsidTr="006716B6">
        <w:trPr>
          <w:trHeight w:val="57"/>
        </w:trPr>
        <w:tc>
          <w:tcPr>
            <w:tcW w:w="0" w:type="auto"/>
            <w:tcBorders>
              <w:top w:val="nil"/>
              <w:left w:val="nil"/>
              <w:bottom w:val="nil"/>
              <w:right w:val="nil"/>
            </w:tcBorders>
            <w:tcMar>
              <w:top w:w="72" w:type="dxa"/>
              <w:left w:w="144" w:type="dxa"/>
              <w:bottom w:w="72" w:type="dxa"/>
              <w:right w:w="144" w:type="dxa"/>
            </w:tcMar>
            <w:vAlign w:val="center"/>
            <w:hideMark/>
          </w:tcPr>
          <w:p w14:paraId="367757B8" w14:textId="7DA5E244" w:rsidR="004E36CC" w:rsidRPr="00F11EA8" w:rsidRDefault="004E36CC" w:rsidP="006716B6">
            <w:pPr>
              <w:spacing w:after="0"/>
              <w:rPr>
                <w:rFonts w:ascii="Times New Roman" w:hAnsi="Times New Roman" w:cs="Times New Roman"/>
                <w:sz w:val="20"/>
                <w:szCs w:val="20"/>
                <w:vertAlign w:val="superscript"/>
                <w:lang w:val="en-US"/>
              </w:rPr>
            </w:pPr>
            <w:proofErr w:type="spellStart"/>
            <w:r w:rsidRPr="00F11EA8">
              <w:rPr>
                <w:rFonts w:ascii="Times New Roman" w:hAnsi="Times New Roman" w:cs="Times New Roman"/>
                <w:b/>
                <w:bCs/>
                <w:sz w:val="20"/>
                <w:szCs w:val="20"/>
              </w:rPr>
              <w:t>Octreotide</w:t>
            </w:r>
            <w:proofErr w:type="spellEnd"/>
            <w:r w:rsidRPr="00F11EA8">
              <w:rPr>
                <w:rFonts w:ascii="Times New Roman" w:hAnsi="Times New Roman" w:cs="Times New Roman"/>
                <w:b/>
                <w:bCs/>
                <w:sz w:val="20"/>
                <w:szCs w:val="20"/>
              </w:rPr>
              <w:t xml:space="preserve"> </w:t>
            </w:r>
            <w:r w:rsidR="00435176" w:rsidRPr="00F11EA8">
              <w:rPr>
                <w:rFonts w:ascii="Times New Roman" w:hAnsi="Times New Roman" w:cs="Times New Roman"/>
                <w:b/>
                <w:bCs/>
                <w:sz w:val="20"/>
                <w:szCs w:val="20"/>
              </w:rPr>
              <w:fldChar w:fldCharType="begin"/>
            </w:r>
            <w:r w:rsidR="00724F37">
              <w:rPr>
                <w:rFonts w:ascii="Times New Roman" w:hAnsi="Times New Roman" w:cs="Times New Roman"/>
                <w:b/>
                <w:bCs/>
                <w:sz w:val="20"/>
                <w:szCs w:val="20"/>
              </w:rPr>
              <w:instrText xml:space="preserve"> ADDIN ZOTERO_ITEM CSL_CITATION {"citationID":"meyn1Lg3","properties":{"formattedCitation":"[13]","plainCitation":"[13]","noteIndex":0},"citationItems":[{"id":"Ir82PTlG/aNBUlV0F","uris":["http://zotero.org/users/9137939/items/7QPDZGDV"],"itemData":{"id":"JeEkpaw2/gLfZJZGW","type":"article-journal","abstract":"We previously demonstrated that somatostatin (SRIF)-induced inhibition of GH secretion from human pituitary cells is mediated through both the SRIF receptor (SSTR) 2 and 5 subtypes. The interplay between these two SSTR subtypes in regulating GH was therefore tested in primary human fetal pituitary cultures (18-30 wk gestation). GHRH (10 nM)-stimulated GH secretion (51% increase, P &lt; 0.05) was suppressed equally by either SSTR2 or SSTR5-selective agonists (10 nM). GH suppression correlated with agonist affinity for their respective receptor subtypes. Combined addition of SSTR2- and SSTR5-specific agonists was synergistic for GH suppression, achieving 73% (P &lt; 0.05) inhibition as compared with inhibition attained with SSTR2 (32%) and SSTR5 (34%) agonists used alone (P &lt; 0.05). The SSTR2 selective antagonist BIM-23454 dose-dependently blocked SSTR2 but not SSTR5-induced suppression of GH secretion. BIM-23454 also completely reversed GH suppression in response to the combined activation of SSTR2 and SSTR5. The IC(50) for BIM-23454 reversal of agonist-induced GH suppression was 55 nM and 33 nM for two SSTR2 agonists, 45 nM and 40 nM for the combination of SSTR2 and SSTR5 agonists, respectively, and 45 nM for the SSTR2/SSTR5 agonist BIM-23244, all of which were similar to the affinity of BIM-23454 for SSTR2 (32 nM). These results suggest the following: 1) activation of both SSTR2 and SSTR5 induces a functional association of receptor subtypes, resulting in synergistic GH suppression; 2) BIM-23454 is a potent SSTR2-selective antagonist capable of reversing SRIF-induced GH suppression; and 3) the ability of a selective SSTR2 antagonist to inhibit the GH suppressing action of SSTR2 agonist alone, SSTR2/SSTR5 biselective agonists, or SSTR2 and SSTR5 agonists in combination support the concept of a functional interaction between somatotroph SSTR2 and SSTR5 subtypes in primary human fetal pituitary cells.","container-title":"The Journal of Clinical Endocrinology and Metabolism","DOI":"10.1210/jc.2003-030303","ISSN":"0021-972X","issue":"9","journalAbbreviation":"J Clin Endocrinol Metab","language":"eng","note":"PMID: 12970293","page":"4239-4245","source":"PubMed","title":"Functional association of somatostatin receptor subtypes 2 and 5 in inhibiting human growth hormone secretion","volume":"88","author":[{"family":"Ren","given":"Song-Guang"},{"family":"Taylor","given":"John"},{"family":"Dong","given":"Jesse"},{"family":"Yu","given":"Run"},{"family":"Culler","given":"Michael D."},{"family":"Melmed","given":"Shlomo"}],"issued":{"date-parts":[["2003",9]]}}}],"schema":"https://github.com/citation-style-language/schema/raw/master/csl-citation.json"}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[13]</w:t>
            </w:r>
            <w:r w:rsidR="00435176" w:rsidRPr="00F11EA8">
              <w:rPr>
                <w:rFonts w:ascii="Times New Roman" w:hAnsi="Times New Roman" w:cs="Times New Roman"/>
                <w:b/>
                <w:bCs/>
                <w:sz w:val="20"/>
                <w:szCs w:val="20"/>
              </w:rPr>
              <w:fldChar w:fldCharType="end"/>
            </w:r>
          </w:p>
        </w:tc>
        <w:tc>
          <w:tcPr>
            <w:tcW w:w="0" w:type="auto"/>
            <w:tcBorders>
              <w:top w:val="nil"/>
              <w:left w:val="nil"/>
              <w:bottom w:val="nil"/>
              <w:right w:val="nil"/>
            </w:tcBorders>
            <w:tcMar>
              <w:top w:w="72" w:type="dxa"/>
              <w:left w:w="144" w:type="dxa"/>
              <w:bottom w:w="72" w:type="dxa"/>
              <w:right w:w="144" w:type="dxa"/>
            </w:tcMar>
            <w:vAlign w:val="center"/>
            <w:hideMark/>
          </w:tcPr>
          <w:p w14:paraId="1B6CF674"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1140</w:t>
            </w:r>
          </w:p>
        </w:tc>
        <w:tc>
          <w:tcPr>
            <w:tcW w:w="0" w:type="auto"/>
            <w:tcBorders>
              <w:top w:val="nil"/>
              <w:left w:val="nil"/>
              <w:bottom w:val="nil"/>
              <w:right w:val="nil"/>
            </w:tcBorders>
            <w:tcMar>
              <w:top w:w="72" w:type="dxa"/>
              <w:left w:w="144" w:type="dxa"/>
              <w:bottom w:w="72" w:type="dxa"/>
              <w:right w:w="144" w:type="dxa"/>
            </w:tcMar>
            <w:vAlign w:val="center"/>
            <w:hideMark/>
          </w:tcPr>
          <w:p w14:paraId="3E3773FE"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0.56</w:t>
            </w:r>
          </w:p>
        </w:tc>
        <w:tc>
          <w:tcPr>
            <w:tcW w:w="1304" w:type="dxa"/>
            <w:tcBorders>
              <w:top w:val="nil"/>
              <w:left w:val="nil"/>
              <w:bottom w:val="nil"/>
              <w:right w:val="nil"/>
            </w:tcBorders>
            <w:tcMar>
              <w:top w:w="72" w:type="dxa"/>
              <w:left w:w="144" w:type="dxa"/>
              <w:bottom w:w="72" w:type="dxa"/>
              <w:right w:w="144" w:type="dxa"/>
            </w:tcMar>
            <w:vAlign w:val="center"/>
            <w:hideMark/>
          </w:tcPr>
          <w:p w14:paraId="7069A56C"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34.5</w:t>
            </w:r>
          </w:p>
        </w:tc>
        <w:tc>
          <w:tcPr>
            <w:tcW w:w="0" w:type="auto"/>
            <w:tcBorders>
              <w:top w:val="nil"/>
              <w:left w:val="nil"/>
              <w:bottom w:val="nil"/>
              <w:right w:val="nil"/>
            </w:tcBorders>
            <w:tcMar>
              <w:top w:w="72" w:type="dxa"/>
              <w:left w:w="144" w:type="dxa"/>
              <w:bottom w:w="72" w:type="dxa"/>
              <w:right w:w="144" w:type="dxa"/>
            </w:tcMar>
            <w:vAlign w:val="center"/>
            <w:hideMark/>
          </w:tcPr>
          <w:p w14:paraId="1FFC0B62"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7030</w:t>
            </w:r>
          </w:p>
        </w:tc>
        <w:tc>
          <w:tcPr>
            <w:tcW w:w="963" w:type="dxa"/>
            <w:tcBorders>
              <w:top w:val="nil"/>
              <w:left w:val="nil"/>
              <w:bottom w:val="nil"/>
              <w:right w:val="nil"/>
            </w:tcBorders>
            <w:tcMar>
              <w:top w:w="72" w:type="dxa"/>
              <w:left w:w="144" w:type="dxa"/>
              <w:bottom w:w="72" w:type="dxa"/>
              <w:right w:w="144" w:type="dxa"/>
            </w:tcMar>
            <w:vAlign w:val="center"/>
            <w:hideMark/>
          </w:tcPr>
          <w:p w14:paraId="234D7EDA"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7</w:t>
            </w:r>
          </w:p>
        </w:tc>
      </w:tr>
      <w:tr w:rsidR="002608DC" w:rsidRPr="00F11EA8" w14:paraId="45294846" w14:textId="77777777" w:rsidTr="006716B6">
        <w:trPr>
          <w:trHeight w:val="57"/>
        </w:trPr>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298A2898" w14:textId="45B28998" w:rsidR="004E36CC" w:rsidRPr="00F11EA8" w:rsidRDefault="004E36CC" w:rsidP="006716B6">
            <w:pPr>
              <w:spacing w:after="0"/>
              <w:rPr>
                <w:rFonts w:ascii="Times New Roman" w:hAnsi="Times New Roman" w:cs="Times New Roman"/>
                <w:sz w:val="20"/>
                <w:szCs w:val="20"/>
                <w:lang w:val="en-US"/>
              </w:rPr>
            </w:pPr>
            <w:r w:rsidRPr="00F11EA8">
              <w:rPr>
                <w:rFonts w:ascii="Times New Roman" w:hAnsi="Times New Roman" w:cs="Times New Roman"/>
                <w:b/>
                <w:bCs/>
                <w:sz w:val="20"/>
                <w:szCs w:val="20"/>
              </w:rPr>
              <w:t xml:space="preserve">Pasireotide </w:t>
            </w:r>
            <w:r w:rsidR="00435176" w:rsidRPr="00F11EA8">
              <w:rPr>
                <w:rFonts w:ascii="Times New Roman" w:hAnsi="Times New Roman" w:cs="Times New Roman"/>
                <w:b/>
                <w:bCs/>
                <w:sz w:val="20"/>
                <w:szCs w:val="20"/>
              </w:rPr>
              <w:fldChar w:fldCharType="begin"/>
            </w:r>
            <w:r w:rsidR="00724F37">
              <w:rPr>
                <w:rFonts w:ascii="Times New Roman" w:hAnsi="Times New Roman" w:cs="Times New Roman"/>
                <w:b/>
                <w:bCs/>
                <w:sz w:val="20"/>
                <w:szCs w:val="20"/>
              </w:rPr>
              <w:instrText xml:space="preserve"> ADDIN ZOTERO_ITEM CSL_CITATION {"citationID":"CJlRrIyn","properties":{"formattedCitation":"[15]","plainCitation":"[15]","noteIndex":0},"citationItems":[{"id":"Ir82PTlG/AmHA8LBJ","uris":["http://zotero.org/users/9137939/items/R3TQ95A3"],"itemData":{"id":"JeEkpaw2/QiBsnAIc","type":"article-journal","abstract":"OBJECTIVE: The aim of the present study was to identify a small, metabolically stable somatotropin release inhibiting factor (SRIF) analog with a more universal binding profile similar to that of natural somatostatin, resulting in improved pharmacological properties and hence new therapeutic uses. DESIGN: A rational drug design approach was followed by synthesizing alanine-substituted SRIF-14 analogs to determine the importance of single amino acids in SRIF-14 for SRIF receptor subtype binding. The incorporation of structural elements of SRIF-14 in a stable cyclohexapeptide template in the form of modified unnatural amino acids resulted in the identification of the novel cyclohexapeptide SOM230. RESULTS: SOM230 binds with high affinity to SRIF receptor subtypes sst1, sst2, sst3 and sst5 and displays a 30- to 40-fold higher affinity for sst1 and sst5 than Sandostatin (octreotide; SMS 201-995) or Somatuline (BIM 23014). In vitro, SOM230 effectively inhibited the growth hormone releasing hormone (GHRH)-induced growth hormone (GH) release in primary cultures of rat pituitary cells with an IC(50) of 0.4+/-0.1 nmol/l (n=5). In vivo, SOM230 also potently suppressed GH secretion in rats. The ED(50) values determined at 1 h and 6 h post injection of SOM230 indicated its very long duration of action in vivo. This property was also reflected in pharmacokinetic studies comparing plasma levels of SMS 201-995 and SOM230 after subcutaneous application. Whereas SMS 201-995 had a terminal elimination half life of 2 h, this was markedly prolonged in SOM230-treated animals (t(1/2)=23 h). Furthermore, in rats SOM230 demonstrated a much higher efficacy in lowering plasma insulin-like growth factor-I (IGF-I) levels compared with SMS 201-995. The infusion of 10 microg/kg/h of SOM230 using subcutaneously implanted minipumps decreased plasma IGF-I levels far more effectively than SMS 201-995. After 126 days of continuous infusion of SOM230 plasma IGF-I levels were decreased by 75% of placebo-treated control animals. For comparison SMS 201-995, when used under the same experimental conditions, resulted in only a 28% reduction of plasma IGF-I levels, indicating a much higher efficacy for SOM230 in this animal model. It is important to note that the inhibitory effect of SOM230 was relatively selective for GH and IGF-I in that insulin and glucagon secretion was inhibited only at higher doses of SOM230. This lack of potent inhibition of insulin and glucagon release was also reflected in the lack of effect on plasma glucose levels. Even after high dose treatment over 126 days no obvious adverse side effects were noticed, including changes in plasma glucose levels. CONCLUSION: We have identified a novel short synthetic SRIF peptidomimetic, which exhibits high affinity binding to four of the five human SRIF receptor subtypes and has potent, long lasting inhibitory effects on GH and IGF-I release. Therefore SOM230 is a promising development candidate for effective GH and IGF-I inhibition and is currently under evaluation in phase 1 clinical trials.","container-title":"European Journal of Endocrinology","DOI":"10.1530/eje.0.1460707","ISSN":"0804-4643, 1479-683X","issue":"5","journalAbbreviation":"Eur J Endocrinol","page":"707-716","source":"DOI.org (Crossref)","title":"SOM230: a novel somatostatin peptidomimetic with broad somatotropin release inhibiting factor (SRIF) receptor binding and a unique antisecretory profile","title-short":"SOM230","volume":"146","author":[{"family":"Bruns","given":"C"},{"family":"Lewis","given":"I"},{"family":"Briner","given":"U"},{"family":"Meno-Tetang","given":"G"},{"family":"Weckbecker","given":"G"}],"issued":{"date-parts":[["2002",5,1]]}}}],"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[15]</w:t>
            </w:r>
            <w:r w:rsidR="00435176" w:rsidRPr="00F11EA8">
              <w:rPr>
                <w:rFonts w:ascii="Times New Roman" w:hAnsi="Times New Roman" w:cs="Times New Roman"/>
                <w:b/>
                <w:bCs/>
                <w:sz w:val="20"/>
                <w:szCs w:val="20"/>
              </w:rPr>
              <w:fldChar w:fldCharType="end"/>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344413EE"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9.3</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32BD5A98"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w:t>
            </w:r>
          </w:p>
        </w:tc>
        <w:tc>
          <w:tcPr>
            <w:tcW w:w="1304" w:type="dxa"/>
            <w:tcBorders>
              <w:top w:val="nil"/>
              <w:left w:val="nil"/>
              <w:bottom w:val="nil"/>
              <w:right w:val="nil"/>
            </w:tcBorders>
            <w:shd w:val="clear" w:color="auto" w:fill="FFFFFF"/>
            <w:tcMar>
              <w:top w:w="72" w:type="dxa"/>
              <w:left w:w="144" w:type="dxa"/>
              <w:bottom w:w="72" w:type="dxa"/>
              <w:right w:w="144" w:type="dxa"/>
            </w:tcMar>
            <w:vAlign w:val="center"/>
            <w:hideMark/>
          </w:tcPr>
          <w:p w14:paraId="2549377C"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1.5</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04E267B8"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&gt;100</w:t>
            </w:r>
          </w:p>
        </w:tc>
        <w:tc>
          <w:tcPr>
            <w:tcW w:w="963" w:type="dxa"/>
            <w:tcBorders>
              <w:top w:val="nil"/>
              <w:left w:val="nil"/>
              <w:bottom w:val="nil"/>
              <w:right w:val="nil"/>
            </w:tcBorders>
            <w:shd w:val="clear" w:color="auto" w:fill="FFFFFF"/>
            <w:tcMar>
              <w:top w:w="72" w:type="dxa"/>
              <w:left w:w="144" w:type="dxa"/>
              <w:bottom w:w="72" w:type="dxa"/>
              <w:right w:w="144" w:type="dxa"/>
            </w:tcMar>
            <w:vAlign w:val="center"/>
            <w:hideMark/>
          </w:tcPr>
          <w:p w14:paraId="7CB19EE2"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0.16</w:t>
            </w:r>
          </w:p>
        </w:tc>
      </w:tr>
      <w:tr w:rsidR="002608DC" w:rsidRPr="00F11EA8" w14:paraId="74F1F701" w14:textId="77777777" w:rsidTr="006716B6">
        <w:trPr>
          <w:trHeight w:val="57"/>
        </w:trPr>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5BC68F27" w14:textId="4364EA72" w:rsidR="004E36CC" w:rsidRPr="00F11EA8" w:rsidRDefault="004E36CC" w:rsidP="006716B6">
            <w:pPr>
              <w:spacing w:after="0"/>
              <w:rPr>
                <w:rFonts w:ascii="Times New Roman" w:hAnsi="Times New Roman" w:cs="Times New Roman"/>
                <w:sz w:val="20"/>
                <w:szCs w:val="20"/>
                <w:lang w:val="en-US"/>
              </w:rPr>
            </w:pPr>
            <w:r w:rsidRPr="00F11EA8">
              <w:rPr>
                <w:rFonts w:ascii="Times New Roman" w:hAnsi="Times New Roman" w:cs="Times New Roman"/>
                <w:b/>
                <w:bCs/>
                <w:sz w:val="20"/>
                <w:szCs w:val="20"/>
              </w:rPr>
              <w:t xml:space="preserve">BIM-23120 </w:t>
            </w:r>
            <w:r w:rsidR="00435176" w:rsidRPr="00F11EA8">
              <w:rPr>
                <w:rFonts w:ascii="Times New Roman" w:hAnsi="Times New Roman" w:cs="Times New Roman"/>
                <w:b/>
                <w:bCs/>
                <w:sz w:val="20"/>
                <w:szCs w:val="20"/>
              </w:rPr>
              <w:fldChar w:fldCharType="begin"/>
            </w:r>
            <w:r w:rsidR="00724F37">
              <w:rPr>
                <w:rFonts w:ascii="Times New Roman" w:hAnsi="Times New Roman" w:cs="Times New Roman"/>
                <w:b/>
                <w:bCs/>
                <w:sz w:val="20"/>
                <w:szCs w:val="20"/>
              </w:rPr>
              <w:instrText xml:space="preserve"> ADDIN ZOTERO_ITEM CSL_CITATION {"citationID":"ATUX2EQI","properties":{"formattedCitation":"[12]","plainCitation":"[12]","noteIndex":0},"citationItems":[{"id":"Ir82PTlG/fasJH5KS","uris":["http://zotero.org/users/9137939/items/KI6JS9XG"],"itemData":{"id":"JeEkpaw2/O1SiTdkS","type":"article-journal","abstract":"We tested effects of selective somatostatin receptor 2 (SST2) agonist BIM-23120, SST5 agonist BIM-23206 and chimeric somatostatin-dopamine molecules (SRIF/DA) BIM-23A760 and BIM-23A761 on GH and PRL secretion and gene expression in human GH/PRL-secreting pituitary tumors in vitro. In \"responders\" group BIM-23120 suppressed GH levels by 26±4%, BIM-23206 by 31±5%, BIM-23A760 by 23±4%, BIM-23A761 by 39±8% and D(2)-dopamine agonist BIM-53097 by 31±5%. Using real-time PCR we demonstrated that GH inhibition was not accompanied by decreased GH mRNA levels. PRL secretion was inhibited by BIM-23A760 (29±5%), BIM-23A761 (34±4%), BIM-23206 (26±4%) and BIM-53097 (36±2%). SRIF/DA and BIM-53097 also suppressed PRL mRNA levels. Concluding, SST2 and SST5 agonists and SRIF/DA inhibit GH secretion, but do not suppress GH gene transcription. SRIF/DA and BIM-53097 inhibit both PRL secretion and PRL gene expression. SST5 agonist inhibits PRL secretion, but does not suppress PRL gene expression. D(2) affinity is crucial in SRIF/DA action on PRL gene expression.","container-title":"Molecular and Cellular Endocrinology","DOI":"10.1016/j.mce.2012.05.020","ISSN":"1872-8057","issue":"1-2","journalAbbreviation":"Mol Cell Endocrinol","language":"eng","note":"PMID: 22705877","page":"104-109","source":"PubMed","title":"Somatostatin analogs and chimeric somatostatin-dopamine molecules differentially regulate human growth hormone and prolactin gene expression and secretion in vitro","volume":"362","author":[{"family":"Gruszka","given":"Anna"},{"family":"Culler","given":"Michael D."},{"family":"Melmed","given":"Shlomo"}],"issued":{"date-parts":[["2012",10,15]]}}}],"schema":"https://github.com/citation-style-language/schema/raw/master/csl-citation.json"}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[12]</w:t>
            </w:r>
            <w:r w:rsidR="00435176" w:rsidRPr="00F11EA8">
              <w:rPr>
                <w:rFonts w:ascii="Times New Roman" w:hAnsi="Times New Roman" w:cs="Times New Roman"/>
                <w:b/>
                <w:bCs/>
                <w:sz w:val="20"/>
                <w:szCs w:val="20"/>
              </w:rPr>
              <w:fldChar w:fldCharType="end"/>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6B6EB052"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1000</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106F1BE0"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0.34</w:t>
            </w:r>
          </w:p>
        </w:tc>
        <w:tc>
          <w:tcPr>
            <w:tcW w:w="1304" w:type="dxa"/>
            <w:tcBorders>
              <w:top w:val="nil"/>
              <w:left w:val="nil"/>
              <w:bottom w:val="nil"/>
              <w:right w:val="nil"/>
            </w:tcBorders>
            <w:shd w:val="clear" w:color="auto" w:fill="FFFFFF"/>
            <w:tcMar>
              <w:top w:w="72" w:type="dxa"/>
              <w:left w:w="144" w:type="dxa"/>
              <w:bottom w:w="72" w:type="dxa"/>
              <w:right w:w="144" w:type="dxa"/>
            </w:tcMar>
            <w:vAlign w:val="center"/>
            <w:hideMark/>
          </w:tcPr>
          <w:p w14:paraId="118D0B03"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412</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6AEC3320"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1000</w:t>
            </w:r>
          </w:p>
        </w:tc>
        <w:tc>
          <w:tcPr>
            <w:tcW w:w="963" w:type="dxa"/>
            <w:tcBorders>
              <w:top w:val="nil"/>
              <w:left w:val="nil"/>
              <w:bottom w:val="nil"/>
              <w:right w:val="nil"/>
            </w:tcBorders>
            <w:shd w:val="clear" w:color="auto" w:fill="FFFFFF"/>
            <w:tcMar>
              <w:top w:w="72" w:type="dxa"/>
              <w:left w:w="144" w:type="dxa"/>
              <w:bottom w:w="72" w:type="dxa"/>
              <w:right w:w="144" w:type="dxa"/>
            </w:tcMar>
            <w:vAlign w:val="center"/>
            <w:hideMark/>
          </w:tcPr>
          <w:p w14:paraId="027245F2"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213.5</w:t>
            </w:r>
          </w:p>
        </w:tc>
      </w:tr>
      <w:tr w:rsidR="002608DC" w:rsidRPr="00F11EA8" w14:paraId="5E9ACEB3" w14:textId="77777777" w:rsidTr="006716B6">
        <w:trPr>
          <w:trHeight w:val="57"/>
        </w:trPr>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019DD403" w14:textId="4802827D" w:rsidR="004E36CC" w:rsidRPr="00F11EA8" w:rsidRDefault="004E36CC" w:rsidP="006716B6">
            <w:pPr>
              <w:spacing w:after="0"/>
              <w:rPr>
                <w:rFonts w:ascii="Times New Roman" w:hAnsi="Times New Roman" w:cs="Times New Roman"/>
                <w:sz w:val="20"/>
                <w:szCs w:val="20"/>
                <w:lang w:val="en-US"/>
              </w:rPr>
            </w:pPr>
            <w:r w:rsidRPr="00F11EA8">
              <w:rPr>
                <w:rFonts w:ascii="Times New Roman" w:hAnsi="Times New Roman" w:cs="Times New Roman"/>
                <w:b/>
                <w:bCs/>
                <w:sz w:val="20"/>
                <w:szCs w:val="20"/>
              </w:rPr>
              <w:t xml:space="preserve">BIM-23206 </w:t>
            </w:r>
            <w:r w:rsidR="00435176" w:rsidRPr="00F11EA8">
              <w:rPr>
                <w:rFonts w:ascii="Times New Roman" w:hAnsi="Times New Roman" w:cs="Times New Roman"/>
                <w:b/>
                <w:bCs/>
                <w:sz w:val="20"/>
                <w:szCs w:val="20"/>
              </w:rPr>
              <w:fldChar w:fldCharType="begin"/>
            </w:r>
            <w:r w:rsidR="00435176" w:rsidRPr="00F11EA8">
              <w:rPr>
                <w:rFonts w:ascii="Times New Roman" w:hAnsi="Times New Roman" w:cs="Times New Roman"/>
                <w:b/>
                <w:bCs/>
                <w:sz w:val="20"/>
                <w:szCs w:val="20"/>
              </w:rPr>
              <w:instrText xml:space="preserve"> ADDIN ZOTERO_ITEM CSL_CITATION {"citationID":"BgRa4sWn","properties":{"formattedCitation":"[14]","plainCitation":"[14]","noteIndex":0},"citationItems":[{"id":272,"uris":["http://zotero.org/users/9137939/items/H8W7HJW2"],"itemData":{"id":272,"type":"article-journal","abstract":"Somatostatin is a polypeptide hormone acting as an inhibitor of pituitary, pancreatic, and gastrointestinal secretion through specific membrane receptors of which five subtypes have been cloned (sst1–5). Somatostatin analogs are used in the clinic to treat patients with excessive hormone production due to a neuroendocrine tumor. The aim of this study was to investigate the biological activity of three new somatostatin receptor subtype selective analogs (BIM-23926, sst1-selective; BIM-23120, sst2-selective; and BIM-23206, sst5-selective) in the human neuroendocrine tumor cell line, BON-1, which expresses sst1, sst2, and sst5 natively. Somatostatin-14 and octreotide were used as reference substances. Forskolin-induced cAMP accumulation and chromogranin A (CgA) secretion were inhibited by BIM-23120, BIM-23206, and somatostatin-14 in a dose-dependent manner. Cholecystokinin (CCK-8) stimulated activation of mitogen-activated protein (MAP) kinase was inhibited by BIM-23120 and BIM-23206, while BIM-23926 stimulated the activity. Selective BIM analogs showed a more efficient inhibitory effect on cAMP accumulation, CgA secretion, and MAP kinase activity than octreotide in BON-1 cells. This may be explained by the differences in affinity of the ligand to the receptor or by interaction between different sst subtypes. We conclude that increasing knowledge about sst physiology and expression in malignant disease indicates a need for new analogs that can be incorporated into the therapeutic arsenal.","container-title":"Medical Oncology","DOI":"10.1385/MO:21:3:285","ISSN":"1559-131X","issue":"3","journalAbbreviation":"Med Oncol","language":"en","page":"285-295","source":"Springer Link","title":"Subtype selective interactions of somatostatin and somatostatin analogs with sst1, sst2, and sst5 in BON-1 cells","volume":"21","author":[{"family":"Ludvigsen","given":"Eva"},{"family":"Stridsberg","given":"Mats"},{"family":"Taylor","given":"John E."},{"family":"Culler","given":"Michael D."},{"family":"Öberg","given":"Kjell"},{"family":"Janson","given":"Eva T."}],"issued":{"date-parts":[["2004",9,1]]}}}],"schema":"https://github.com/citation-style-language/schema/raw/master/csl-citation.json"}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[14]</w:t>
            </w:r>
            <w:r w:rsidR="00435176" w:rsidRPr="00F11EA8">
              <w:rPr>
                <w:rFonts w:ascii="Times New Roman" w:hAnsi="Times New Roman" w:cs="Times New Roman"/>
                <w:b/>
                <w:bCs/>
                <w:sz w:val="20"/>
                <w:szCs w:val="20"/>
              </w:rPr>
              <w:fldChar w:fldCharType="end"/>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1EDB17D6"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1152</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562E2EAE"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166</w:t>
            </w:r>
          </w:p>
        </w:tc>
        <w:tc>
          <w:tcPr>
            <w:tcW w:w="1304" w:type="dxa"/>
            <w:tcBorders>
              <w:top w:val="nil"/>
              <w:left w:val="nil"/>
              <w:bottom w:val="nil"/>
              <w:right w:val="nil"/>
            </w:tcBorders>
            <w:shd w:val="clear" w:color="auto" w:fill="FFFFFF"/>
            <w:tcMar>
              <w:top w:w="72" w:type="dxa"/>
              <w:left w:w="144" w:type="dxa"/>
              <w:bottom w:w="72" w:type="dxa"/>
              <w:right w:w="144" w:type="dxa"/>
            </w:tcMar>
            <w:vAlign w:val="center"/>
            <w:hideMark/>
          </w:tcPr>
          <w:p w14:paraId="44C1A88F"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1000</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546C41ED"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1618</w:t>
            </w:r>
          </w:p>
        </w:tc>
        <w:tc>
          <w:tcPr>
            <w:tcW w:w="963" w:type="dxa"/>
            <w:tcBorders>
              <w:top w:val="nil"/>
              <w:left w:val="nil"/>
              <w:bottom w:val="nil"/>
              <w:right w:val="nil"/>
            </w:tcBorders>
            <w:shd w:val="clear" w:color="auto" w:fill="FFFFFF"/>
            <w:tcMar>
              <w:top w:w="72" w:type="dxa"/>
              <w:left w:w="144" w:type="dxa"/>
              <w:bottom w:w="72" w:type="dxa"/>
              <w:right w:w="144" w:type="dxa"/>
            </w:tcMar>
            <w:vAlign w:val="center"/>
            <w:hideMark/>
          </w:tcPr>
          <w:p w14:paraId="582A01FB"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2.4</w:t>
            </w:r>
          </w:p>
        </w:tc>
      </w:tr>
      <w:tr w:rsidR="002608DC" w:rsidRPr="00F11EA8" w14:paraId="18FA2519" w14:textId="77777777" w:rsidTr="006716B6">
        <w:trPr>
          <w:trHeight w:val="57"/>
        </w:trPr>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73F8A508" w14:textId="6996CEA0" w:rsidR="004E36CC" w:rsidRPr="00F11EA8" w:rsidRDefault="004E36CC" w:rsidP="006716B6">
            <w:pPr>
              <w:spacing w:after="0"/>
              <w:rPr>
                <w:rFonts w:ascii="Times New Roman" w:hAnsi="Times New Roman" w:cs="Times New Roman"/>
                <w:sz w:val="20"/>
                <w:szCs w:val="20"/>
                <w:lang w:val="en-US"/>
              </w:rPr>
            </w:pPr>
            <w:r w:rsidRPr="00F11EA8">
              <w:rPr>
                <w:rFonts w:ascii="Times New Roman" w:hAnsi="Times New Roman" w:cs="Times New Roman"/>
                <w:b/>
                <w:bCs/>
                <w:sz w:val="20"/>
                <w:szCs w:val="20"/>
              </w:rPr>
              <w:t xml:space="preserve">BIM-355 </w:t>
            </w:r>
            <w:r w:rsidR="00435176" w:rsidRPr="00F11EA8">
              <w:rPr>
                <w:rFonts w:ascii="Times New Roman" w:hAnsi="Times New Roman" w:cs="Times New Roman"/>
                <w:b/>
                <w:bCs/>
                <w:sz w:val="20"/>
                <w:szCs w:val="20"/>
              </w:rPr>
              <w:fldChar w:fldCharType="begin"/>
            </w:r>
            <w:r w:rsidR="00724F37">
              <w:rPr>
                <w:rFonts w:ascii="Times New Roman" w:hAnsi="Times New Roman" w:cs="Times New Roman"/>
                <w:b/>
                <w:bCs/>
                <w:sz w:val="20"/>
                <w:szCs w:val="20"/>
              </w:rPr>
              <w:instrText xml:space="preserve"> ADDIN ZOTERO_ITEM CSL_CITATION {"citationID":"70Ob3Fzn","properties":{"formattedCitation":"[16]","plainCitation":"[16]","noteIndex":0},"citationItems":[{"id":"Ir82PTlG/9E0ElFV6","uris":["http://zotero.org/users/9137939/items/LBT6GXRP"],"itemData":{"id":"JeEkpaw2/P4ZgD80X","type":"article-journal","abstract":"PURPOSE: Somatostatin analogues (SSA) are efficacious and safe treatments for a variety of neuroendocrine tumors, especially pituitary neuroendocrine tumors (PitNET). Their therapeutic effects are mainly mediated by somatostatin receptors SST2 and SST5. Most SSAs, such as octreotide/lanreotide/pasireotide, are either nonselective or activate mainly SST2. However, nonfunctioning pituitary tumors (NFPTs), the most common PitNET type, mainly express SST3 and finding peptides that activate this particular somatostatin receptor has been very challenging. Therefore, the main objective of this study was to identify SST3-agonists and characterize their effects on experimental NFPT models.\nEXPERIMENTAL DESIGN: Binding to SSTs and cAMP level determinations were used to screen a peptide library and identify SST3-agonists. Key functional parameters (cell viability/caspase activity/chromogranin-A secretion/mRNA expression/intracellular signaling pathways) were assessed on NFPT primary cell cultures in response to SST3-agonists. Tumor growth was assessed in a preclinical PitNET mouse model treated with a SST3-agonist.\nRESULTS: We successfully identified the first SST3-agonist peptides. SST3-agonists lowered cell viability and chromogranin-A secretion, increased apoptosis in vitro, and reduced tumor growth in a preclinical PitNET model. As expected, inhibition of cell viability in response to SST3-agonists defined two NFPT populations: responsive and unresponsive, wherein responsive NFPTs expressed more SST3 than unresponsive NFPTs and exhibited a profound reduction of MAPK, PI3K-AKT/mTOR, and JAK/STAT signaling pathways upon SST3-agonist treatments. Concurrently, SSTR3 silencing increased cell viability in a subset of NFPTs.\nCONCLUSIONS: This study demonstrates that SST3-agonists activate signaling mechanisms that reduce NFPT cell viability and inhibit pituitary tumor growth in experimental models that expresses SST3, suggesting that targeting this receptor could be an efficacious treatment for NFPTs.","container-title":"Clinical Cancer Research: An Official Journal of the American Association for Cancer Research","DOI":"10.1158/1078-0432.CCR-19-2154","ISSN":"1557-3265","issue":"4","journalAbbreviation":"Clin Cancer Res","language":"eng","note":"PMID: 31624102","page":"957-969","source":"PubMed","title":"A Somatostatin Receptor Subtype-3 (SST3) Peptide Agonist Shows Antitumor Effects in Experimental Models of Nonfunctioning Pituitary Tumors","volume":"26","author":[{"family":"Vázquez-Borrego","given":"Mari C."},{"family":"Gupta","given":"Vandana"},{"family":"Ibáñez-Costa","given":"Alejandro"},{"family":"Gahete","given":"Manuel D."},{"family":"Venegas-Moreno","given":"Eva"},{"family":"Toledano-Delgado","given":"Álvaro"},{"family":"Cano","given":"David A."},{"family":"Blanco-Acevedo","given":"Cristóbal"},{"family":"Ortega-Salas","given":"Rosa"},{"family":"Japón","given":"Miguel A."},{"family":"Barrera-Martín","given":"Ana"},{"family":"Vasiljevic","given":"Alexandre"},{"family":"Hill","given":"Jason"},{"family":"Zhang","given":"Shengwen"},{"family":"Halem","given":"Heather"},{"family":"Solivera","given":"Juan"},{"family":"Raverot","given":"Gérald"},{"family":"Gálvez","given":"María A."},{"family":"Soto-Moreno","given":"Alfonso"},{"family":"Paez-Pereda","given":"Marcelo"},{"family":"Culler","given":"Michael D."},{"family":"Castaño","given":"Justo P."},{"family":"Luque","given":"Raúl M."}],"issued":{"date-parts":[["2020",2,15]]}}}],"schema":"https://github.com/citation-style-language/schema/raw/master/csl-citation.json"}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[16]</w:t>
            </w:r>
            <w:r w:rsidR="00435176" w:rsidRPr="00F11EA8">
              <w:rPr>
                <w:rFonts w:ascii="Times New Roman" w:hAnsi="Times New Roman" w:cs="Times New Roman"/>
                <w:b/>
                <w:bCs/>
                <w:sz w:val="20"/>
                <w:szCs w:val="20"/>
              </w:rPr>
              <w:fldChar w:fldCharType="end"/>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24E0155A"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224</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439FD179"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NA</w:t>
            </w:r>
          </w:p>
        </w:tc>
        <w:tc>
          <w:tcPr>
            <w:tcW w:w="1304" w:type="dxa"/>
            <w:tcBorders>
              <w:top w:val="nil"/>
              <w:left w:val="nil"/>
              <w:bottom w:val="nil"/>
              <w:right w:val="nil"/>
            </w:tcBorders>
            <w:shd w:val="clear" w:color="auto" w:fill="FFFFFF"/>
            <w:tcMar>
              <w:top w:w="72" w:type="dxa"/>
              <w:left w:w="144" w:type="dxa"/>
              <w:bottom w:w="72" w:type="dxa"/>
              <w:right w:w="144" w:type="dxa"/>
            </w:tcMar>
            <w:vAlign w:val="center"/>
            <w:hideMark/>
          </w:tcPr>
          <w:p w14:paraId="6533D623"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4</w:t>
            </w:r>
          </w:p>
        </w:tc>
        <w:tc>
          <w:tcPr>
            <w:tcW w:w="0" w:type="auto"/>
            <w:tcBorders>
              <w:top w:val="nil"/>
              <w:left w:val="nil"/>
              <w:bottom w:val="nil"/>
              <w:right w:val="nil"/>
            </w:tcBorders>
            <w:shd w:val="clear" w:color="auto" w:fill="FFFFFF"/>
            <w:tcMar>
              <w:top w:w="72" w:type="dxa"/>
              <w:left w:w="144" w:type="dxa"/>
              <w:bottom w:w="72" w:type="dxa"/>
              <w:right w:w="144" w:type="dxa"/>
            </w:tcMar>
            <w:vAlign w:val="center"/>
            <w:hideMark/>
          </w:tcPr>
          <w:p w14:paraId="10AAEBFD"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NA</w:t>
            </w:r>
          </w:p>
        </w:tc>
        <w:tc>
          <w:tcPr>
            <w:tcW w:w="963" w:type="dxa"/>
            <w:tcBorders>
              <w:top w:val="nil"/>
              <w:left w:val="nil"/>
              <w:bottom w:val="nil"/>
              <w:right w:val="nil"/>
            </w:tcBorders>
            <w:shd w:val="clear" w:color="auto" w:fill="FFFFFF"/>
            <w:tcMar>
              <w:top w:w="72" w:type="dxa"/>
              <w:left w:w="144" w:type="dxa"/>
              <w:bottom w:w="72" w:type="dxa"/>
              <w:right w:w="144" w:type="dxa"/>
            </w:tcMar>
            <w:vAlign w:val="center"/>
            <w:hideMark/>
          </w:tcPr>
          <w:p w14:paraId="082BF246"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5.7</w:t>
            </w:r>
          </w:p>
        </w:tc>
      </w:tr>
      <w:tr w:rsidR="004E36CC" w:rsidRPr="00F11EA8" w14:paraId="1115D7FB" w14:textId="77777777" w:rsidTr="006716B6">
        <w:trPr>
          <w:trHeight w:val="341"/>
        </w:trPr>
        <w:tc>
          <w:tcPr>
            <w:tcW w:w="0" w:type="auto"/>
            <w:tcBorders>
              <w:top w:val="nil"/>
              <w:left w:val="nil"/>
              <w:bottom w:val="single" w:sz="12" w:space="0" w:color="000000"/>
              <w:right w:val="nil"/>
            </w:tcBorders>
            <w:shd w:val="clear" w:color="auto" w:fill="FFFFFF"/>
            <w:tcMar>
              <w:top w:w="72" w:type="dxa"/>
              <w:left w:w="144" w:type="dxa"/>
              <w:bottom w:w="72" w:type="dxa"/>
              <w:right w:w="144" w:type="dxa"/>
            </w:tcMar>
            <w:vAlign w:val="center"/>
            <w:hideMark/>
          </w:tcPr>
          <w:p w14:paraId="4F6DF65D" w14:textId="5E2B0F5F" w:rsidR="004E36CC" w:rsidRPr="00F11EA8" w:rsidRDefault="004E36CC" w:rsidP="006716B6">
            <w:pPr>
              <w:spacing w:after="0"/>
              <w:rPr>
                <w:rFonts w:ascii="Times New Roman" w:hAnsi="Times New Roman" w:cs="Times New Roman"/>
                <w:sz w:val="20"/>
                <w:szCs w:val="20"/>
                <w:lang w:val="en-US"/>
              </w:rPr>
            </w:pPr>
            <w:r w:rsidRPr="00F11EA8">
              <w:rPr>
                <w:rFonts w:ascii="Times New Roman" w:hAnsi="Times New Roman" w:cs="Times New Roman"/>
                <w:b/>
                <w:bCs/>
                <w:sz w:val="20"/>
                <w:szCs w:val="20"/>
              </w:rPr>
              <w:t xml:space="preserve">BIM-23926 </w:t>
            </w:r>
            <w:r w:rsidR="00435176" w:rsidRPr="00F11EA8">
              <w:rPr>
                <w:rFonts w:ascii="Times New Roman" w:hAnsi="Times New Roman" w:cs="Times New Roman"/>
                <w:b/>
                <w:bCs/>
                <w:sz w:val="20"/>
                <w:szCs w:val="20"/>
              </w:rPr>
              <w:fldChar w:fldCharType="begin"/>
            </w:r>
            <w:r w:rsidR="00435176" w:rsidRPr="00F11EA8">
              <w:rPr>
                <w:rFonts w:ascii="Times New Roman" w:hAnsi="Times New Roman" w:cs="Times New Roman"/>
                <w:b/>
                <w:bCs/>
                <w:sz w:val="20"/>
                <w:szCs w:val="20"/>
              </w:rPr>
              <w:instrText xml:space="preserve"> ADDIN ZOTERO_ITEM CSL_CITATION {"citationID":"uuvfSor4","properties":{"formattedCitation":"[17]","plainCitation":"[17]","noteIndex":0},"citationItems":[{"id":279,"uris":["http://zotero.org/users/9137939/items/23FY5TEP"],"itemData":{"id":279,"type":"article-journal","abstract":"Somatostatin (SRIF) analogs interacting with SRIF receptor subtype (SSTR) 2 and SSTR5 are known to reduce secretion in GH-secreting pituitary adenomas. We investigated the effects of SRIF and a SSTR1 selective agonist, BIM-23926, on GH and prolactin (PRL) secretion and cell viability in primary cultures deriving from 15 GH- and PRL-secreting adenomas expressing SSTR1. Quantitative RT-PCR showed SSTR1 mRNA mean levels of 6 +/- 2.2 x 10(4) molecules/ microg reverse-transcribed total RNA. SSTR2 and SSTR5 were frequently expressed (93.3%), on the contrary of SSTR3 (53.3%) and SSTR4 (6.7%). GH secretion was significantly reduced by SRIF and BIM-23926 (45 +/- 8.6% and 32 +/- 18.1% inhibition, respectively) as well as PRL secretion (16.1 +/- 4% and 19.7 +/- 3.5% inhibition, respectively). After treatment with SRIF and BIM-23926, cell viability was significantly reduced by 17.5 +/- 5% and 20 +/- 3.9%, respectively. SSTR1 mRNA levels correlated with the degree of GH and PRL secretion inhibition. These results demonstrate that SSTR1 selective activation inhibits hormone secretion and cell viability in GH- and PRL-secreting adenomas in vitro and suggest that SRIF analogs with affinity for SSTR1 may be useful to control hormone hypersecretion and reduce neoplastic growth of pituitary adenomas.","container-title":"The Journal of Clinical Endocrinology and Metabolism","DOI":"10.1210/jc.2002-021825","ISSN":"0021-972X","issue":"6","journalAbbreviation":"J Clin Endocrinol Metab","language":"eng","page":"2797-2802","PMID":"12788890","source":"PubMed","title":"Somatostatin receptor subtype 1 selective activation in human growth hormone (GH)- and prolactin (PRL)-secreting pituitary adenomas: effects on cell viability, GH, and PRL secretion","title-short":"Somatostatin receptor subtype 1 selective activation in human growth hormone (GH)- and prolactin (PRL)-secreting pituitary adenomas","volume":"88","author":[{"family":"Zatelli","given":"Maria Chiara"},{"family":"Piccin","given":"Daniela"},{"family":"Tagliati","given":"Federico"},{"family":"Ambrosio","given":"Maria Rosaria"},{"family":"Margutti","given":"Angelo"},{"family":"Padovani","given":"Roberto"},{"family":"Scanarini","given":"Massimo"},{"family":"Culler","given":"Michael D."},{"family":"Uberti","given":"Ettore C.","non-dropping-particle":"degli"}],"issued":{"date-parts":[["2003",6]]}}}],"schema":"https://github.com/citation-style-language/schema/raw/master/csl-citation.json"} </w:instrText>
            </w:r>
            <w:r w:rsidR="00435176" w:rsidRPr="00F11EA8">
              <w:rPr>
                <w:rFonts w:ascii="Times New Roman" w:hAnsi="Times New Roman" w:cs="Times New Roman"/>
                <w:b/>
                <w:bCs/>
                <w:sz w:val="20"/>
                <w:szCs w:val="20"/>
              </w:rPr>
              <w:fldChar w:fldCharType="separate"/>
            </w:r>
            <w:r w:rsidR="00EE5CD2" w:rsidRPr="00EE5CD2">
              <w:rPr>
                <w:rFonts w:ascii="Times New Roman" w:hAnsi="Times New Roman" w:cs="Times New Roman"/>
                <w:sz w:val="20"/>
              </w:rPr>
              <w:t>[17]</w:t>
            </w:r>
            <w:r w:rsidR="00435176" w:rsidRPr="00F11EA8">
              <w:rPr>
                <w:rFonts w:ascii="Times New Roman" w:hAnsi="Times New Roman" w:cs="Times New Roman"/>
                <w:b/>
                <w:bCs/>
                <w:sz w:val="20"/>
                <w:szCs w:val="20"/>
              </w:rPr>
              <w:fldChar w:fldCharType="end"/>
            </w:r>
          </w:p>
        </w:tc>
        <w:tc>
          <w:tcPr>
            <w:tcW w:w="0" w:type="auto"/>
            <w:tcBorders>
              <w:top w:val="nil"/>
              <w:left w:val="nil"/>
              <w:bottom w:val="single" w:sz="12" w:space="0" w:color="000000"/>
              <w:right w:val="nil"/>
            </w:tcBorders>
            <w:shd w:val="clear" w:color="auto" w:fill="FFFFFF"/>
            <w:tcMar>
              <w:top w:w="72" w:type="dxa"/>
              <w:left w:w="144" w:type="dxa"/>
              <w:bottom w:w="72" w:type="dxa"/>
              <w:right w:w="144" w:type="dxa"/>
            </w:tcMar>
            <w:vAlign w:val="center"/>
            <w:hideMark/>
          </w:tcPr>
          <w:p w14:paraId="48913629"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3.6</w:t>
            </w:r>
          </w:p>
        </w:tc>
        <w:tc>
          <w:tcPr>
            <w:tcW w:w="0" w:type="auto"/>
            <w:tcBorders>
              <w:top w:val="nil"/>
              <w:left w:val="nil"/>
              <w:bottom w:val="single" w:sz="12" w:space="0" w:color="000000"/>
              <w:right w:val="nil"/>
            </w:tcBorders>
            <w:shd w:val="clear" w:color="auto" w:fill="FFFFFF"/>
            <w:tcMar>
              <w:top w:w="72" w:type="dxa"/>
              <w:left w:w="144" w:type="dxa"/>
              <w:bottom w:w="72" w:type="dxa"/>
              <w:right w:w="144" w:type="dxa"/>
            </w:tcMar>
            <w:vAlign w:val="center"/>
            <w:hideMark/>
          </w:tcPr>
          <w:p w14:paraId="05D79DB6"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&gt;1000</w:t>
            </w:r>
          </w:p>
        </w:tc>
        <w:tc>
          <w:tcPr>
            <w:tcW w:w="1304" w:type="dxa"/>
            <w:tcBorders>
              <w:top w:val="nil"/>
              <w:left w:val="nil"/>
              <w:bottom w:val="single" w:sz="12" w:space="0" w:color="000000"/>
              <w:right w:val="nil"/>
            </w:tcBorders>
            <w:shd w:val="clear" w:color="auto" w:fill="FFFFFF"/>
            <w:tcMar>
              <w:top w:w="72" w:type="dxa"/>
              <w:left w:w="144" w:type="dxa"/>
              <w:bottom w:w="72" w:type="dxa"/>
              <w:right w:w="144" w:type="dxa"/>
            </w:tcMar>
            <w:vAlign w:val="center"/>
            <w:hideMark/>
          </w:tcPr>
          <w:p w14:paraId="3BCA084A"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&gt;1000</w:t>
            </w:r>
          </w:p>
        </w:tc>
        <w:tc>
          <w:tcPr>
            <w:tcW w:w="0" w:type="auto"/>
            <w:tcBorders>
              <w:top w:val="nil"/>
              <w:left w:val="nil"/>
              <w:bottom w:val="single" w:sz="12" w:space="0" w:color="000000"/>
              <w:right w:val="nil"/>
            </w:tcBorders>
            <w:shd w:val="clear" w:color="auto" w:fill="FFFFFF"/>
            <w:tcMar>
              <w:top w:w="72" w:type="dxa"/>
              <w:left w:w="144" w:type="dxa"/>
              <w:bottom w:w="72" w:type="dxa"/>
              <w:right w:w="144" w:type="dxa"/>
            </w:tcMar>
            <w:vAlign w:val="center"/>
            <w:hideMark/>
          </w:tcPr>
          <w:p w14:paraId="50ACC910"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833</w:t>
            </w:r>
          </w:p>
        </w:tc>
        <w:tc>
          <w:tcPr>
            <w:tcW w:w="963" w:type="dxa"/>
            <w:tcBorders>
              <w:top w:val="nil"/>
              <w:left w:val="nil"/>
              <w:bottom w:val="single" w:sz="12" w:space="0" w:color="000000"/>
              <w:right w:val="nil"/>
            </w:tcBorders>
            <w:shd w:val="clear" w:color="auto" w:fill="FFFFFF"/>
            <w:tcMar>
              <w:top w:w="72" w:type="dxa"/>
              <w:left w:w="144" w:type="dxa"/>
              <w:bottom w:w="72" w:type="dxa"/>
              <w:right w:w="144" w:type="dxa"/>
            </w:tcMar>
            <w:vAlign w:val="center"/>
            <w:hideMark/>
          </w:tcPr>
          <w:p w14:paraId="0FAA3DE9"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788</w:t>
            </w:r>
          </w:p>
        </w:tc>
      </w:tr>
    </w:tbl>
    <w:p w14:paraId="0E0B84D7" w14:textId="77777777" w:rsidR="004E36CC" w:rsidRPr="00F11EA8" w:rsidRDefault="004E36CC" w:rsidP="004E36CC">
      <w:pPr>
        <w:rPr>
          <w:rFonts w:ascii="Times New Roman" w:hAnsi="Times New Roman" w:cs="Times New Roman"/>
          <w:b/>
          <w:bCs/>
          <w:sz w:val="20"/>
          <w:szCs w:val="20"/>
          <w:lang w:val="en-US"/>
        </w:rPr>
      </w:pPr>
    </w:p>
    <w:p w14:paraId="6AF3D89C" w14:textId="77777777" w:rsidR="004E36CC" w:rsidRPr="00F11EA8" w:rsidRDefault="004E36CC" w:rsidP="004E36CC">
      <w:pPr>
        <w:rPr>
          <w:rFonts w:ascii="Times New Roman" w:hAnsi="Times New Roman" w:cs="Times New Roman"/>
          <w:b/>
          <w:bCs/>
          <w:sz w:val="20"/>
          <w:szCs w:val="20"/>
          <w:lang w:val="en-US"/>
        </w:rPr>
      </w:pPr>
      <w:r w:rsidRPr="00F11EA8">
        <w:rPr>
          <w:rFonts w:ascii="Times New Roman" w:hAnsi="Times New Roman" w:cs="Times New Roman"/>
          <w:b/>
          <w:bCs/>
          <w:sz w:val="20"/>
          <w:szCs w:val="20"/>
          <w:lang w:val="en-US"/>
        </w:rPr>
        <w:br w:type="page"/>
      </w:r>
    </w:p>
    <w:p w14:paraId="27C9D4D4" w14:textId="77777777" w:rsidR="004E36CC" w:rsidRPr="00F11EA8" w:rsidRDefault="004E36CC" w:rsidP="004E36CC">
      <w:pPr>
        <w:spacing w:after="0" w:line="240" w:lineRule="auto"/>
        <w:jc w:val="both"/>
        <w:rPr>
          <w:rFonts w:ascii="Times New Roman" w:hAnsi="Times New Roman" w:cs="Times New Roman"/>
          <w:sz w:val="20"/>
          <w:szCs w:val="20"/>
          <w:lang w:val="en-US"/>
        </w:rPr>
      </w:pPr>
      <w:r w:rsidRPr="00F11EA8">
        <w:rPr>
          <w:rFonts w:ascii="Times New Roman" w:hAnsi="Times New Roman" w:cs="Times New Roman"/>
          <w:b/>
          <w:bCs/>
          <w:sz w:val="20"/>
          <w:szCs w:val="20"/>
          <w:lang w:val="en-US"/>
        </w:rPr>
        <w:lastRenderedPageBreak/>
        <w:t>Supp. Table 3.</w:t>
      </w:r>
      <w:r w:rsidRPr="00F11EA8">
        <w:rPr>
          <w:rFonts w:ascii="Times New Roman" w:hAnsi="Times New Roman" w:cs="Times New Roman"/>
          <w:sz w:val="20"/>
          <w:szCs w:val="20"/>
          <w:lang w:val="en-US"/>
        </w:rPr>
        <w:t xml:space="preserve"> Clinical characteristics of the patients included in every cohort.</w:t>
      </w:r>
    </w:p>
    <w:tbl>
      <w:tblPr>
        <w:tblW w:w="8648" w:type="dxa"/>
        <w:tblInd w:w="-284" w:type="dxa"/>
        <w:tblLayout w:type="fixed"/>
        <w:tblCellMar>
          <w:left w:w="0" w:type="dxa"/>
          <w:right w:w="0" w:type="dxa"/>
        </w:tblCellMar>
        <w:tblLook w:val="0420" w:firstRow="1" w:lastRow="0" w:firstColumn="0" w:lastColumn="0" w:noHBand="0" w:noVBand="1"/>
      </w:tblPr>
      <w:tblGrid>
        <w:gridCol w:w="2269"/>
        <w:gridCol w:w="680"/>
        <w:gridCol w:w="879"/>
        <w:gridCol w:w="795"/>
        <w:gridCol w:w="764"/>
        <w:gridCol w:w="993"/>
        <w:gridCol w:w="850"/>
        <w:gridCol w:w="709"/>
        <w:gridCol w:w="709"/>
      </w:tblGrid>
      <w:tr w:rsidR="002608DC" w:rsidRPr="00F11EA8" w14:paraId="0D24F0C4" w14:textId="77777777" w:rsidTr="006716B6">
        <w:trPr>
          <w:trHeight w:val="192"/>
        </w:trPr>
        <w:tc>
          <w:tcPr>
            <w:tcW w:w="2269" w:type="dxa"/>
            <w:tcBorders>
              <w:top w:val="single" w:sz="12" w:space="0" w:color="000000"/>
              <w:left w:val="nil"/>
              <w:bottom w:val="single" w:sz="8" w:space="0" w:color="000000"/>
              <w:right w:val="single" w:sz="4" w:space="0" w:color="000000"/>
            </w:tcBorders>
            <w:tcMar>
              <w:top w:w="72" w:type="dxa"/>
              <w:left w:w="144" w:type="dxa"/>
              <w:bottom w:w="72" w:type="dxa"/>
              <w:right w:w="144" w:type="dxa"/>
            </w:tcMar>
            <w:vAlign w:val="center"/>
            <w:hideMark/>
          </w:tcPr>
          <w:p w14:paraId="04F6A21C" w14:textId="77777777" w:rsidR="004E36CC" w:rsidRPr="00F11EA8" w:rsidRDefault="004E36CC" w:rsidP="006716B6">
            <w:pPr>
              <w:spacing w:after="0"/>
              <w:jc w:val="center"/>
              <w:rPr>
                <w:rFonts w:ascii="Times New Roman" w:hAnsi="Times New Roman" w:cs="Times New Roman"/>
                <w:sz w:val="20"/>
                <w:szCs w:val="20"/>
                <w:lang w:val="en-US"/>
              </w:rPr>
            </w:pPr>
            <w:proofErr w:type="spellStart"/>
            <w:r w:rsidRPr="00F11EA8">
              <w:rPr>
                <w:rFonts w:ascii="Times New Roman" w:hAnsi="Times New Roman" w:cs="Times New Roman"/>
                <w:b/>
                <w:bCs/>
                <w:sz w:val="20"/>
                <w:szCs w:val="20"/>
              </w:rPr>
              <w:t>Cohort</w:t>
            </w:r>
            <w:proofErr w:type="spellEnd"/>
          </w:p>
        </w:tc>
        <w:tc>
          <w:tcPr>
            <w:tcW w:w="1559" w:type="dxa"/>
            <w:gridSpan w:val="2"/>
            <w:tcBorders>
              <w:top w:val="single" w:sz="12" w:space="0" w:color="000000"/>
              <w:left w:val="single" w:sz="4" w:space="0" w:color="000000"/>
              <w:bottom w:val="single" w:sz="8" w:space="0" w:color="000000"/>
              <w:right w:val="single" w:sz="4" w:space="0" w:color="000000"/>
            </w:tcBorders>
            <w:vAlign w:val="center"/>
          </w:tcPr>
          <w:p w14:paraId="04B5BE87" w14:textId="77777777" w:rsidR="004E36CC" w:rsidRPr="00F11EA8" w:rsidRDefault="004E36CC" w:rsidP="006716B6">
            <w:pPr>
              <w:spacing w:after="0"/>
              <w:jc w:val="center"/>
              <w:rPr>
                <w:rFonts w:ascii="Times New Roman" w:hAnsi="Times New Roman" w:cs="Times New Roman"/>
                <w:b/>
                <w:bCs/>
                <w:sz w:val="20"/>
                <w:szCs w:val="20"/>
              </w:rPr>
            </w:pPr>
            <w:r w:rsidRPr="00F11EA8">
              <w:rPr>
                <w:rFonts w:ascii="Times New Roman" w:hAnsi="Times New Roman" w:cs="Times New Roman"/>
                <w:b/>
                <w:bCs/>
                <w:sz w:val="20"/>
                <w:szCs w:val="20"/>
              </w:rPr>
              <w:t>Marseille</w:t>
            </w:r>
          </w:p>
        </w:tc>
        <w:tc>
          <w:tcPr>
            <w:tcW w:w="1559" w:type="dxa"/>
            <w:gridSpan w:val="2"/>
            <w:tcBorders>
              <w:top w:val="single" w:sz="12" w:space="0" w:color="000000"/>
              <w:left w:val="single" w:sz="4" w:space="0" w:color="000000"/>
              <w:bottom w:val="single" w:sz="8" w:space="0" w:color="000000"/>
              <w:right w:val="single" w:sz="4" w:space="0" w:color="000000"/>
            </w:tcBorders>
          </w:tcPr>
          <w:p w14:paraId="4B5AF6EB" w14:textId="77777777" w:rsidR="004E36CC" w:rsidRPr="00F11EA8" w:rsidRDefault="004E36CC" w:rsidP="006716B6">
            <w:pPr>
              <w:spacing w:after="0"/>
              <w:jc w:val="center"/>
              <w:rPr>
                <w:rFonts w:ascii="Times New Roman" w:hAnsi="Times New Roman" w:cs="Times New Roman"/>
                <w:b/>
                <w:bCs/>
                <w:sz w:val="20"/>
                <w:szCs w:val="20"/>
              </w:rPr>
            </w:pPr>
            <w:r w:rsidRPr="00F11EA8">
              <w:rPr>
                <w:rFonts w:ascii="Times New Roman" w:hAnsi="Times New Roman" w:cs="Times New Roman"/>
                <w:b/>
                <w:bCs/>
                <w:sz w:val="20"/>
                <w:szCs w:val="20"/>
              </w:rPr>
              <w:t>CNIO</w:t>
            </w:r>
          </w:p>
        </w:tc>
        <w:tc>
          <w:tcPr>
            <w:tcW w:w="1843" w:type="dxa"/>
            <w:gridSpan w:val="2"/>
            <w:tcBorders>
              <w:top w:val="single" w:sz="12" w:space="0" w:color="000000"/>
              <w:left w:val="single" w:sz="4" w:space="0" w:color="000000"/>
              <w:bottom w:val="single" w:sz="8" w:space="0" w:color="000000"/>
              <w:right w:val="single" w:sz="4" w:space="0" w:color="000000"/>
            </w:tcBorders>
            <w:tcMar>
              <w:top w:w="72" w:type="dxa"/>
              <w:left w:w="144" w:type="dxa"/>
              <w:bottom w:w="72" w:type="dxa"/>
              <w:right w:w="144" w:type="dxa"/>
            </w:tcMar>
            <w:vAlign w:val="center"/>
            <w:hideMark/>
          </w:tcPr>
          <w:p w14:paraId="7BBF5FD9"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CNIO</w:t>
            </w:r>
          </w:p>
        </w:tc>
        <w:tc>
          <w:tcPr>
            <w:tcW w:w="1418" w:type="dxa"/>
            <w:gridSpan w:val="2"/>
            <w:tcBorders>
              <w:top w:val="single" w:sz="12" w:space="0" w:color="000000"/>
              <w:left w:val="single" w:sz="4" w:space="0" w:color="000000"/>
              <w:bottom w:val="single" w:sz="8" w:space="0" w:color="000000"/>
              <w:right w:val="nil"/>
            </w:tcBorders>
            <w:vAlign w:val="center"/>
          </w:tcPr>
          <w:p w14:paraId="77CCF6CC" w14:textId="77777777" w:rsidR="004E36CC" w:rsidRPr="00F11EA8" w:rsidRDefault="004E36CC" w:rsidP="006716B6">
            <w:pPr>
              <w:spacing w:after="0"/>
              <w:jc w:val="center"/>
              <w:rPr>
                <w:rFonts w:ascii="Times New Roman" w:hAnsi="Times New Roman" w:cs="Times New Roman"/>
                <w:b/>
                <w:bCs/>
                <w:sz w:val="20"/>
                <w:szCs w:val="20"/>
              </w:rPr>
            </w:pPr>
            <w:r w:rsidRPr="00F11EA8">
              <w:rPr>
                <w:rFonts w:ascii="Times New Roman" w:hAnsi="Times New Roman" w:cs="Times New Roman"/>
                <w:b/>
                <w:bCs/>
                <w:sz w:val="20"/>
                <w:szCs w:val="20"/>
              </w:rPr>
              <w:t>TCGA</w:t>
            </w:r>
          </w:p>
        </w:tc>
      </w:tr>
      <w:tr w:rsidR="002608DC" w:rsidRPr="00F11EA8" w14:paraId="3C2243E4" w14:textId="77777777" w:rsidTr="006716B6">
        <w:trPr>
          <w:trHeight w:val="291"/>
        </w:trPr>
        <w:tc>
          <w:tcPr>
            <w:tcW w:w="2269" w:type="dxa"/>
            <w:tcBorders>
              <w:top w:val="single" w:sz="8" w:space="0" w:color="000000"/>
              <w:left w:val="nil"/>
              <w:bottom w:val="nil"/>
              <w:right w:val="single" w:sz="4" w:space="0" w:color="000000"/>
            </w:tcBorders>
            <w:shd w:val="clear" w:color="auto" w:fill="FFFFFF"/>
            <w:tcMar>
              <w:top w:w="72" w:type="dxa"/>
              <w:left w:w="144" w:type="dxa"/>
              <w:bottom w:w="72" w:type="dxa"/>
              <w:right w:w="144" w:type="dxa"/>
            </w:tcMar>
            <w:vAlign w:val="center"/>
          </w:tcPr>
          <w:p w14:paraId="5D353E08" w14:textId="77777777" w:rsidR="004E36CC" w:rsidRPr="00F11EA8" w:rsidRDefault="004E36CC" w:rsidP="006716B6">
            <w:pPr>
              <w:spacing w:after="0"/>
              <w:jc w:val="center"/>
              <w:rPr>
                <w:rFonts w:ascii="Times New Roman" w:hAnsi="Times New Roman" w:cs="Times New Roman"/>
                <w:b/>
                <w:bCs/>
                <w:sz w:val="20"/>
                <w:szCs w:val="20"/>
              </w:rPr>
            </w:pPr>
            <w:proofErr w:type="spellStart"/>
            <w:r w:rsidRPr="00F11EA8">
              <w:rPr>
                <w:rFonts w:ascii="Times New Roman" w:hAnsi="Times New Roman" w:cs="Times New Roman"/>
                <w:b/>
                <w:bCs/>
                <w:sz w:val="20"/>
                <w:szCs w:val="20"/>
              </w:rPr>
              <w:t>Technology</w:t>
            </w:r>
            <w:proofErr w:type="spellEnd"/>
          </w:p>
        </w:tc>
        <w:tc>
          <w:tcPr>
            <w:tcW w:w="1559" w:type="dxa"/>
            <w:gridSpan w:val="2"/>
            <w:tcBorders>
              <w:top w:val="single" w:sz="8" w:space="0" w:color="000000"/>
              <w:left w:val="single" w:sz="4" w:space="0" w:color="000000"/>
              <w:bottom w:val="nil"/>
              <w:right w:val="single" w:sz="4" w:space="0" w:color="000000"/>
            </w:tcBorders>
            <w:shd w:val="clear" w:color="auto" w:fill="FFFFFF"/>
            <w:vAlign w:val="center"/>
          </w:tcPr>
          <w:p w14:paraId="5E99A6E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qPCR</w:t>
            </w:r>
          </w:p>
        </w:tc>
        <w:tc>
          <w:tcPr>
            <w:tcW w:w="1559" w:type="dxa"/>
            <w:gridSpan w:val="2"/>
            <w:tcBorders>
              <w:top w:val="single" w:sz="8" w:space="0" w:color="000000"/>
              <w:left w:val="single" w:sz="4" w:space="0" w:color="000000"/>
              <w:bottom w:val="nil"/>
              <w:right w:val="single" w:sz="4" w:space="0" w:color="000000"/>
            </w:tcBorders>
            <w:shd w:val="clear" w:color="auto" w:fill="FFFFFF"/>
          </w:tcPr>
          <w:p w14:paraId="47A4B845"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qPCR</w:t>
            </w:r>
          </w:p>
        </w:tc>
        <w:tc>
          <w:tcPr>
            <w:tcW w:w="1843" w:type="dxa"/>
            <w:gridSpan w:val="2"/>
            <w:tcBorders>
              <w:top w:val="single" w:sz="8" w:space="0" w:color="000000"/>
              <w:left w:val="single" w:sz="4" w:space="0" w:color="000000"/>
              <w:bottom w:val="nil"/>
              <w:right w:val="single" w:sz="4" w:space="0" w:color="000000"/>
            </w:tcBorders>
            <w:shd w:val="clear" w:color="auto" w:fill="FFFFFF"/>
            <w:tcMar>
              <w:top w:w="72" w:type="dxa"/>
              <w:left w:w="144" w:type="dxa"/>
              <w:bottom w:w="72" w:type="dxa"/>
              <w:right w:w="144" w:type="dxa"/>
            </w:tcMar>
            <w:vAlign w:val="center"/>
          </w:tcPr>
          <w:p w14:paraId="153E0C6E"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RNA-seq</w:t>
            </w:r>
          </w:p>
        </w:tc>
        <w:tc>
          <w:tcPr>
            <w:tcW w:w="1418" w:type="dxa"/>
            <w:gridSpan w:val="2"/>
            <w:tcBorders>
              <w:top w:val="single" w:sz="8" w:space="0" w:color="000000"/>
              <w:left w:val="single" w:sz="4" w:space="0" w:color="000000"/>
              <w:bottom w:val="nil"/>
              <w:right w:val="nil"/>
            </w:tcBorders>
            <w:shd w:val="clear" w:color="auto" w:fill="FFFFFF"/>
            <w:vAlign w:val="center"/>
          </w:tcPr>
          <w:p w14:paraId="086F97E1"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RNA-seq</w:t>
            </w:r>
          </w:p>
        </w:tc>
      </w:tr>
      <w:tr w:rsidR="002608DC" w:rsidRPr="00F11EA8" w14:paraId="4CDD455C" w14:textId="77777777" w:rsidTr="006716B6">
        <w:trPr>
          <w:trHeight w:val="291"/>
        </w:trPr>
        <w:tc>
          <w:tcPr>
            <w:tcW w:w="2269" w:type="dxa"/>
            <w:vMerge w:val="restart"/>
            <w:tcBorders>
              <w:top w:val="single" w:sz="8" w:space="0" w:color="000000"/>
              <w:left w:val="nil"/>
              <w:bottom w:val="nil"/>
              <w:right w:val="single" w:sz="4" w:space="0" w:color="000000"/>
            </w:tcBorders>
            <w:shd w:val="clear" w:color="auto" w:fill="FFFFFF"/>
            <w:tcMar>
              <w:top w:w="72" w:type="dxa"/>
              <w:left w:w="144" w:type="dxa"/>
              <w:bottom w:w="72" w:type="dxa"/>
              <w:right w:w="144" w:type="dxa"/>
            </w:tcMar>
            <w:vAlign w:val="center"/>
            <w:hideMark/>
          </w:tcPr>
          <w:p w14:paraId="099361AA"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Tumor type</w:t>
            </w:r>
          </w:p>
        </w:tc>
        <w:tc>
          <w:tcPr>
            <w:tcW w:w="680" w:type="dxa"/>
            <w:tcBorders>
              <w:top w:val="single" w:sz="8" w:space="0" w:color="000000"/>
              <w:left w:val="single" w:sz="4" w:space="0" w:color="000000"/>
              <w:bottom w:val="nil"/>
              <w:right w:val="nil"/>
            </w:tcBorders>
            <w:shd w:val="clear" w:color="auto" w:fill="FFFFFF"/>
            <w:vAlign w:val="center"/>
          </w:tcPr>
          <w:p w14:paraId="7616767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PCC</w:t>
            </w:r>
          </w:p>
        </w:tc>
        <w:tc>
          <w:tcPr>
            <w:tcW w:w="879" w:type="dxa"/>
            <w:tcBorders>
              <w:top w:val="single" w:sz="8" w:space="0" w:color="000000"/>
              <w:left w:val="nil"/>
              <w:bottom w:val="nil"/>
              <w:right w:val="single" w:sz="4" w:space="0" w:color="000000"/>
            </w:tcBorders>
            <w:shd w:val="clear" w:color="auto" w:fill="FFFFFF"/>
            <w:vAlign w:val="center"/>
          </w:tcPr>
          <w:p w14:paraId="56CADC63"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PGL</w:t>
            </w:r>
          </w:p>
        </w:tc>
        <w:tc>
          <w:tcPr>
            <w:tcW w:w="795" w:type="dxa"/>
            <w:tcBorders>
              <w:top w:val="single" w:sz="8" w:space="0" w:color="000000"/>
              <w:left w:val="single" w:sz="4" w:space="0" w:color="000000"/>
              <w:right w:val="single" w:sz="4" w:space="0" w:color="FFFFFF" w:themeColor="background1"/>
            </w:tcBorders>
            <w:shd w:val="clear" w:color="auto" w:fill="FFFFFF"/>
            <w:vAlign w:val="center"/>
          </w:tcPr>
          <w:p w14:paraId="3F75AE3D"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PCC</w:t>
            </w:r>
          </w:p>
        </w:tc>
        <w:tc>
          <w:tcPr>
            <w:tcW w:w="764" w:type="dxa"/>
            <w:tcBorders>
              <w:top w:val="single" w:sz="8" w:space="0" w:color="000000"/>
              <w:left w:val="single" w:sz="4" w:space="0" w:color="FFFFFF" w:themeColor="background1"/>
              <w:right w:val="single" w:sz="4" w:space="0" w:color="000000"/>
            </w:tcBorders>
            <w:shd w:val="clear" w:color="auto" w:fill="FFFFFF"/>
            <w:vAlign w:val="center"/>
          </w:tcPr>
          <w:p w14:paraId="20AA1FB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PGL</w:t>
            </w:r>
          </w:p>
        </w:tc>
        <w:tc>
          <w:tcPr>
            <w:tcW w:w="993" w:type="dxa"/>
            <w:tcBorders>
              <w:top w:val="single" w:sz="8" w:space="0" w:color="000000"/>
              <w:left w:val="single" w:sz="4" w:space="0" w:color="000000"/>
              <w:bottom w:val="nil"/>
              <w:right w:val="nil"/>
            </w:tcBorders>
            <w:shd w:val="clear" w:color="auto" w:fill="FFFFFF"/>
            <w:tcMar>
              <w:top w:w="72" w:type="dxa"/>
              <w:left w:w="144" w:type="dxa"/>
              <w:bottom w:w="72" w:type="dxa"/>
              <w:right w:w="144" w:type="dxa"/>
            </w:tcMar>
            <w:vAlign w:val="center"/>
            <w:hideMark/>
          </w:tcPr>
          <w:p w14:paraId="398EB8B8" w14:textId="77777777" w:rsidR="004E36CC" w:rsidRPr="00F11EA8" w:rsidRDefault="004E36CC" w:rsidP="001732B1">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PCC</w:t>
            </w:r>
          </w:p>
        </w:tc>
        <w:tc>
          <w:tcPr>
            <w:tcW w:w="850" w:type="dxa"/>
            <w:tcBorders>
              <w:top w:val="single" w:sz="8" w:space="0" w:color="000000"/>
              <w:left w:val="nil"/>
              <w:bottom w:val="nil"/>
              <w:right w:val="single" w:sz="4" w:space="0" w:color="000000"/>
            </w:tcBorders>
            <w:shd w:val="clear" w:color="auto" w:fill="FFFFFF"/>
            <w:tcMar>
              <w:top w:w="72" w:type="dxa"/>
              <w:left w:w="144" w:type="dxa"/>
              <w:bottom w:w="72" w:type="dxa"/>
              <w:right w:w="144" w:type="dxa"/>
            </w:tcMar>
            <w:vAlign w:val="center"/>
            <w:hideMark/>
          </w:tcPr>
          <w:p w14:paraId="33514881"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PGL</w:t>
            </w:r>
          </w:p>
        </w:tc>
        <w:tc>
          <w:tcPr>
            <w:tcW w:w="709" w:type="dxa"/>
            <w:tcBorders>
              <w:top w:val="single" w:sz="8" w:space="0" w:color="000000"/>
              <w:left w:val="single" w:sz="4" w:space="0" w:color="000000"/>
              <w:bottom w:val="nil"/>
              <w:right w:val="nil"/>
            </w:tcBorders>
            <w:shd w:val="clear" w:color="auto" w:fill="FFFFFF"/>
            <w:vAlign w:val="center"/>
          </w:tcPr>
          <w:p w14:paraId="505758A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PCC</w:t>
            </w:r>
          </w:p>
        </w:tc>
        <w:tc>
          <w:tcPr>
            <w:tcW w:w="709" w:type="dxa"/>
            <w:tcBorders>
              <w:top w:val="single" w:sz="8" w:space="0" w:color="000000"/>
              <w:left w:val="nil"/>
              <w:bottom w:val="nil"/>
              <w:right w:val="nil"/>
            </w:tcBorders>
            <w:shd w:val="clear" w:color="auto" w:fill="FFFFFF"/>
            <w:vAlign w:val="center"/>
          </w:tcPr>
          <w:p w14:paraId="41F0C5B3"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PGL</w:t>
            </w:r>
          </w:p>
        </w:tc>
      </w:tr>
      <w:tr w:rsidR="002608DC" w:rsidRPr="00F11EA8" w14:paraId="303BD83F" w14:textId="77777777" w:rsidTr="001732B1">
        <w:trPr>
          <w:trHeight w:val="289"/>
        </w:trPr>
        <w:tc>
          <w:tcPr>
            <w:tcW w:w="2269" w:type="dxa"/>
            <w:vMerge/>
            <w:tcBorders>
              <w:top w:val="single" w:sz="8" w:space="0" w:color="000000"/>
              <w:left w:val="nil"/>
              <w:bottom w:val="nil"/>
              <w:right w:val="single" w:sz="4" w:space="0" w:color="000000"/>
            </w:tcBorders>
            <w:vAlign w:val="center"/>
            <w:hideMark/>
          </w:tcPr>
          <w:p w14:paraId="5FBAB263" w14:textId="77777777" w:rsidR="004E36CC" w:rsidRPr="00F11EA8" w:rsidRDefault="004E36CC" w:rsidP="006716B6">
            <w:pPr>
              <w:spacing w:after="0"/>
              <w:jc w:val="center"/>
              <w:rPr>
                <w:rFonts w:ascii="Times New Roman" w:hAnsi="Times New Roman" w:cs="Times New Roman"/>
                <w:sz w:val="20"/>
                <w:szCs w:val="20"/>
                <w:lang w:val="en-US"/>
              </w:rPr>
            </w:pPr>
          </w:p>
        </w:tc>
        <w:tc>
          <w:tcPr>
            <w:tcW w:w="680" w:type="dxa"/>
            <w:tcBorders>
              <w:top w:val="nil"/>
              <w:left w:val="single" w:sz="4" w:space="0" w:color="000000"/>
              <w:bottom w:val="nil"/>
              <w:right w:val="nil"/>
            </w:tcBorders>
            <w:vAlign w:val="center"/>
          </w:tcPr>
          <w:p w14:paraId="185A633F"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41</w:t>
            </w:r>
          </w:p>
        </w:tc>
        <w:tc>
          <w:tcPr>
            <w:tcW w:w="879" w:type="dxa"/>
            <w:tcBorders>
              <w:top w:val="nil"/>
              <w:left w:val="nil"/>
              <w:bottom w:val="nil"/>
              <w:right w:val="single" w:sz="4" w:space="0" w:color="000000"/>
            </w:tcBorders>
            <w:vAlign w:val="center"/>
          </w:tcPr>
          <w:p w14:paraId="5E9E353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8</w:t>
            </w:r>
          </w:p>
        </w:tc>
        <w:tc>
          <w:tcPr>
            <w:tcW w:w="795" w:type="dxa"/>
            <w:tcBorders>
              <w:left w:val="single" w:sz="4" w:space="0" w:color="000000"/>
              <w:right w:val="single" w:sz="4" w:space="0" w:color="FFFFFF" w:themeColor="background1"/>
            </w:tcBorders>
            <w:shd w:val="clear" w:color="auto" w:fill="FFFFFF"/>
          </w:tcPr>
          <w:p w14:paraId="766C43D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24</w:t>
            </w:r>
          </w:p>
        </w:tc>
        <w:tc>
          <w:tcPr>
            <w:tcW w:w="764" w:type="dxa"/>
            <w:tcBorders>
              <w:left w:val="single" w:sz="4" w:space="0" w:color="FFFFFF" w:themeColor="background1"/>
              <w:right w:val="single" w:sz="4" w:space="0" w:color="000000"/>
            </w:tcBorders>
            <w:shd w:val="clear" w:color="auto" w:fill="FFFFFF"/>
          </w:tcPr>
          <w:p w14:paraId="3273662C"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18</w:t>
            </w:r>
          </w:p>
        </w:tc>
        <w:tc>
          <w:tcPr>
            <w:tcW w:w="993" w:type="dxa"/>
            <w:tcBorders>
              <w:top w:val="nil"/>
              <w:left w:val="single" w:sz="4" w:space="0" w:color="000000"/>
              <w:bottom w:val="nil"/>
              <w:right w:val="nil"/>
            </w:tcBorders>
            <w:tcMar>
              <w:top w:w="72" w:type="dxa"/>
              <w:left w:w="144" w:type="dxa"/>
              <w:bottom w:w="72" w:type="dxa"/>
              <w:right w:w="144" w:type="dxa"/>
            </w:tcMar>
            <w:vAlign w:val="center"/>
            <w:hideMark/>
          </w:tcPr>
          <w:p w14:paraId="10238286" w14:textId="77777777" w:rsidR="004E36CC" w:rsidRPr="00F11EA8" w:rsidRDefault="004E36CC" w:rsidP="001732B1">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90</w:t>
            </w:r>
          </w:p>
        </w:tc>
        <w:tc>
          <w:tcPr>
            <w:tcW w:w="850" w:type="dxa"/>
            <w:tcBorders>
              <w:top w:val="nil"/>
              <w:left w:val="nil"/>
              <w:bottom w:val="nil"/>
              <w:right w:val="single" w:sz="4" w:space="0" w:color="000000"/>
            </w:tcBorders>
            <w:tcMar>
              <w:top w:w="72" w:type="dxa"/>
              <w:left w:w="144" w:type="dxa"/>
              <w:bottom w:w="72" w:type="dxa"/>
              <w:right w:w="144" w:type="dxa"/>
            </w:tcMar>
            <w:vAlign w:val="center"/>
            <w:hideMark/>
          </w:tcPr>
          <w:p w14:paraId="3D530EAB" w14:textId="77777777" w:rsidR="004E36CC" w:rsidRPr="00F11EA8" w:rsidRDefault="004E36CC" w:rsidP="001732B1">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72</w:t>
            </w:r>
          </w:p>
        </w:tc>
        <w:tc>
          <w:tcPr>
            <w:tcW w:w="709" w:type="dxa"/>
            <w:tcBorders>
              <w:top w:val="nil"/>
              <w:left w:val="single" w:sz="4" w:space="0" w:color="000000"/>
              <w:bottom w:val="nil"/>
              <w:right w:val="nil"/>
            </w:tcBorders>
            <w:vAlign w:val="center"/>
          </w:tcPr>
          <w:p w14:paraId="3666949B"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144</w:t>
            </w:r>
          </w:p>
        </w:tc>
        <w:tc>
          <w:tcPr>
            <w:tcW w:w="709" w:type="dxa"/>
            <w:tcBorders>
              <w:top w:val="nil"/>
              <w:left w:val="nil"/>
              <w:bottom w:val="nil"/>
              <w:right w:val="nil"/>
            </w:tcBorders>
            <w:vAlign w:val="center"/>
          </w:tcPr>
          <w:p w14:paraId="185FDA0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29</w:t>
            </w:r>
          </w:p>
        </w:tc>
      </w:tr>
      <w:tr w:rsidR="002608DC" w:rsidRPr="00F11EA8" w14:paraId="47259216" w14:textId="77777777" w:rsidTr="006716B6">
        <w:trPr>
          <w:trHeight w:val="291"/>
        </w:trPr>
        <w:tc>
          <w:tcPr>
            <w:tcW w:w="2269" w:type="dxa"/>
            <w:tcBorders>
              <w:top w:val="nil"/>
              <w:left w:val="nil"/>
              <w:bottom w:val="nil"/>
              <w:right w:val="single" w:sz="4" w:space="0" w:color="000000"/>
            </w:tcBorders>
            <w:shd w:val="clear" w:color="auto" w:fill="FFFFFF"/>
            <w:tcMar>
              <w:top w:w="72" w:type="dxa"/>
              <w:left w:w="144" w:type="dxa"/>
              <w:bottom w:w="72" w:type="dxa"/>
              <w:right w:w="144" w:type="dxa"/>
            </w:tcMar>
            <w:vAlign w:val="center"/>
            <w:hideMark/>
          </w:tcPr>
          <w:p w14:paraId="02E3A7FB"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Age, mean ± SD</w:t>
            </w:r>
          </w:p>
        </w:tc>
        <w:tc>
          <w:tcPr>
            <w:tcW w:w="680" w:type="dxa"/>
            <w:tcBorders>
              <w:top w:val="nil"/>
              <w:left w:val="single" w:sz="4" w:space="0" w:color="000000"/>
              <w:bottom w:val="nil"/>
              <w:right w:val="nil"/>
            </w:tcBorders>
            <w:shd w:val="clear" w:color="auto" w:fill="FFFFFF"/>
            <w:vAlign w:val="center"/>
          </w:tcPr>
          <w:p w14:paraId="72AFF969"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49.3 ± 3.3</w:t>
            </w:r>
          </w:p>
        </w:tc>
        <w:tc>
          <w:tcPr>
            <w:tcW w:w="879" w:type="dxa"/>
            <w:tcBorders>
              <w:top w:val="nil"/>
              <w:left w:val="nil"/>
              <w:bottom w:val="nil"/>
              <w:right w:val="single" w:sz="4" w:space="0" w:color="000000"/>
            </w:tcBorders>
            <w:shd w:val="clear" w:color="auto" w:fill="FFFFFF"/>
            <w:vAlign w:val="center"/>
          </w:tcPr>
          <w:p w14:paraId="453EF570" w14:textId="60A36E2D" w:rsid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32.4 ±</w:t>
            </w:r>
          </w:p>
          <w:p w14:paraId="640017F2" w14:textId="5E42D700"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4.4</w:t>
            </w:r>
          </w:p>
        </w:tc>
        <w:tc>
          <w:tcPr>
            <w:tcW w:w="795" w:type="dxa"/>
            <w:tcBorders>
              <w:left w:val="single" w:sz="4" w:space="0" w:color="000000"/>
              <w:right w:val="single" w:sz="4" w:space="0" w:color="FFFFFF" w:themeColor="background1"/>
            </w:tcBorders>
            <w:shd w:val="clear" w:color="auto" w:fill="FFFFFF"/>
          </w:tcPr>
          <w:p w14:paraId="72A397EC"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50.8 ± 9.6</w:t>
            </w:r>
          </w:p>
        </w:tc>
        <w:tc>
          <w:tcPr>
            <w:tcW w:w="764" w:type="dxa"/>
            <w:tcBorders>
              <w:left w:val="single" w:sz="4" w:space="0" w:color="FFFFFF" w:themeColor="background1"/>
              <w:right w:val="single" w:sz="4" w:space="0" w:color="000000"/>
            </w:tcBorders>
            <w:shd w:val="clear" w:color="auto" w:fill="FFFFFF"/>
          </w:tcPr>
          <w:p w14:paraId="09081FFD"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41.2 ± 24.17</w:t>
            </w:r>
          </w:p>
        </w:tc>
        <w:tc>
          <w:tcPr>
            <w:tcW w:w="993" w:type="dxa"/>
            <w:tcBorders>
              <w:top w:val="nil"/>
              <w:left w:val="single" w:sz="4" w:space="0" w:color="000000"/>
              <w:bottom w:val="nil"/>
              <w:right w:val="nil"/>
            </w:tcBorders>
            <w:shd w:val="clear" w:color="auto" w:fill="FFFFFF"/>
            <w:tcMar>
              <w:top w:w="72" w:type="dxa"/>
              <w:left w:w="144" w:type="dxa"/>
              <w:bottom w:w="72" w:type="dxa"/>
              <w:right w:w="144" w:type="dxa"/>
            </w:tcMar>
            <w:vAlign w:val="center"/>
            <w:hideMark/>
          </w:tcPr>
          <w:p w14:paraId="17BFEC14"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47.8 ±</w:t>
            </w:r>
            <w:r w:rsidRPr="00F11EA8">
              <w:rPr>
                <w:rFonts w:ascii="Times New Roman" w:hAnsi="Times New Roman" w:cs="Times New Roman"/>
                <w:b/>
                <w:bCs/>
                <w:sz w:val="20"/>
                <w:szCs w:val="20"/>
              </w:rPr>
              <w:t xml:space="preserve"> </w:t>
            </w:r>
            <w:r w:rsidRPr="00F11EA8">
              <w:rPr>
                <w:rFonts w:ascii="Times New Roman" w:hAnsi="Times New Roman" w:cs="Times New Roman"/>
                <w:sz w:val="20"/>
                <w:szCs w:val="20"/>
              </w:rPr>
              <w:t>16.8</w:t>
            </w:r>
          </w:p>
        </w:tc>
        <w:tc>
          <w:tcPr>
            <w:tcW w:w="850" w:type="dxa"/>
            <w:tcBorders>
              <w:top w:val="nil"/>
              <w:left w:val="nil"/>
              <w:bottom w:val="nil"/>
              <w:right w:val="single" w:sz="4" w:space="0" w:color="000000"/>
            </w:tcBorders>
            <w:shd w:val="clear" w:color="auto" w:fill="FFFFFF"/>
            <w:tcMar>
              <w:top w:w="72" w:type="dxa"/>
              <w:left w:w="144" w:type="dxa"/>
              <w:bottom w:w="72" w:type="dxa"/>
              <w:right w:w="144" w:type="dxa"/>
            </w:tcMar>
            <w:vAlign w:val="center"/>
            <w:hideMark/>
          </w:tcPr>
          <w:p w14:paraId="38D07376"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41 ± 18</w:t>
            </w:r>
          </w:p>
        </w:tc>
        <w:tc>
          <w:tcPr>
            <w:tcW w:w="709" w:type="dxa"/>
            <w:tcBorders>
              <w:top w:val="nil"/>
              <w:left w:val="single" w:sz="4" w:space="0" w:color="000000"/>
              <w:bottom w:val="nil"/>
              <w:right w:val="nil"/>
            </w:tcBorders>
            <w:shd w:val="clear" w:color="auto" w:fill="FFFFFF"/>
            <w:vAlign w:val="center"/>
          </w:tcPr>
          <w:p w14:paraId="2FEA588D"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46.9 ± 1.3</w:t>
            </w:r>
          </w:p>
        </w:tc>
        <w:tc>
          <w:tcPr>
            <w:tcW w:w="709" w:type="dxa"/>
            <w:tcBorders>
              <w:top w:val="nil"/>
              <w:left w:val="nil"/>
              <w:bottom w:val="nil"/>
              <w:right w:val="nil"/>
            </w:tcBorders>
            <w:shd w:val="clear" w:color="auto" w:fill="FFFFFF"/>
            <w:vAlign w:val="center"/>
          </w:tcPr>
          <w:p w14:paraId="4C53D52A"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49.1 ± 2.9</w:t>
            </w:r>
          </w:p>
        </w:tc>
      </w:tr>
      <w:tr w:rsidR="002608DC" w:rsidRPr="00F11EA8" w14:paraId="68B09DB5" w14:textId="77777777" w:rsidTr="006716B6">
        <w:trPr>
          <w:trHeight w:val="291"/>
        </w:trPr>
        <w:tc>
          <w:tcPr>
            <w:tcW w:w="2269" w:type="dxa"/>
            <w:tcBorders>
              <w:top w:val="nil"/>
              <w:left w:val="nil"/>
              <w:bottom w:val="single" w:sz="4" w:space="0" w:color="FFFFFF" w:themeColor="background1"/>
              <w:right w:val="single" w:sz="4" w:space="0" w:color="000000"/>
            </w:tcBorders>
            <w:shd w:val="clear" w:color="auto" w:fill="FFFFFF"/>
            <w:tcMar>
              <w:top w:w="72" w:type="dxa"/>
              <w:left w:w="144" w:type="dxa"/>
              <w:bottom w:w="72" w:type="dxa"/>
              <w:right w:w="144" w:type="dxa"/>
            </w:tcMar>
            <w:vAlign w:val="center"/>
            <w:hideMark/>
          </w:tcPr>
          <w:p w14:paraId="07622A11"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Female number (%)</w:t>
            </w:r>
          </w:p>
        </w:tc>
        <w:tc>
          <w:tcPr>
            <w:tcW w:w="680" w:type="dxa"/>
            <w:tcBorders>
              <w:top w:val="nil"/>
              <w:left w:val="single" w:sz="4" w:space="0" w:color="000000"/>
              <w:bottom w:val="single" w:sz="4" w:space="0" w:color="FFFFFF" w:themeColor="background1"/>
              <w:right w:val="nil"/>
            </w:tcBorders>
            <w:shd w:val="clear" w:color="auto" w:fill="FFFFFF"/>
            <w:vAlign w:val="center"/>
          </w:tcPr>
          <w:p w14:paraId="5BF47A0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21 (51.3)</w:t>
            </w:r>
          </w:p>
        </w:tc>
        <w:tc>
          <w:tcPr>
            <w:tcW w:w="879" w:type="dxa"/>
            <w:tcBorders>
              <w:top w:val="nil"/>
              <w:left w:val="nil"/>
              <w:bottom w:val="single" w:sz="4" w:space="0" w:color="FFFFFF" w:themeColor="background1"/>
              <w:right w:val="single" w:sz="4" w:space="0" w:color="000000"/>
            </w:tcBorders>
            <w:shd w:val="clear" w:color="auto" w:fill="FFFFFF"/>
            <w:vAlign w:val="center"/>
          </w:tcPr>
          <w:p w14:paraId="4CF98288"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w:t>
            </w:r>
          </w:p>
          <w:p w14:paraId="1B11732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(50)</w:t>
            </w:r>
          </w:p>
        </w:tc>
        <w:tc>
          <w:tcPr>
            <w:tcW w:w="795" w:type="dxa"/>
            <w:tcBorders>
              <w:left w:val="single" w:sz="4" w:space="0" w:color="000000"/>
              <w:right w:val="single" w:sz="4" w:space="0" w:color="FFFFFF" w:themeColor="background1"/>
            </w:tcBorders>
            <w:shd w:val="clear" w:color="auto" w:fill="FFFFFF"/>
          </w:tcPr>
          <w:p w14:paraId="5B477D6C" w14:textId="77777777" w:rsid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13</w:t>
            </w:r>
          </w:p>
          <w:p w14:paraId="077B472F" w14:textId="00A1D3D0"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(53.8)</w:t>
            </w:r>
          </w:p>
        </w:tc>
        <w:tc>
          <w:tcPr>
            <w:tcW w:w="764" w:type="dxa"/>
            <w:tcBorders>
              <w:left w:val="single" w:sz="4" w:space="0" w:color="FFFFFF" w:themeColor="background1"/>
              <w:right w:val="single" w:sz="4" w:space="0" w:color="000000"/>
            </w:tcBorders>
            <w:shd w:val="clear" w:color="auto" w:fill="FFFFFF"/>
          </w:tcPr>
          <w:p w14:paraId="1F668967"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8</w:t>
            </w:r>
          </w:p>
          <w:p w14:paraId="3BB1F827"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(43.8)</w:t>
            </w:r>
          </w:p>
        </w:tc>
        <w:tc>
          <w:tcPr>
            <w:tcW w:w="993" w:type="dxa"/>
            <w:tcBorders>
              <w:top w:val="nil"/>
              <w:left w:val="single" w:sz="4" w:space="0" w:color="000000"/>
              <w:bottom w:val="single" w:sz="4" w:space="0" w:color="FFFFFF" w:themeColor="background1"/>
              <w:right w:val="nil"/>
            </w:tcBorders>
            <w:shd w:val="clear" w:color="auto" w:fill="FFFFFF"/>
            <w:tcMar>
              <w:top w:w="72" w:type="dxa"/>
              <w:left w:w="144" w:type="dxa"/>
              <w:bottom w:w="72" w:type="dxa"/>
              <w:right w:w="144" w:type="dxa"/>
            </w:tcMar>
            <w:vAlign w:val="center"/>
            <w:hideMark/>
          </w:tcPr>
          <w:p w14:paraId="3589D1CD"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40 (45.5)</w:t>
            </w:r>
          </w:p>
        </w:tc>
        <w:tc>
          <w:tcPr>
            <w:tcW w:w="850" w:type="dxa"/>
            <w:tcBorders>
              <w:top w:val="nil"/>
              <w:left w:val="nil"/>
              <w:bottom w:val="single" w:sz="4" w:space="0" w:color="FFFFFF" w:themeColor="background1"/>
              <w:right w:val="single" w:sz="4" w:space="0" w:color="000000"/>
            </w:tcBorders>
            <w:shd w:val="clear" w:color="auto" w:fill="FFFFFF"/>
            <w:tcMar>
              <w:top w:w="72" w:type="dxa"/>
              <w:left w:w="144" w:type="dxa"/>
              <w:bottom w:w="72" w:type="dxa"/>
              <w:right w:w="144" w:type="dxa"/>
            </w:tcMar>
            <w:vAlign w:val="center"/>
            <w:hideMark/>
          </w:tcPr>
          <w:p w14:paraId="034272F4"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35 (48.6)</w:t>
            </w:r>
          </w:p>
        </w:tc>
        <w:tc>
          <w:tcPr>
            <w:tcW w:w="709" w:type="dxa"/>
            <w:tcBorders>
              <w:top w:val="nil"/>
              <w:left w:val="single" w:sz="4" w:space="0" w:color="000000"/>
              <w:bottom w:val="single" w:sz="4" w:space="0" w:color="FFFFFF" w:themeColor="background1"/>
              <w:right w:val="nil"/>
            </w:tcBorders>
            <w:shd w:val="clear" w:color="auto" w:fill="FFFFFF"/>
            <w:vAlign w:val="center"/>
          </w:tcPr>
          <w:p w14:paraId="2740A713"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81 (56.3)</w:t>
            </w:r>
          </w:p>
        </w:tc>
        <w:tc>
          <w:tcPr>
            <w:tcW w:w="709" w:type="dxa"/>
            <w:tcBorders>
              <w:top w:val="nil"/>
              <w:left w:val="nil"/>
              <w:bottom w:val="single" w:sz="4" w:space="0" w:color="FFFFFF" w:themeColor="background1"/>
              <w:right w:val="nil"/>
            </w:tcBorders>
            <w:shd w:val="clear" w:color="auto" w:fill="FFFFFF"/>
            <w:vAlign w:val="center"/>
          </w:tcPr>
          <w:p w14:paraId="765652BA"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17 (58.6)</w:t>
            </w:r>
          </w:p>
        </w:tc>
      </w:tr>
      <w:tr w:rsidR="002608DC" w:rsidRPr="00F11EA8" w14:paraId="09BAFCE7" w14:textId="77777777" w:rsidTr="006716B6">
        <w:trPr>
          <w:trHeight w:val="291"/>
        </w:trPr>
        <w:tc>
          <w:tcPr>
            <w:tcW w:w="2269" w:type="dxa"/>
            <w:tcBorders>
              <w:top w:val="nil"/>
              <w:left w:val="nil"/>
              <w:bottom w:val="single" w:sz="4" w:space="0" w:color="FFFFFF" w:themeColor="background1"/>
              <w:right w:val="single" w:sz="4" w:space="0" w:color="000000"/>
            </w:tcBorders>
            <w:shd w:val="clear" w:color="auto" w:fill="FFFFFF"/>
            <w:tcMar>
              <w:top w:w="72" w:type="dxa"/>
              <w:left w:w="144" w:type="dxa"/>
              <w:bottom w:w="72" w:type="dxa"/>
              <w:right w:w="144" w:type="dxa"/>
            </w:tcMar>
            <w:vAlign w:val="center"/>
          </w:tcPr>
          <w:p w14:paraId="5A9F1792" w14:textId="77777777" w:rsidR="004E36CC" w:rsidRPr="00F11EA8" w:rsidRDefault="004E36CC" w:rsidP="006716B6">
            <w:pPr>
              <w:spacing w:after="0"/>
              <w:jc w:val="center"/>
              <w:rPr>
                <w:rFonts w:ascii="Times New Roman" w:hAnsi="Times New Roman" w:cs="Times New Roman"/>
                <w:b/>
                <w:bCs/>
                <w:sz w:val="20"/>
                <w:szCs w:val="20"/>
              </w:rPr>
            </w:pPr>
            <w:r w:rsidRPr="00F11EA8">
              <w:rPr>
                <w:rFonts w:ascii="Times New Roman" w:hAnsi="Times New Roman" w:cs="Times New Roman"/>
                <w:b/>
                <w:bCs/>
                <w:sz w:val="20"/>
                <w:szCs w:val="20"/>
              </w:rPr>
              <w:t>Male number (%)</w:t>
            </w:r>
          </w:p>
        </w:tc>
        <w:tc>
          <w:tcPr>
            <w:tcW w:w="680" w:type="dxa"/>
            <w:tcBorders>
              <w:top w:val="nil"/>
              <w:left w:val="single" w:sz="4" w:space="0" w:color="000000"/>
              <w:bottom w:val="single" w:sz="4" w:space="0" w:color="FFFFFF" w:themeColor="background1"/>
              <w:right w:val="nil"/>
            </w:tcBorders>
            <w:shd w:val="clear" w:color="auto" w:fill="FFFFFF"/>
            <w:vAlign w:val="center"/>
          </w:tcPr>
          <w:p w14:paraId="24582EAE"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20 (48.7)</w:t>
            </w:r>
          </w:p>
        </w:tc>
        <w:tc>
          <w:tcPr>
            <w:tcW w:w="879" w:type="dxa"/>
            <w:tcBorders>
              <w:top w:val="nil"/>
              <w:left w:val="nil"/>
              <w:bottom w:val="single" w:sz="4" w:space="0" w:color="FFFFFF" w:themeColor="background1"/>
              <w:right w:val="single" w:sz="4" w:space="0" w:color="000000"/>
            </w:tcBorders>
            <w:shd w:val="clear" w:color="auto" w:fill="FFFFFF"/>
            <w:vAlign w:val="center"/>
          </w:tcPr>
          <w:p w14:paraId="66039F9A"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w:t>
            </w:r>
          </w:p>
          <w:p w14:paraId="340EC158"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(50)</w:t>
            </w:r>
          </w:p>
        </w:tc>
        <w:tc>
          <w:tcPr>
            <w:tcW w:w="795" w:type="dxa"/>
            <w:tcBorders>
              <w:left w:val="single" w:sz="4" w:space="0" w:color="000000"/>
              <w:right w:val="single" w:sz="4" w:space="0" w:color="FFFFFF" w:themeColor="background1"/>
            </w:tcBorders>
            <w:shd w:val="clear" w:color="auto" w:fill="FFFFFF"/>
          </w:tcPr>
          <w:p w14:paraId="10BB4CDA" w14:textId="77777777" w:rsid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11</w:t>
            </w:r>
          </w:p>
          <w:p w14:paraId="351C241D" w14:textId="77F86EB0"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(46.2)</w:t>
            </w:r>
          </w:p>
        </w:tc>
        <w:tc>
          <w:tcPr>
            <w:tcW w:w="764" w:type="dxa"/>
            <w:tcBorders>
              <w:left w:val="single" w:sz="4" w:space="0" w:color="FFFFFF" w:themeColor="background1"/>
              <w:right w:val="single" w:sz="4" w:space="0" w:color="000000"/>
            </w:tcBorders>
            <w:shd w:val="clear" w:color="auto" w:fill="FFFFFF"/>
          </w:tcPr>
          <w:p w14:paraId="0A1D9B34" w14:textId="77777777" w:rsid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10</w:t>
            </w:r>
          </w:p>
          <w:p w14:paraId="13A22988" w14:textId="56475891"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(56.2)</w:t>
            </w:r>
          </w:p>
        </w:tc>
        <w:tc>
          <w:tcPr>
            <w:tcW w:w="993" w:type="dxa"/>
            <w:tcBorders>
              <w:top w:val="nil"/>
              <w:left w:val="single" w:sz="4" w:space="0" w:color="000000"/>
              <w:bottom w:val="single" w:sz="4" w:space="0" w:color="FFFFFF" w:themeColor="background1"/>
              <w:right w:val="nil"/>
            </w:tcBorders>
            <w:shd w:val="clear" w:color="auto" w:fill="FFFFFF"/>
            <w:tcMar>
              <w:top w:w="72" w:type="dxa"/>
              <w:left w:w="144" w:type="dxa"/>
              <w:bottom w:w="72" w:type="dxa"/>
              <w:right w:w="144" w:type="dxa"/>
            </w:tcMar>
            <w:vAlign w:val="center"/>
          </w:tcPr>
          <w:p w14:paraId="4F1FF45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48 (54.5)</w:t>
            </w:r>
          </w:p>
        </w:tc>
        <w:tc>
          <w:tcPr>
            <w:tcW w:w="850" w:type="dxa"/>
            <w:tcBorders>
              <w:top w:val="nil"/>
              <w:left w:val="nil"/>
              <w:bottom w:val="single" w:sz="4" w:space="0" w:color="FFFFFF" w:themeColor="background1"/>
              <w:right w:val="single" w:sz="4" w:space="0" w:color="000000"/>
            </w:tcBorders>
            <w:shd w:val="clear" w:color="auto" w:fill="FFFFFF"/>
            <w:tcMar>
              <w:top w:w="72" w:type="dxa"/>
              <w:left w:w="144" w:type="dxa"/>
              <w:bottom w:w="72" w:type="dxa"/>
              <w:right w:w="144" w:type="dxa"/>
            </w:tcMar>
            <w:vAlign w:val="center"/>
          </w:tcPr>
          <w:p w14:paraId="17ED6E59"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37 (51.4)</w:t>
            </w:r>
          </w:p>
        </w:tc>
        <w:tc>
          <w:tcPr>
            <w:tcW w:w="709" w:type="dxa"/>
            <w:tcBorders>
              <w:top w:val="nil"/>
              <w:left w:val="single" w:sz="4" w:space="0" w:color="000000"/>
              <w:bottom w:val="single" w:sz="4" w:space="0" w:color="FFFFFF" w:themeColor="background1"/>
              <w:right w:val="nil"/>
            </w:tcBorders>
            <w:shd w:val="clear" w:color="auto" w:fill="FFFFFF"/>
            <w:vAlign w:val="center"/>
          </w:tcPr>
          <w:p w14:paraId="0AAEFD6A"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63 (43.7)</w:t>
            </w:r>
          </w:p>
        </w:tc>
        <w:tc>
          <w:tcPr>
            <w:tcW w:w="709" w:type="dxa"/>
            <w:tcBorders>
              <w:top w:val="nil"/>
              <w:left w:val="nil"/>
              <w:bottom w:val="single" w:sz="4" w:space="0" w:color="FFFFFF" w:themeColor="background1"/>
              <w:right w:val="nil"/>
            </w:tcBorders>
            <w:shd w:val="clear" w:color="auto" w:fill="FFFFFF"/>
            <w:vAlign w:val="center"/>
          </w:tcPr>
          <w:p w14:paraId="763C7E0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12 (41.4)</w:t>
            </w:r>
          </w:p>
        </w:tc>
      </w:tr>
      <w:tr w:rsidR="002608DC" w:rsidRPr="00F11EA8" w14:paraId="6B898D1F" w14:textId="77777777" w:rsidTr="006716B6">
        <w:trPr>
          <w:trHeight w:val="291"/>
        </w:trPr>
        <w:tc>
          <w:tcPr>
            <w:tcW w:w="2269" w:type="dxa"/>
            <w:tcBorders>
              <w:top w:val="single" w:sz="4" w:space="0" w:color="FFFFFF" w:themeColor="background1"/>
              <w:left w:val="nil"/>
              <w:bottom w:val="single" w:sz="8" w:space="0" w:color="000000"/>
              <w:right w:val="single" w:sz="4" w:space="0" w:color="000000"/>
            </w:tcBorders>
            <w:shd w:val="clear" w:color="auto" w:fill="FFFFFF"/>
            <w:tcMar>
              <w:top w:w="72" w:type="dxa"/>
              <w:left w:w="144" w:type="dxa"/>
              <w:bottom w:w="72" w:type="dxa"/>
              <w:right w:w="144" w:type="dxa"/>
            </w:tcMar>
            <w:vAlign w:val="center"/>
          </w:tcPr>
          <w:p w14:paraId="6584EC3A" w14:textId="77777777" w:rsidR="004E36CC" w:rsidRPr="00F11EA8" w:rsidRDefault="004E36CC" w:rsidP="006716B6">
            <w:pPr>
              <w:spacing w:after="0"/>
              <w:jc w:val="center"/>
              <w:rPr>
                <w:rFonts w:ascii="Times New Roman" w:hAnsi="Times New Roman" w:cs="Times New Roman"/>
                <w:b/>
                <w:bCs/>
                <w:sz w:val="20"/>
                <w:szCs w:val="20"/>
              </w:rPr>
            </w:pPr>
            <w:r w:rsidRPr="00F11EA8">
              <w:rPr>
                <w:rFonts w:ascii="Times New Roman" w:hAnsi="Times New Roman" w:cs="Times New Roman"/>
                <w:b/>
                <w:bCs/>
                <w:sz w:val="20"/>
                <w:szCs w:val="20"/>
              </w:rPr>
              <w:t>Malignant (%)</w:t>
            </w:r>
          </w:p>
        </w:tc>
        <w:tc>
          <w:tcPr>
            <w:tcW w:w="680" w:type="dxa"/>
            <w:tcBorders>
              <w:top w:val="single" w:sz="4" w:space="0" w:color="FFFFFF" w:themeColor="background1"/>
              <w:left w:val="single" w:sz="4" w:space="0" w:color="000000"/>
              <w:bottom w:val="single" w:sz="8" w:space="0" w:color="000000"/>
              <w:right w:val="nil"/>
            </w:tcBorders>
            <w:shd w:val="clear" w:color="auto" w:fill="FFFFFF"/>
            <w:vAlign w:val="center"/>
          </w:tcPr>
          <w:p w14:paraId="376763C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879" w:type="dxa"/>
            <w:tcBorders>
              <w:top w:val="single" w:sz="4" w:space="0" w:color="FFFFFF" w:themeColor="background1"/>
              <w:left w:val="nil"/>
              <w:bottom w:val="single" w:sz="8" w:space="0" w:color="000000"/>
              <w:right w:val="single" w:sz="4" w:space="0" w:color="000000"/>
            </w:tcBorders>
            <w:shd w:val="clear" w:color="auto" w:fill="FFFFFF"/>
            <w:vAlign w:val="center"/>
          </w:tcPr>
          <w:p w14:paraId="146AD887"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795" w:type="dxa"/>
            <w:tcBorders>
              <w:left w:val="single" w:sz="4" w:space="0" w:color="000000"/>
              <w:bottom w:val="single" w:sz="8" w:space="0" w:color="000000"/>
              <w:right w:val="single" w:sz="4" w:space="0" w:color="FFFFFF" w:themeColor="background1"/>
            </w:tcBorders>
            <w:shd w:val="clear" w:color="auto" w:fill="FFFFFF"/>
          </w:tcPr>
          <w:p w14:paraId="62017EB8"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764" w:type="dxa"/>
            <w:tcBorders>
              <w:left w:val="single" w:sz="4" w:space="0" w:color="FFFFFF" w:themeColor="background1"/>
              <w:bottom w:val="single" w:sz="8" w:space="0" w:color="000000"/>
              <w:right w:val="single" w:sz="4" w:space="0" w:color="000000"/>
            </w:tcBorders>
            <w:shd w:val="clear" w:color="auto" w:fill="FFFFFF"/>
          </w:tcPr>
          <w:p w14:paraId="6E674437"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993" w:type="dxa"/>
            <w:tcBorders>
              <w:top w:val="single" w:sz="4" w:space="0" w:color="FFFFFF" w:themeColor="background1"/>
              <w:left w:val="single" w:sz="4" w:space="0" w:color="000000"/>
              <w:bottom w:val="single" w:sz="8" w:space="0" w:color="000000"/>
              <w:right w:val="nil"/>
            </w:tcBorders>
            <w:shd w:val="clear" w:color="auto" w:fill="FFFFFF"/>
            <w:tcMar>
              <w:top w:w="72" w:type="dxa"/>
              <w:left w:w="144" w:type="dxa"/>
              <w:bottom w:w="72" w:type="dxa"/>
              <w:right w:w="144" w:type="dxa"/>
            </w:tcMar>
            <w:vAlign w:val="center"/>
          </w:tcPr>
          <w:p w14:paraId="0AB0D6FD"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43.3</w:t>
            </w:r>
          </w:p>
        </w:tc>
        <w:tc>
          <w:tcPr>
            <w:tcW w:w="850" w:type="dxa"/>
            <w:tcBorders>
              <w:top w:val="single" w:sz="4" w:space="0" w:color="FFFFFF" w:themeColor="background1"/>
              <w:left w:val="nil"/>
              <w:bottom w:val="single" w:sz="8" w:space="0" w:color="000000"/>
              <w:right w:val="single" w:sz="4" w:space="0" w:color="000000"/>
            </w:tcBorders>
            <w:shd w:val="clear" w:color="auto" w:fill="FFFFFF"/>
            <w:tcMar>
              <w:top w:w="72" w:type="dxa"/>
              <w:left w:w="144" w:type="dxa"/>
              <w:bottom w:w="72" w:type="dxa"/>
              <w:right w:w="144" w:type="dxa"/>
            </w:tcMar>
            <w:vAlign w:val="center"/>
          </w:tcPr>
          <w:p w14:paraId="3D3455B1"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61.1</w:t>
            </w:r>
          </w:p>
        </w:tc>
        <w:tc>
          <w:tcPr>
            <w:tcW w:w="709" w:type="dxa"/>
            <w:tcBorders>
              <w:top w:val="single" w:sz="4" w:space="0" w:color="FFFFFF" w:themeColor="background1"/>
              <w:left w:val="single" w:sz="4" w:space="0" w:color="000000"/>
              <w:bottom w:val="single" w:sz="8" w:space="0" w:color="000000"/>
              <w:right w:val="nil"/>
            </w:tcBorders>
            <w:shd w:val="clear" w:color="auto" w:fill="FFFFFF"/>
            <w:vAlign w:val="center"/>
          </w:tcPr>
          <w:p w14:paraId="1BC84078"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6.9</w:t>
            </w:r>
          </w:p>
        </w:tc>
        <w:tc>
          <w:tcPr>
            <w:tcW w:w="709" w:type="dxa"/>
            <w:tcBorders>
              <w:top w:val="single" w:sz="4" w:space="0" w:color="FFFFFF" w:themeColor="background1"/>
              <w:left w:val="nil"/>
              <w:bottom w:val="single" w:sz="8" w:space="0" w:color="000000"/>
              <w:right w:val="nil"/>
            </w:tcBorders>
            <w:shd w:val="clear" w:color="auto" w:fill="FFFFFF"/>
            <w:vAlign w:val="center"/>
          </w:tcPr>
          <w:p w14:paraId="6C5DF4E9"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20.7</w:t>
            </w:r>
          </w:p>
        </w:tc>
      </w:tr>
      <w:tr w:rsidR="002608DC" w:rsidRPr="00F11EA8" w14:paraId="0479390D" w14:textId="77777777" w:rsidTr="006716B6">
        <w:trPr>
          <w:trHeight w:val="291"/>
        </w:trPr>
        <w:tc>
          <w:tcPr>
            <w:tcW w:w="2269"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16F7CF7B" w14:textId="77777777" w:rsidR="004E36CC" w:rsidRPr="00F11EA8" w:rsidRDefault="004E36CC" w:rsidP="006716B6">
            <w:pPr>
              <w:spacing w:after="0"/>
              <w:rPr>
                <w:rFonts w:ascii="Times New Roman" w:hAnsi="Times New Roman" w:cs="Times New Roman"/>
                <w:sz w:val="20"/>
                <w:szCs w:val="20"/>
                <w:lang w:val="en-US"/>
              </w:rPr>
            </w:pPr>
          </w:p>
        </w:tc>
        <w:tc>
          <w:tcPr>
            <w:tcW w:w="6379" w:type="dxa"/>
            <w:gridSpan w:val="8"/>
            <w:tcBorders>
              <w:top w:val="single" w:sz="8" w:space="0" w:color="000000"/>
              <w:left w:val="nil"/>
              <w:bottom w:val="single" w:sz="8" w:space="0" w:color="000000"/>
              <w:right w:val="nil"/>
            </w:tcBorders>
            <w:shd w:val="clear" w:color="auto" w:fill="FFFFFF"/>
          </w:tcPr>
          <w:p w14:paraId="3BDF66D8" w14:textId="77777777" w:rsidR="004E36CC" w:rsidRPr="00F11EA8" w:rsidRDefault="004E36CC" w:rsidP="006716B6">
            <w:pPr>
              <w:spacing w:after="0"/>
              <w:ind w:right="-285"/>
              <w:jc w:val="center"/>
              <w:rPr>
                <w:rFonts w:ascii="Times New Roman" w:hAnsi="Times New Roman" w:cs="Times New Roman"/>
                <w:b/>
                <w:bCs/>
                <w:sz w:val="20"/>
                <w:szCs w:val="20"/>
              </w:rPr>
            </w:pPr>
            <w:r w:rsidRPr="00F11EA8">
              <w:rPr>
                <w:rFonts w:ascii="Times New Roman" w:hAnsi="Times New Roman" w:cs="Times New Roman"/>
                <w:b/>
                <w:bCs/>
                <w:sz w:val="20"/>
                <w:szCs w:val="20"/>
              </w:rPr>
              <w:t>Molecular cluster</w:t>
            </w:r>
          </w:p>
        </w:tc>
      </w:tr>
      <w:tr w:rsidR="002608DC" w:rsidRPr="00F11EA8" w14:paraId="6D859426" w14:textId="77777777" w:rsidTr="006716B6">
        <w:trPr>
          <w:trHeight w:val="291"/>
        </w:trPr>
        <w:tc>
          <w:tcPr>
            <w:tcW w:w="2269" w:type="dxa"/>
            <w:tcBorders>
              <w:top w:val="single" w:sz="8" w:space="0" w:color="000000"/>
              <w:left w:val="nil"/>
              <w:bottom w:val="nil"/>
              <w:right w:val="single" w:sz="4" w:space="0" w:color="000000"/>
            </w:tcBorders>
            <w:shd w:val="clear" w:color="auto" w:fill="FFFFFF"/>
            <w:tcMar>
              <w:top w:w="72" w:type="dxa"/>
              <w:left w:w="144" w:type="dxa"/>
              <w:bottom w:w="72" w:type="dxa"/>
              <w:right w:w="144" w:type="dxa"/>
            </w:tcMar>
            <w:vAlign w:val="center"/>
            <w:hideMark/>
          </w:tcPr>
          <w:p w14:paraId="398E4D43"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Pseudohypoxia</w:t>
            </w:r>
          </w:p>
        </w:tc>
        <w:tc>
          <w:tcPr>
            <w:tcW w:w="680" w:type="dxa"/>
            <w:tcBorders>
              <w:top w:val="single" w:sz="8" w:space="0" w:color="000000"/>
              <w:left w:val="single" w:sz="4" w:space="0" w:color="000000"/>
              <w:bottom w:val="nil"/>
              <w:right w:val="nil"/>
            </w:tcBorders>
            <w:shd w:val="clear" w:color="auto" w:fill="FFFFFF"/>
            <w:vAlign w:val="center"/>
          </w:tcPr>
          <w:p w14:paraId="2336DD4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879" w:type="dxa"/>
            <w:tcBorders>
              <w:top w:val="single" w:sz="8" w:space="0" w:color="000000"/>
              <w:left w:val="nil"/>
              <w:bottom w:val="nil"/>
              <w:right w:val="single" w:sz="4" w:space="0" w:color="000000"/>
            </w:tcBorders>
            <w:shd w:val="clear" w:color="auto" w:fill="FFFFFF"/>
            <w:vAlign w:val="center"/>
          </w:tcPr>
          <w:p w14:paraId="0AD2DF42"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795" w:type="dxa"/>
            <w:tcBorders>
              <w:top w:val="single" w:sz="8" w:space="0" w:color="000000"/>
              <w:left w:val="single" w:sz="4" w:space="0" w:color="000000"/>
              <w:right w:val="single" w:sz="4" w:space="0" w:color="FFFFFF"/>
            </w:tcBorders>
            <w:shd w:val="clear" w:color="auto" w:fill="FFFFFF"/>
            <w:vAlign w:val="center"/>
          </w:tcPr>
          <w:p w14:paraId="56CB95E1"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w:t>
            </w:r>
          </w:p>
        </w:tc>
        <w:tc>
          <w:tcPr>
            <w:tcW w:w="764" w:type="dxa"/>
            <w:tcBorders>
              <w:top w:val="single" w:sz="8" w:space="0" w:color="000000"/>
              <w:left w:val="single" w:sz="4" w:space="0" w:color="FFFFFF"/>
              <w:right w:val="single" w:sz="4" w:space="0" w:color="000000"/>
            </w:tcBorders>
            <w:shd w:val="clear" w:color="auto" w:fill="FFFFFF"/>
            <w:vAlign w:val="center"/>
          </w:tcPr>
          <w:p w14:paraId="5B41CDB3"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11</w:t>
            </w:r>
          </w:p>
        </w:tc>
        <w:tc>
          <w:tcPr>
            <w:tcW w:w="993" w:type="dxa"/>
            <w:tcBorders>
              <w:top w:val="single" w:sz="8" w:space="0" w:color="000000"/>
              <w:left w:val="single" w:sz="4" w:space="0" w:color="000000"/>
              <w:bottom w:val="nil"/>
              <w:right w:val="single" w:sz="4" w:space="0" w:color="FFFFFF"/>
            </w:tcBorders>
            <w:shd w:val="clear" w:color="auto" w:fill="FFFFFF"/>
            <w:tcMar>
              <w:top w:w="72" w:type="dxa"/>
              <w:left w:w="144" w:type="dxa"/>
              <w:bottom w:w="72" w:type="dxa"/>
              <w:right w:w="144" w:type="dxa"/>
            </w:tcMar>
            <w:vAlign w:val="center"/>
            <w:hideMark/>
          </w:tcPr>
          <w:p w14:paraId="067D3AA0"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26</w:t>
            </w:r>
          </w:p>
        </w:tc>
        <w:tc>
          <w:tcPr>
            <w:tcW w:w="850" w:type="dxa"/>
            <w:tcBorders>
              <w:top w:val="single" w:sz="8" w:space="0" w:color="000000"/>
              <w:left w:val="single" w:sz="4" w:space="0" w:color="FFFFFF"/>
              <w:bottom w:val="nil"/>
              <w:right w:val="single" w:sz="4" w:space="0" w:color="000000"/>
            </w:tcBorders>
            <w:shd w:val="clear" w:color="auto" w:fill="FFFFFF"/>
            <w:tcMar>
              <w:top w:w="72" w:type="dxa"/>
              <w:left w:w="144" w:type="dxa"/>
              <w:bottom w:w="72" w:type="dxa"/>
              <w:right w:w="144" w:type="dxa"/>
            </w:tcMar>
            <w:vAlign w:val="center"/>
            <w:hideMark/>
          </w:tcPr>
          <w:p w14:paraId="0D3EC380"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54</w:t>
            </w:r>
          </w:p>
        </w:tc>
        <w:tc>
          <w:tcPr>
            <w:tcW w:w="709" w:type="dxa"/>
            <w:tcBorders>
              <w:top w:val="single" w:sz="8" w:space="0" w:color="000000"/>
              <w:left w:val="single" w:sz="4" w:space="0" w:color="000000"/>
              <w:bottom w:val="nil"/>
              <w:right w:val="nil"/>
            </w:tcBorders>
            <w:shd w:val="clear" w:color="auto" w:fill="FFFFFF"/>
            <w:vAlign w:val="center"/>
          </w:tcPr>
          <w:p w14:paraId="3BDEC1E5"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35</w:t>
            </w:r>
          </w:p>
        </w:tc>
        <w:tc>
          <w:tcPr>
            <w:tcW w:w="709" w:type="dxa"/>
            <w:tcBorders>
              <w:top w:val="single" w:sz="8" w:space="0" w:color="000000"/>
              <w:left w:val="nil"/>
              <w:bottom w:val="nil"/>
              <w:right w:val="nil"/>
            </w:tcBorders>
            <w:shd w:val="clear" w:color="auto" w:fill="FFFFFF"/>
            <w:vAlign w:val="center"/>
          </w:tcPr>
          <w:p w14:paraId="6BC1311A"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26</w:t>
            </w:r>
          </w:p>
        </w:tc>
      </w:tr>
      <w:tr w:rsidR="002608DC" w:rsidRPr="00F11EA8" w14:paraId="24ED2130" w14:textId="77777777" w:rsidTr="006716B6">
        <w:trPr>
          <w:trHeight w:val="20"/>
        </w:trPr>
        <w:tc>
          <w:tcPr>
            <w:tcW w:w="2269" w:type="dxa"/>
            <w:tcBorders>
              <w:top w:val="nil"/>
              <w:left w:val="nil"/>
              <w:bottom w:val="nil"/>
              <w:right w:val="single" w:sz="4" w:space="0" w:color="000000"/>
            </w:tcBorders>
            <w:shd w:val="clear" w:color="auto" w:fill="FFFFFF"/>
            <w:tcMar>
              <w:top w:w="72" w:type="dxa"/>
              <w:left w:w="144" w:type="dxa"/>
              <w:bottom w:w="72" w:type="dxa"/>
              <w:right w:w="144" w:type="dxa"/>
            </w:tcMar>
            <w:vAlign w:val="center"/>
            <w:hideMark/>
          </w:tcPr>
          <w:p w14:paraId="3891709D"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Kinase signaling</w:t>
            </w:r>
          </w:p>
        </w:tc>
        <w:tc>
          <w:tcPr>
            <w:tcW w:w="680" w:type="dxa"/>
            <w:tcBorders>
              <w:top w:val="nil"/>
              <w:left w:val="single" w:sz="4" w:space="0" w:color="000000"/>
              <w:bottom w:val="nil"/>
              <w:right w:val="nil"/>
            </w:tcBorders>
            <w:shd w:val="clear" w:color="auto" w:fill="FFFFFF"/>
            <w:vAlign w:val="center"/>
          </w:tcPr>
          <w:p w14:paraId="3E9A05C9"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879" w:type="dxa"/>
            <w:tcBorders>
              <w:top w:val="nil"/>
              <w:left w:val="nil"/>
              <w:bottom w:val="nil"/>
              <w:right w:val="single" w:sz="4" w:space="0" w:color="000000"/>
            </w:tcBorders>
            <w:shd w:val="clear" w:color="auto" w:fill="FFFFFF"/>
            <w:vAlign w:val="center"/>
          </w:tcPr>
          <w:p w14:paraId="35DCC630"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795" w:type="dxa"/>
            <w:tcBorders>
              <w:left w:val="single" w:sz="4" w:space="0" w:color="000000"/>
              <w:right w:val="single" w:sz="4" w:space="0" w:color="FFFFFF"/>
            </w:tcBorders>
            <w:shd w:val="clear" w:color="auto" w:fill="FFFFFF"/>
            <w:vAlign w:val="center"/>
          </w:tcPr>
          <w:p w14:paraId="71ABF4EE"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6</w:t>
            </w:r>
          </w:p>
        </w:tc>
        <w:tc>
          <w:tcPr>
            <w:tcW w:w="764" w:type="dxa"/>
            <w:tcBorders>
              <w:left w:val="single" w:sz="4" w:space="0" w:color="FFFFFF"/>
              <w:right w:val="single" w:sz="4" w:space="0" w:color="000000"/>
            </w:tcBorders>
            <w:shd w:val="clear" w:color="auto" w:fill="FFFFFF"/>
            <w:vAlign w:val="center"/>
          </w:tcPr>
          <w:p w14:paraId="6CE031F7"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w:t>
            </w:r>
          </w:p>
        </w:tc>
        <w:tc>
          <w:tcPr>
            <w:tcW w:w="993" w:type="dxa"/>
            <w:tcBorders>
              <w:top w:val="nil"/>
              <w:left w:val="single" w:sz="4" w:space="0" w:color="000000"/>
              <w:bottom w:val="nil"/>
              <w:right w:val="single" w:sz="4" w:space="0" w:color="FFFFFF"/>
            </w:tcBorders>
            <w:shd w:val="clear" w:color="auto" w:fill="FFFFFF"/>
            <w:tcMar>
              <w:top w:w="72" w:type="dxa"/>
              <w:left w:w="144" w:type="dxa"/>
              <w:bottom w:w="72" w:type="dxa"/>
              <w:right w:w="144" w:type="dxa"/>
            </w:tcMar>
            <w:vAlign w:val="center"/>
            <w:hideMark/>
          </w:tcPr>
          <w:p w14:paraId="6FE9B2F5"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54</w:t>
            </w:r>
          </w:p>
        </w:tc>
        <w:tc>
          <w:tcPr>
            <w:tcW w:w="850" w:type="dxa"/>
            <w:tcBorders>
              <w:top w:val="nil"/>
              <w:left w:val="single" w:sz="4" w:space="0" w:color="FFFFFF"/>
              <w:bottom w:val="nil"/>
              <w:right w:val="single" w:sz="4" w:space="0" w:color="000000"/>
            </w:tcBorders>
            <w:shd w:val="clear" w:color="auto" w:fill="FFFFFF"/>
            <w:tcMar>
              <w:top w:w="72" w:type="dxa"/>
              <w:left w:w="144" w:type="dxa"/>
              <w:bottom w:w="72" w:type="dxa"/>
              <w:right w:w="144" w:type="dxa"/>
            </w:tcMar>
            <w:vAlign w:val="center"/>
            <w:hideMark/>
          </w:tcPr>
          <w:p w14:paraId="7383664C"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17</w:t>
            </w:r>
          </w:p>
        </w:tc>
        <w:tc>
          <w:tcPr>
            <w:tcW w:w="709" w:type="dxa"/>
            <w:tcBorders>
              <w:top w:val="nil"/>
              <w:left w:val="single" w:sz="4" w:space="0" w:color="000000"/>
              <w:bottom w:val="nil"/>
              <w:right w:val="nil"/>
            </w:tcBorders>
            <w:shd w:val="clear" w:color="auto" w:fill="FFFFFF"/>
            <w:vAlign w:val="center"/>
          </w:tcPr>
          <w:p w14:paraId="12F8773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65</w:t>
            </w:r>
          </w:p>
        </w:tc>
        <w:tc>
          <w:tcPr>
            <w:tcW w:w="709" w:type="dxa"/>
            <w:tcBorders>
              <w:top w:val="nil"/>
              <w:left w:val="nil"/>
              <w:bottom w:val="nil"/>
              <w:right w:val="nil"/>
            </w:tcBorders>
            <w:shd w:val="clear" w:color="auto" w:fill="FFFFFF"/>
            <w:vAlign w:val="center"/>
          </w:tcPr>
          <w:p w14:paraId="610200FF"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3</w:t>
            </w:r>
          </w:p>
        </w:tc>
      </w:tr>
      <w:tr w:rsidR="002608DC" w:rsidRPr="00F11EA8" w14:paraId="3D79E922" w14:textId="77777777" w:rsidTr="006716B6">
        <w:trPr>
          <w:trHeight w:val="291"/>
        </w:trPr>
        <w:tc>
          <w:tcPr>
            <w:tcW w:w="2269" w:type="dxa"/>
            <w:tcBorders>
              <w:top w:val="nil"/>
              <w:left w:val="nil"/>
              <w:bottom w:val="single" w:sz="12" w:space="0" w:color="000000"/>
              <w:right w:val="single" w:sz="4" w:space="0" w:color="000000"/>
            </w:tcBorders>
            <w:shd w:val="clear" w:color="auto" w:fill="FFFFFF"/>
            <w:tcMar>
              <w:top w:w="72" w:type="dxa"/>
              <w:left w:w="144" w:type="dxa"/>
              <w:bottom w:w="72" w:type="dxa"/>
              <w:right w:w="144" w:type="dxa"/>
            </w:tcMar>
            <w:vAlign w:val="center"/>
            <w:hideMark/>
          </w:tcPr>
          <w:p w14:paraId="381EED27"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b/>
                <w:bCs/>
                <w:sz w:val="20"/>
                <w:szCs w:val="20"/>
              </w:rPr>
              <w:t>Wnt-altered</w:t>
            </w:r>
          </w:p>
        </w:tc>
        <w:tc>
          <w:tcPr>
            <w:tcW w:w="680" w:type="dxa"/>
            <w:tcBorders>
              <w:top w:val="nil"/>
              <w:left w:val="single" w:sz="4" w:space="0" w:color="000000"/>
              <w:bottom w:val="single" w:sz="12" w:space="0" w:color="000000"/>
              <w:right w:val="nil"/>
            </w:tcBorders>
            <w:shd w:val="clear" w:color="auto" w:fill="FFFFFF"/>
            <w:vAlign w:val="center"/>
          </w:tcPr>
          <w:p w14:paraId="157CCC49"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879" w:type="dxa"/>
            <w:tcBorders>
              <w:top w:val="nil"/>
              <w:left w:val="nil"/>
              <w:bottom w:val="single" w:sz="12" w:space="0" w:color="000000"/>
              <w:right w:val="single" w:sz="4" w:space="0" w:color="000000"/>
            </w:tcBorders>
            <w:shd w:val="clear" w:color="auto" w:fill="FFFFFF"/>
            <w:vAlign w:val="center"/>
          </w:tcPr>
          <w:p w14:paraId="6FB5BB33"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NA</w:t>
            </w:r>
          </w:p>
        </w:tc>
        <w:tc>
          <w:tcPr>
            <w:tcW w:w="795" w:type="dxa"/>
            <w:tcBorders>
              <w:left w:val="single" w:sz="4" w:space="0" w:color="000000"/>
              <w:bottom w:val="single" w:sz="12" w:space="0" w:color="000000"/>
              <w:right w:val="single" w:sz="4" w:space="0" w:color="FFFFFF"/>
            </w:tcBorders>
            <w:shd w:val="clear" w:color="auto" w:fill="FFFFFF"/>
            <w:vAlign w:val="center"/>
          </w:tcPr>
          <w:p w14:paraId="29DB7396"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1</w:t>
            </w:r>
          </w:p>
        </w:tc>
        <w:tc>
          <w:tcPr>
            <w:tcW w:w="764" w:type="dxa"/>
            <w:tcBorders>
              <w:left w:val="single" w:sz="4" w:space="0" w:color="FFFFFF"/>
              <w:bottom w:val="single" w:sz="12" w:space="0" w:color="000000"/>
              <w:right w:val="single" w:sz="4" w:space="0" w:color="000000"/>
            </w:tcBorders>
            <w:shd w:val="clear" w:color="auto" w:fill="FFFFFF"/>
            <w:vAlign w:val="center"/>
          </w:tcPr>
          <w:p w14:paraId="62EE163C"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w:t>
            </w:r>
          </w:p>
        </w:tc>
        <w:tc>
          <w:tcPr>
            <w:tcW w:w="993" w:type="dxa"/>
            <w:tcBorders>
              <w:top w:val="nil"/>
              <w:left w:val="single" w:sz="4" w:space="0" w:color="000000"/>
              <w:bottom w:val="single" w:sz="12" w:space="0" w:color="000000"/>
              <w:right w:val="single" w:sz="4" w:space="0" w:color="FFFFFF"/>
            </w:tcBorders>
            <w:shd w:val="clear" w:color="auto" w:fill="FFFFFF"/>
            <w:tcMar>
              <w:top w:w="72" w:type="dxa"/>
              <w:left w:w="144" w:type="dxa"/>
              <w:bottom w:w="72" w:type="dxa"/>
              <w:right w:w="144" w:type="dxa"/>
            </w:tcMar>
            <w:vAlign w:val="center"/>
            <w:hideMark/>
          </w:tcPr>
          <w:p w14:paraId="62D7E658"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9</w:t>
            </w:r>
          </w:p>
        </w:tc>
        <w:tc>
          <w:tcPr>
            <w:tcW w:w="850" w:type="dxa"/>
            <w:tcBorders>
              <w:top w:val="nil"/>
              <w:left w:val="single" w:sz="4" w:space="0" w:color="FFFFFF"/>
              <w:bottom w:val="single" w:sz="12" w:space="0" w:color="000000"/>
              <w:right w:val="single" w:sz="4" w:space="0" w:color="000000"/>
            </w:tcBorders>
            <w:shd w:val="clear" w:color="auto" w:fill="FFFFFF"/>
            <w:tcMar>
              <w:top w:w="72" w:type="dxa"/>
              <w:left w:w="144" w:type="dxa"/>
              <w:bottom w:w="72" w:type="dxa"/>
              <w:right w:w="144" w:type="dxa"/>
            </w:tcMar>
            <w:vAlign w:val="center"/>
            <w:hideMark/>
          </w:tcPr>
          <w:p w14:paraId="0FACA30D" w14:textId="77777777" w:rsidR="004E36CC" w:rsidRPr="00F11EA8" w:rsidRDefault="004E36CC" w:rsidP="006716B6">
            <w:pPr>
              <w:spacing w:after="0"/>
              <w:jc w:val="center"/>
              <w:rPr>
                <w:rFonts w:ascii="Times New Roman" w:hAnsi="Times New Roman" w:cs="Times New Roman"/>
                <w:sz w:val="20"/>
                <w:szCs w:val="20"/>
                <w:lang w:val="en-US"/>
              </w:rPr>
            </w:pPr>
            <w:r w:rsidRPr="00F11EA8">
              <w:rPr>
                <w:rFonts w:ascii="Times New Roman" w:hAnsi="Times New Roman" w:cs="Times New Roman"/>
                <w:sz w:val="20"/>
                <w:szCs w:val="20"/>
              </w:rPr>
              <w:t>0</w:t>
            </w:r>
          </w:p>
        </w:tc>
        <w:tc>
          <w:tcPr>
            <w:tcW w:w="709" w:type="dxa"/>
            <w:tcBorders>
              <w:top w:val="nil"/>
              <w:left w:val="single" w:sz="4" w:space="0" w:color="000000"/>
              <w:bottom w:val="single" w:sz="12" w:space="0" w:color="000000"/>
              <w:right w:val="nil"/>
            </w:tcBorders>
            <w:shd w:val="clear" w:color="auto" w:fill="FFFFFF"/>
            <w:vAlign w:val="center"/>
          </w:tcPr>
          <w:p w14:paraId="6CF7DE78"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22</w:t>
            </w:r>
          </w:p>
        </w:tc>
        <w:tc>
          <w:tcPr>
            <w:tcW w:w="709" w:type="dxa"/>
            <w:tcBorders>
              <w:top w:val="nil"/>
              <w:left w:val="nil"/>
              <w:bottom w:val="single" w:sz="12" w:space="0" w:color="000000"/>
              <w:right w:val="nil"/>
            </w:tcBorders>
            <w:shd w:val="clear" w:color="auto" w:fill="FFFFFF"/>
            <w:vAlign w:val="center"/>
          </w:tcPr>
          <w:p w14:paraId="7C1E9CFF" w14:textId="77777777" w:rsidR="004E36CC" w:rsidRPr="00F11EA8" w:rsidRDefault="004E36CC" w:rsidP="006716B6">
            <w:pPr>
              <w:spacing w:after="0"/>
              <w:jc w:val="center"/>
              <w:rPr>
                <w:rFonts w:ascii="Times New Roman" w:hAnsi="Times New Roman" w:cs="Times New Roman"/>
                <w:sz w:val="20"/>
                <w:szCs w:val="20"/>
              </w:rPr>
            </w:pPr>
            <w:r w:rsidRPr="00F11EA8">
              <w:rPr>
                <w:rFonts w:ascii="Times New Roman" w:hAnsi="Times New Roman" w:cs="Times New Roman"/>
                <w:sz w:val="20"/>
                <w:szCs w:val="20"/>
              </w:rPr>
              <w:t>0</w:t>
            </w:r>
          </w:p>
        </w:tc>
      </w:tr>
    </w:tbl>
    <w:p w14:paraId="51B126F0" w14:textId="77777777" w:rsidR="00315CBF" w:rsidRPr="00F11EA8" w:rsidRDefault="004E36CC">
      <w:pPr>
        <w:rPr>
          <w:rFonts w:ascii="Times New Roman" w:hAnsi="Times New Roman" w:cs="Times New Roman"/>
          <w:sz w:val="20"/>
          <w:szCs w:val="20"/>
          <w:lang w:val="en-US"/>
        </w:rPr>
      </w:pPr>
      <w:r w:rsidRPr="00F11EA8">
        <w:rPr>
          <w:rFonts w:ascii="Times New Roman" w:hAnsi="Times New Roman" w:cs="Times New Roman"/>
          <w:sz w:val="20"/>
          <w:szCs w:val="20"/>
          <w:lang w:val="en-US"/>
        </w:rPr>
        <w:t>PCC: pheochromocytomas; PGL: paragangliomas.</w:t>
      </w:r>
    </w:p>
    <w:p w14:paraId="5997FFE3" w14:textId="3F107D14" w:rsidR="00080AAE" w:rsidRPr="00F11EA8" w:rsidRDefault="00080AAE">
      <w:pPr>
        <w:rPr>
          <w:rFonts w:ascii="Times New Roman" w:hAnsi="Times New Roman" w:cs="Times New Roman"/>
          <w:sz w:val="20"/>
          <w:szCs w:val="20"/>
          <w:lang w:val="en-US"/>
        </w:rPr>
      </w:pPr>
      <w:r w:rsidRPr="00F11EA8">
        <w:rPr>
          <w:rFonts w:ascii="Times New Roman" w:hAnsi="Times New Roman" w:cs="Times New Roman"/>
          <w:sz w:val="20"/>
          <w:szCs w:val="20"/>
          <w:lang w:val="en-US"/>
        </w:rPr>
        <w:br w:type="page"/>
      </w:r>
    </w:p>
    <w:p w14:paraId="2B63B12B" w14:textId="5B1EBB57" w:rsidR="00080AAE" w:rsidRPr="00F11EA8" w:rsidRDefault="00080AAE" w:rsidP="00315CBF">
      <w:pPr>
        <w:spacing w:line="480" w:lineRule="auto"/>
        <w:jc w:val="both"/>
        <w:rPr>
          <w:rFonts w:ascii="Times New Roman" w:hAnsi="Times New Roman" w:cs="Times New Roman"/>
          <w:b/>
          <w:bCs/>
          <w:sz w:val="20"/>
          <w:szCs w:val="20"/>
          <w:u w:val="single"/>
          <w:lang w:val="en-US"/>
        </w:rPr>
      </w:pPr>
      <w:r w:rsidRPr="00F11EA8">
        <w:rPr>
          <w:rFonts w:ascii="Times New Roman" w:hAnsi="Times New Roman" w:cs="Times New Roman"/>
          <w:b/>
          <w:bCs/>
          <w:sz w:val="20"/>
          <w:szCs w:val="20"/>
          <w:u w:val="single"/>
          <w:lang w:val="en-US"/>
        </w:rPr>
        <w:lastRenderedPageBreak/>
        <w:t>Supplementa</w:t>
      </w:r>
      <w:r w:rsidR="0068721C" w:rsidRPr="00F11EA8">
        <w:rPr>
          <w:rFonts w:ascii="Times New Roman" w:hAnsi="Times New Roman" w:cs="Times New Roman"/>
          <w:b/>
          <w:bCs/>
          <w:sz w:val="20"/>
          <w:szCs w:val="20"/>
          <w:u w:val="single"/>
          <w:lang w:val="en-US"/>
        </w:rPr>
        <w:t>ry</w:t>
      </w:r>
      <w:r w:rsidRPr="00F11EA8">
        <w:rPr>
          <w:rFonts w:ascii="Times New Roman" w:hAnsi="Times New Roman" w:cs="Times New Roman"/>
          <w:b/>
          <w:bCs/>
          <w:sz w:val="20"/>
          <w:szCs w:val="20"/>
          <w:u w:val="single"/>
          <w:lang w:val="en-US"/>
        </w:rPr>
        <w:t xml:space="preserve"> Figures</w:t>
      </w:r>
    </w:p>
    <w:p w14:paraId="1E02801A" w14:textId="77777777" w:rsidR="00080AAE" w:rsidRPr="00F11EA8" w:rsidRDefault="00080AAE" w:rsidP="00315CBF">
      <w:pPr>
        <w:spacing w:line="480" w:lineRule="auto"/>
        <w:jc w:val="both"/>
        <w:rPr>
          <w:rFonts w:ascii="Times New Roman" w:hAnsi="Times New Roman" w:cs="Times New Roman"/>
          <w:b/>
          <w:bCs/>
          <w:sz w:val="20"/>
          <w:szCs w:val="20"/>
          <w:u w:val="single"/>
          <w:lang w:val="en-US"/>
        </w:rPr>
      </w:pPr>
      <w:r w:rsidRPr="00F11EA8">
        <w:rPr>
          <w:rFonts w:ascii="Times New Roman" w:hAnsi="Times New Roman" w:cs="Times New Roman"/>
          <w:b/>
          <w:bCs/>
          <w:noProof/>
          <w:sz w:val="20"/>
          <w:szCs w:val="20"/>
          <w:u w:val="single"/>
          <w:lang w:val="en-US"/>
        </w:rPr>
        <w:drawing>
          <wp:inline distT="0" distB="0" distL="0" distR="0" wp14:anchorId="2FD8FDD4" wp14:editId="0202FB2A">
            <wp:extent cx="5348605" cy="5577840"/>
            <wp:effectExtent l="0" t="0" r="4445" b="3810"/>
            <wp:docPr id="20242257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25750" name="Imagen 2024225750"/>
                    <pic:cNvPicPr/>
                  </pic:nvPicPr>
                  <pic:blipFill rotWithShape="1">
                    <a:blip r:embed="rId20" cstate="print">
                      <a:extLst>
                        <a:ext uri="{28A0092B-C50C-407E-A947-70E740481C1C}">
                          <a14:useLocalDpi xmlns:a14="http://schemas.microsoft.com/office/drawing/2010/main" val="0"/>
                        </a:ext>
                      </a:extLst>
                    </a:blip>
                    <a:srcRect l="1976" r="8086" b="19612"/>
                    <a:stretch>
                      <a:fillRect/>
                    </a:stretch>
                  </pic:blipFill>
                  <pic:spPr bwMode="auto">
                    <a:xfrm>
                      <a:off x="0" y="0"/>
                      <a:ext cx="5354928" cy="5584434"/>
                    </a:xfrm>
                    <a:prstGeom prst="rect">
                      <a:avLst/>
                    </a:prstGeom>
                    <a:ln>
                      <a:noFill/>
                    </a:ln>
                    <a:extLst>
                      <a:ext uri="{53640926-AAD7-44D8-BBD7-CCE9431645EC}">
                        <a14:shadowObscured xmlns:a14="http://schemas.microsoft.com/office/drawing/2010/main"/>
                      </a:ext>
                    </a:extLst>
                  </pic:spPr>
                </pic:pic>
              </a:graphicData>
            </a:graphic>
          </wp:inline>
        </w:drawing>
      </w:r>
    </w:p>
    <w:p w14:paraId="40C77683" w14:textId="142A7180" w:rsidR="00080AAE" w:rsidRPr="00F11EA8" w:rsidRDefault="00080AAE" w:rsidP="001732B1">
      <w:pPr>
        <w:spacing w:line="480" w:lineRule="auto"/>
        <w:jc w:val="both"/>
        <w:rPr>
          <w:rFonts w:ascii="Times New Roman" w:hAnsi="Times New Roman" w:cs="Times New Roman"/>
          <w:sz w:val="20"/>
          <w:szCs w:val="20"/>
          <w:lang w:val="en-US"/>
        </w:rPr>
      </w:pPr>
      <w:r w:rsidRPr="00F11EA8">
        <w:rPr>
          <w:rFonts w:ascii="Times New Roman" w:hAnsi="Times New Roman" w:cs="Times New Roman"/>
          <w:b/>
          <w:bCs/>
          <w:sz w:val="20"/>
          <w:szCs w:val="20"/>
          <w:lang w:val="en-US"/>
        </w:rPr>
        <w:t xml:space="preserve">Fig. S1 </w:t>
      </w:r>
      <w:r w:rsidRPr="00F11EA8">
        <w:rPr>
          <w:rFonts w:ascii="Times New Roman" w:hAnsi="Times New Roman" w:cs="Times New Roman"/>
          <w:sz w:val="20"/>
          <w:szCs w:val="20"/>
          <w:lang w:val="en-US"/>
        </w:rPr>
        <w:t xml:space="preserve">Association of </w:t>
      </w:r>
      <w:r w:rsidRPr="00F11EA8">
        <w:rPr>
          <w:rFonts w:ascii="Times New Roman" w:hAnsi="Times New Roman" w:cs="Times New Roman"/>
          <w:i/>
          <w:iCs/>
          <w:sz w:val="20"/>
          <w:szCs w:val="20"/>
          <w:lang w:val="en-US"/>
        </w:rPr>
        <w:t>SSTR1</w:t>
      </w:r>
      <w:r w:rsidRPr="00F11EA8">
        <w:rPr>
          <w:rFonts w:ascii="Times New Roman" w:hAnsi="Times New Roman" w:cs="Times New Roman"/>
          <w:sz w:val="20"/>
          <w:szCs w:val="20"/>
          <w:lang w:val="en-US"/>
        </w:rPr>
        <w:t xml:space="preserve"> and </w:t>
      </w:r>
      <w:r w:rsidRPr="00F11EA8">
        <w:rPr>
          <w:rFonts w:ascii="Times New Roman" w:hAnsi="Times New Roman" w:cs="Times New Roman"/>
          <w:i/>
          <w:iCs/>
          <w:sz w:val="20"/>
          <w:szCs w:val="20"/>
          <w:lang w:val="en-US"/>
        </w:rPr>
        <w:t>SSTR3</w:t>
      </w:r>
      <w:r w:rsidRPr="00F11EA8">
        <w:rPr>
          <w:rFonts w:ascii="Times New Roman" w:hAnsi="Times New Roman" w:cs="Times New Roman"/>
          <w:sz w:val="20"/>
          <w:szCs w:val="20"/>
          <w:lang w:val="en-US"/>
        </w:rPr>
        <w:t xml:space="preserve"> expression with relevant clinical parameters</w:t>
      </w:r>
      <w:r w:rsidR="001732B1">
        <w:rPr>
          <w:rFonts w:ascii="Times New Roman" w:hAnsi="Times New Roman" w:cs="Times New Roman"/>
          <w:sz w:val="20"/>
          <w:szCs w:val="20"/>
          <w:lang w:val="en-US"/>
        </w:rPr>
        <w:t>,</w:t>
      </w:r>
      <w:r w:rsidR="001732B1" w:rsidRPr="001732B1">
        <w:rPr>
          <w:lang w:val="en-US"/>
        </w:rPr>
        <w:t xml:space="preserve"> </w:t>
      </w:r>
      <w:r w:rsidR="001732B1" w:rsidRPr="001732B1">
        <w:rPr>
          <w:rFonts w:ascii="Times New Roman" w:hAnsi="Times New Roman" w:cs="Times New Roman"/>
          <w:sz w:val="20"/>
          <w:szCs w:val="20"/>
          <w:lang w:val="en-US"/>
        </w:rPr>
        <w:t>and comparison of SST</w:t>
      </w:r>
      <w:r w:rsidR="001732B1">
        <w:rPr>
          <w:rFonts w:ascii="Times New Roman" w:hAnsi="Times New Roman" w:cs="Times New Roman"/>
          <w:sz w:val="20"/>
          <w:szCs w:val="20"/>
          <w:lang w:val="en-US"/>
        </w:rPr>
        <w:t>s</w:t>
      </w:r>
      <w:r w:rsidR="001732B1" w:rsidRPr="001732B1">
        <w:rPr>
          <w:rFonts w:ascii="Times New Roman" w:hAnsi="Times New Roman" w:cs="Times New Roman"/>
          <w:sz w:val="20"/>
          <w:szCs w:val="20"/>
          <w:lang w:val="en-US"/>
        </w:rPr>
        <w:t xml:space="preserve"> expression </w:t>
      </w:r>
      <w:r w:rsidR="001732B1">
        <w:rPr>
          <w:rFonts w:ascii="Times New Roman" w:hAnsi="Times New Roman" w:cs="Times New Roman"/>
          <w:sz w:val="20"/>
          <w:szCs w:val="20"/>
          <w:lang w:val="en-US"/>
        </w:rPr>
        <w:t xml:space="preserve">compared to </w:t>
      </w:r>
      <w:r w:rsidR="001732B1" w:rsidRPr="001732B1">
        <w:rPr>
          <w:rFonts w:ascii="Times New Roman" w:hAnsi="Times New Roman" w:cs="Times New Roman"/>
          <w:sz w:val="20"/>
          <w:szCs w:val="20"/>
          <w:lang w:val="en-US"/>
        </w:rPr>
        <w:t>normal adrenal gland tissue.</w:t>
      </w:r>
      <w:r w:rsidRPr="00F11EA8">
        <w:rPr>
          <w:rFonts w:ascii="Times New Roman" w:hAnsi="Times New Roman" w:cs="Times New Roman"/>
          <w:b/>
          <w:bCs/>
          <w:sz w:val="20"/>
          <w:szCs w:val="20"/>
          <w:lang w:val="en-US"/>
        </w:rPr>
        <w:t xml:space="preserve"> </w:t>
      </w:r>
      <w:proofErr w:type="spellStart"/>
      <w:r w:rsidRPr="00F11EA8">
        <w:rPr>
          <w:rFonts w:ascii="Times New Roman" w:hAnsi="Times New Roman" w:cs="Times New Roman"/>
          <w:b/>
          <w:bCs/>
          <w:sz w:val="20"/>
          <w:szCs w:val="20"/>
          <w:lang w:val="en-US"/>
        </w:rPr>
        <w:t>a,b</w:t>
      </w:r>
      <w:proofErr w:type="spellEnd"/>
      <w:r w:rsidRPr="00F11EA8">
        <w:rPr>
          <w:rFonts w:ascii="Times New Roman" w:hAnsi="Times New Roman" w:cs="Times New Roman"/>
          <w:b/>
          <w:bCs/>
          <w:sz w:val="20"/>
          <w:szCs w:val="20"/>
          <w:lang w:val="en-US"/>
        </w:rPr>
        <w:t xml:space="preserve"> </w:t>
      </w:r>
      <w:r w:rsidRPr="00F11EA8">
        <w:rPr>
          <w:rFonts w:ascii="Times New Roman" w:hAnsi="Times New Roman" w:cs="Times New Roman"/>
          <w:sz w:val="20"/>
          <w:szCs w:val="20"/>
          <w:lang w:val="en-US"/>
        </w:rPr>
        <w:t xml:space="preserve">Association of relative </w:t>
      </w:r>
      <w:r w:rsidRPr="00F11EA8">
        <w:rPr>
          <w:rFonts w:ascii="Times New Roman" w:hAnsi="Times New Roman" w:cs="Times New Roman"/>
          <w:i/>
          <w:iCs/>
          <w:sz w:val="20"/>
          <w:szCs w:val="20"/>
          <w:lang w:val="en-US"/>
        </w:rPr>
        <w:t>SSTR1</w:t>
      </w:r>
      <w:r w:rsidRPr="00F11EA8">
        <w:rPr>
          <w:rFonts w:ascii="Times New Roman" w:hAnsi="Times New Roman" w:cs="Times New Roman"/>
          <w:sz w:val="20"/>
          <w:szCs w:val="20"/>
          <w:lang w:val="en-US"/>
        </w:rPr>
        <w:t xml:space="preserve"> mRNA expression with clinically aggressive behavior and metastasis in PCC (orange) and PGL (blue) in the TCGA cohort. </w:t>
      </w:r>
      <w:proofErr w:type="spellStart"/>
      <w:r w:rsidRPr="00F11EA8">
        <w:rPr>
          <w:rFonts w:ascii="Times New Roman" w:hAnsi="Times New Roman" w:cs="Times New Roman"/>
          <w:b/>
          <w:bCs/>
          <w:sz w:val="20"/>
          <w:szCs w:val="20"/>
          <w:lang w:val="en-US"/>
        </w:rPr>
        <w:t>c,d</w:t>
      </w:r>
      <w:proofErr w:type="spellEnd"/>
      <w:r w:rsidRPr="00F11EA8">
        <w:rPr>
          <w:rFonts w:ascii="Times New Roman" w:hAnsi="Times New Roman" w:cs="Times New Roman"/>
          <w:sz w:val="20"/>
          <w:szCs w:val="20"/>
          <w:lang w:val="en-US"/>
        </w:rPr>
        <w:t xml:space="preserve"> Association of relative </w:t>
      </w:r>
      <w:r w:rsidRPr="00F11EA8">
        <w:rPr>
          <w:rFonts w:ascii="Times New Roman" w:hAnsi="Times New Roman" w:cs="Times New Roman"/>
          <w:i/>
          <w:iCs/>
          <w:sz w:val="20"/>
          <w:szCs w:val="20"/>
          <w:lang w:val="en-US"/>
        </w:rPr>
        <w:t>SSTR3</w:t>
      </w:r>
      <w:r w:rsidRPr="00F11EA8">
        <w:rPr>
          <w:rFonts w:ascii="Times New Roman" w:hAnsi="Times New Roman" w:cs="Times New Roman"/>
          <w:sz w:val="20"/>
          <w:szCs w:val="20"/>
          <w:lang w:val="en-US"/>
        </w:rPr>
        <w:t xml:space="preserve"> mRNA expression with clinically aggressive behavior and metastasis in PCC (orange) and PGL (blue) in the TCGA cohort. Median and interquartile range are represented. </w:t>
      </w:r>
      <w:r w:rsidRPr="00F11EA8">
        <w:rPr>
          <w:rFonts w:ascii="Times New Roman" w:hAnsi="Times New Roman" w:cs="Times New Roman"/>
          <w:b/>
          <w:bCs/>
          <w:sz w:val="20"/>
          <w:szCs w:val="20"/>
          <w:lang w:val="en-US"/>
        </w:rPr>
        <w:t>e</w:t>
      </w:r>
      <w:r w:rsidRPr="00F11EA8">
        <w:rPr>
          <w:rFonts w:ascii="Times New Roman" w:hAnsi="Times New Roman" w:cs="Times New Roman"/>
          <w:sz w:val="20"/>
          <w:szCs w:val="20"/>
          <w:lang w:val="en-US"/>
        </w:rPr>
        <w:t xml:space="preserve"> Relative mRNA expression of SSTs in PCC and PGL in the TCGA RNA-seq cohort and in normal adrenal gland tissue in the GTEX cohort. Black asterisks above brackets denote statistically significant differences between the indicated groups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0.05,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0.01,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0.001,</w:t>
      </w:r>
      <w:r w:rsidR="005D3189" w:rsidRPr="00F11EA8">
        <w:rPr>
          <w:rFonts w:ascii="Times New Roman" w:hAnsi="Times New Roman" w:cs="Times New Roman"/>
          <w:sz w:val="20"/>
          <w:szCs w:val="20"/>
          <w:lang w:val="en-US"/>
        </w:rPr>
        <w:t xml:space="preserve"> ****</w:t>
      </w:r>
      <w:r w:rsidRPr="00F11EA8">
        <w:rPr>
          <w:rFonts w:ascii="Times New Roman" w:hAnsi="Times New Roman" w:cs="Times New Roman"/>
          <w:sz w:val="20"/>
          <w:szCs w:val="20"/>
          <w:lang w:val="en-US"/>
        </w:rPr>
        <w:t xml:space="preserve">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0.0001).</w:t>
      </w:r>
    </w:p>
    <w:p w14:paraId="46AE6D74" w14:textId="77777777" w:rsidR="00080AAE" w:rsidRPr="00F11EA8" w:rsidRDefault="00080AAE" w:rsidP="00080AAE">
      <w:pPr>
        <w:spacing w:after="0" w:line="480" w:lineRule="auto"/>
        <w:jc w:val="center"/>
        <w:rPr>
          <w:rFonts w:ascii="Times New Roman" w:hAnsi="Times New Roman" w:cs="Times New Roman"/>
          <w:b/>
          <w:bCs/>
          <w:sz w:val="20"/>
          <w:szCs w:val="20"/>
          <w:lang w:val="en-US"/>
        </w:rPr>
      </w:pPr>
      <w:r w:rsidRPr="00F11EA8">
        <w:rPr>
          <w:rFonts w:ascii="Times New Roman" w:hAnsi="Times New Roman" w:cs="Times New Roman"/>
          <w:noProof/>
          <w:sz w:val="20"/>
          <w:szCs w:val="20"/>
          <w:lang w:val="en-US"/>
        </w:rPr>
        <w:lastRenderedPageBreak/>
        <w:drawing>
          <wp:inline distT="0" distB="0" distL="0" distR="0" wp14:anchorId="42A7E554" wp14:editId="71F69324">
            <wp:extent cx="5184000" cy="6834441"/>
            <wp:effectExtent l="0" t="0" r="0" b="5080"/>
            <wp:docPr id="3839656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65675" name="Imagen 2"/>
                    <pic:cNvPicPr/>
                  </pic:nvPicPr>
                  <pic:blipFill rotWithShape="1">
                    <a:blip r:embed="rId21">
                      <a:extLst>
                        <a:ext uri="{28A0092B-C50C-407E-A947-70E740481C1C}">
                          <a14:useLocalDpi xmlns:a14="http://schemas.microsoft.com/office/drawing/2010/main" val="0"/>
                        </a:ext>
                      </a:extLst>
                    </a:blip>
                    <a:srcRect r="11574"/>
                    <a:stretch>
                      <a:fillRect/>
                    </a:stretch>
                  </pic:blipFill>
                  <pic:spPr bwMode="auto">
                    <a:xfrm>
                      <a:off x="0" y="0"/>
                      <a:ext cx="5184000" cy="6834441"/>
                    </a:xfrm>
                    <a:prstGeom prst="rect">
                      <a:avLst/>
                    </a:prstGeom>
                    <a:ln>
                      <a:noFill/>
                    </a:ln>
                    <a:extLst>
                      <a:ext uri="{53640926-AAD7-44D8-BBD7-CCE9431645EC}">
                        <a14:shadowObscured xmlns:a14="http://schemas.microsoft.com/office/drawing/2010/main"/>
                      </a:ext>
                    </a:extLst>
                  </pic:spPr>
                </pic:pic>
              </a:graphicData>
            </a:graphic>
          </wp:inline>
        </w:drawing>
      </w:r>
    </w:p>
    <w:p w14:paraId="4AA352FF" w14:textId="164EA4E5" w:rsidR="00080AAE" w:rsidRPr="00F11EA8" w:rsidRDefault="00080AAE" w:rsidP="00080AAE">
      <w:pPr>
        <w:spacing w:line="480" w:lineRule="auto"/>
        <w:jc w:val="both"/>
        <w:rPr>
          <w:rFonts w:ascii="Times New Roman" w:hAnsi="Times New Roman" w:cs="Times New Roman"/>
          <w:sz w:val="20"/>
          <w:szCs w:val="20"/>
          <w:lang w:val="en-US"/>
        </w:rPr>
      </w:pPr>
      <w:r w:rsidRPr="00F11EA8">
        <w:rPr>
          <w:rFonts w:ascii="Times New Roman" w:hAnsi="Times New Roman" w:cs="Times New Roman"/>
          <w:b/>
          <w:bCs/>
          <w:sz w:val="20"/>
          <w:szCs w:val="20"/>
          <w:lang w:val="en-US"/>
        </w:rPr>
        <w:t xml:space="preserve">Fig. S2 </w:t>
      </w:r>
      <w:r w:rsidRPr="00F11EA8">
        <w:rPr>
          <w:rFonts w:ascii="Times New Roman" w:hAnsi="Times New Roman" w:cs="Times New Roman"/>
          <w:sz w:val="20"/>
          <w:szCs w:val="20"/>
          <w:lang w:val="en-US"/>
        </w:rPr>
        <w:t xml:space="preserve">Clustering of key genes involved in </w:t>
      </w:r>
      <w:r w:rsidRPr="00F11EA8">
        <w:rPr>
          <w:rFonts w:ascii="Times New Roman" w:hAnsi="Times New Roman" w:cs="Times New Roman"/>
          <w:i/>
          <w:iCs/>
          <w:sz w:val="20"/>
          <w:szCs w:val="20"/>
          <w:lang w:val="en-US"/>
        </w:rPr>
        <w:t>SSTR2</w:t>
      </w:r>
      <w:r w:rsidRPr="00F11EA8">
        <w:rPr>
          <w:rFonts w:ascii="Times New Roman" w:hAnsi="Times New Roman" w:cs="Times New Roman"/>
          <w:sz w:val="20"/>
          <w:szCs w:val="20"/>
          <w:lang w:val="en-US"/>
        </w:rPr>
        <w:t xml:space="preserve"> signaling across molecular subtypes of PPGL.</w:t>
      </w:r>
      <w:r w:rsidRPr="00F11EA8">
        <w:rPr>
          <w:rFonts w:ascii="Times New Roman" w:hAnsi="Times New Roman" w:cs="Times New Roman"/>
          <w:b/>
          <w:bCs/>
          <w:sz w:val="20"/>
          <w:szCs w:val="20"/>
          <w:lang w:val="en-US"/>
        </w:rPr>
        <w:t xml:space="preserve"> </w:t>
      </w:r>
      <w:proofErr w:type="spellStart"/>
      <w:r w:rsidRPr="00F11EA8">
        <w:rPr>
          <w:rFonts w:ascii="Times New Roman" w:hAnsi="Times New Roman" w:cs="Times New Roman"/>
          <w:b/>
          <w:bCs/>
          <w:sz w:val="20"/>
          <w:szCs w:val="20"/>
          <w:lang w:val="en-US"/>
        </w:rPr>
        <w:t>a,c</w:t>
      </w:r>
      <w:proofErr w:type="spellEnd"/>
      <w:r w:rsidRPr="00F11EA8">
        <w:rPr>
          <w:rFonts w:ascii="Times New Roman" w:hAnsi="Times New Roman" w:cs="Times New Roman"/>
          <w:sz w:val="20"/>
          <w:szCs w:val="20"/>
          <w:lang w:val="en-US"/>
        </w:rPr>
        <w:t xml:space="preserve"> Unsupervised hierarchical heatmap of the expression levels of the top 30 genes involved in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signaling that contribute most to the discrimination between the kinase signaling cluster (purple) and the pseudohypoxia cluster (orange) in the CNIO cohort and the TCGA cohort. </w:t>
      </w:r>
      <w:proofErr w:type="spellStart"/>
      <w:r w:rsidRPr="00F11EA8">
        <w:rPr>
          <w:rFonts w:ascii="Times New Roman" w:hAnsi="Times New Roman" w:cs="Times New Roman"/>
          <w:b/>
          <w:bCs/>
          <w:sz w:val="20"/>
          <w:szCs w:val="20"/>
          <w:lang w:val="en-US"/>
        </w:rPr>
        <w:t>b,d</w:t>
      </w:r>
      <w:proofErr w:type="spellEnd"/>
      <w:r w:rsidRPr="00F11EA8">
        <w:rPr>
          <w:rFonts w:ascii="Times New Roman" w:hAnsi="Times New Roman" w:cs="Times New Roman"/>
          <w:sz w:val="20"/>
          <w:szCs w:val="20"/>
          <w:lang w:val="en-US"/>
        </w:rPr>
        <w:t xml:space="preserve"> PLS-DA and VIP score of the expression levels of genes involved in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signaling in the CNIO cohort and the TCGA cohort. Kinase signaling cluster samples are shown in purple, pseudohypoxia cluster samples are shown in orange</w:t>
      </w:r>
      <w:r w:rsidR="00232146" w:rsidRPr="00F11EA8">
        <w:rPr>
          <w:rFonts w:ascii="Times New Roman" w:hAnsi="Times New Roman" w:cs="Times New Roman"/>
          <w:sz w:val="20"/>
          <w:szCs w:val="20"/>
          <w:lang w:val="en-US"/>
        </w:rPr>
        <w:t>,</w:t>
      </w:r>
      <w:r w:rsidRPr="00F11EA8">
        <w:rPr>
          <w:rFonts w:ascii="Times New Roman" w:hAnsi="Times New Roman" w:cs="Times New Roman"/>
          <w:sz w:val="20"/>
          <w:szCs w:val="20"/>
          <w:lang w:val="en-US"/>
        </w:rPr>
        <w:t xml:space="preserve"> and Wnt-altered cluster samples are shown in green.</w:t>
      </w:r>
    </w:p>
    <w:p w14:paraId="4EF32AC5" w14:textId="3F5CEE94" w:rsidR="00080AAE" w:rsidRPr="00F11EA8" w:rsidRDefault="00080AAE" w:rsidP="00080AAE">
      <w:pPr>
        <w:spacing w:line="480" w:lineRule="auto"/>
        <w:jc w:val="both"/>
        <w:rPr>
          <w:rFonts w:ascii="Times New Roman" w:hAnsi="Times New Roman" w:cs="Times New Roman"/>
          <w:sz w:val="20"/>
          <w:szCs w:val="20"/>
          <w:lang w:val="en-US"/>
        </w:rPr>
      </w:pPr>
      <w:r w:rsidRPr="00F11EA8">
        <w:rPr>
          <w:rFonts w:ascii="Times New Roman" w:hAnsi="Times New Roman" w:cs="Times New Roman"/>
          <w:noProof/>
          <w:sz w:val="20"/>
          <w:szCs w:val="20"/>
          <w:lang w:val="en-US"/>
        </w:rPr>
        <w:lastRenderedPageBreak/>
        <w:drawing>
          <wp:inline distT="0" distB="0" distL="0" distR="0" wp14:anchorId="76BFDFC2" wp14:editId="4CF11BFF">
            <wp:extent cx="5341620" cy="6500742"/>
            <wp:effectExtent l="0" t="0" r="0" b="0"/>
            <wp:docPr id="596373501" name="Imagen 3"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73501" name="Imagen 3" descr="Gráfico&#10;&#10;El contenido generado por IA puede ser incorrecto."/>
                    <pic:cNvPicPr/>
                  </pic:nvPicPr>
                  <pic:blipFill rotWithShape="1">
                    <a:blip r:embed="rId22" cstate="print">
                      <a:extLst>
                        <a:ext uri="{28A0092B-C50C-407E-A947-70E740481C1C}">
                          <a14:useLocalDpi xmlns:a14="http://schemas.microsoft.com/office/drawing/2010/main" val="0"/>
                        </a:ext>
                      </a:extLst>
                    </a:blip>
                    <a:srcRect l="1693" r="20273" b="18605"/>
                    <a:stretch>
                      <a:fillRect/>
                    </a:stretch>
                  </pic:blipFill>
                  <pic:spPr bwMode="auto">
                    <a:xfrm>
                      <a:off x="0" y="0"/>
                      <a:ext cx="5341620" cy="6500742"/>
                    </a:xfrm>
                    <a:prstGeom prst="rect">
                      <a:avLst/>
                    </a:prstGeom>
                    <a:ln>
                      <a:noFill/>
                    </a:ln>
                    <a:extLst>
                      <a:ext uri="{53640926-AAD7-44D8-BBD7-CCE9431645EC}">
                        <a14:shadowObscured xmlns:a14="http://schemas.microsoft.com/office/drawing/2010/main"/>
                      </a:ext>
                    </a:extLst>
                  </pic:spPr>
                </pic:pic>
              </a:graphicData>
            </a:graphic>
          </wp:inline>
        </w:drawing>
      </w:r>
    </w:p>
    <w:p w14:paraId="7871C344" w14:textId="5297070A" w:rsidR="00080AAE" w:rsidRPr="00F11EA8" w:rsidRDefault="00080AAE" w:rsidP="00080AAE">
      <w:pPr>
        <w:spacing w:line="480" w:lineRule="auto"/>
        <w:jc w:val="both"/>
        <w:rPr>
          <w:rFonts w:ascii="Times New Roman" w:hAnsi="Times New Roman" w:cs="Times New Roman"/>
          <w:sz w:val="20"/>
          <w:szCs w:val="20"/>
          <w:lang w:val="en-US"/>
        </w:rPr>
      </w:pPr>
      <w:r w:rsidRPr="00F11EA8">
        <w:rPr>
          <w:rFonts w:ascii="Times New Roman" w:hAnsi="Times New Roman" w:cs="Times New Roman"/>
          <w:b/>
          <w:bCs/>
          <w:sz w:val="20"/>
          <w:szCs w:val="20"/>
          <w:lang w:val="en-US"/>
        </w:rPr>
        <w:t xml:space="preserve">Fig. S3 </w:t>
      </w:r>
      <w:r w:rsidRPr="00F11EA8">
        <w:rPr>
          <w:rFonts w:ascii="Times New Roman" w:hAnsi="Times New Roman" w:cs="Times New Roman"/>
          <w:sz w:val="20"/>
          <w:szCs w:val="20"/>
          <w:lang w:val="en-US"/>
        </w:rPr>
        <w:t xml:space="preserve">Colony-forming capacity of PPGL cell lines </w:t>
      </w:r>
      <w:r w:rsidR="005D3189" w:rsidRPr="00F11EA8">
        <w:rPr>
          <w:rFonts w:ascii="Times New Roman" w:hAnsi="Times New Roman" w:cs="Times New Roman"/>
          <w:sz w:val="20"/>
          <w:szCs w:val="20"/>
          <w:lang w:val="en-US"/>
        </w:rPr>
        <w:t xml:space="preserve">in response </w:t>
      </w:r>
      <w:r w:rsidRPr="00F11EA8">
        <w:rPr>
          <w:rFonts w:ascii="Times New Roman" w:hAnsi="Times New Roman" w:cs="Times New Roman"/>
          <w:sz w:val="20"/>
          <w:szCs w:val="20"/>
          <w:lang w:val="en-US"/>
        </w:rPr>
        <w:t>to specific agonists.</w:t>
      </w:r>
      <w:r w:rsidRPr="00F11EA8">
        <w:rPr>
          <w:rFonts w:ascii="Times New Roman" w:hAnsi="Times New Roman" w:cs="Times New Roman"/>
          <w:b/>
          <w:bCs/>
          <w:sz w:val="20"/>
          <w:szCs w:val="20"/>
          <w:lang w:val="en-US"/>
        </w:rPr>
        <w:t xml:space="preserve"> </w:t>
      </w:r>
      <w:proofErr w:type="spellStart"/>
      <w:r w:rsidRPr="00F11EA8">
        <w:rPr>
          <w:rFonts w:ascii="Times New Roman" w:hAnsi="Times New Roman" w:cs="Times New Roman"/>
          <w:b/>
          <w:bCs/>
          <w:sz w:val="20"/>
          <w:szCs w:val="20"/>
          <w:lang w:val="en-US"/>
        </w:rPr>
        <w:t>a,b</w:t>
      </w:r>
      <w:proofErr w:type="spellEnd"/>
      <w:r w:rsidRPr="00F11EA8">
        <w:rPr>
          <w:rFonts w:ascii="Times New Roman" w:hAnsi="Times New Roman" w:cs="Times New Roman"/>
          <w:b/>
          <w:bCs/>
          <w:sz w:val="20"/>
          <w:szCs w:val="20"/>
          <w:lang w:val="en-US"/>
        </w:rPr>
        <w:t xml:space="preserve"> </w:t>
      </w:r>
      <w:r w:rsidRPr="00F11EA8">
        <w:rPr>
          <w:rFonts w:ascii="Times New Roman" w:hAnsi="Times New Roman" w:cs="Times New Roman"/>
          <w:sz w:val="20"/>
          <w:szCs w:val="20"/>
          <w:lang w:val="en-US"/>
        </w:rPr>
        <w:t xml:space="preserve">Evaluation and representative images of colony formation in SK-N-AS WT and SK-N-AS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responding to therapy with the selective agonists for each SST (n = 4). Colored asterisks indicate statistically significant differences compared with the control group (* </w:t>
      </w:r>
      <w:r w:rsidRPr="00F11EA8">
        <w:rPr>
          <w:rFonts w:ascii="Times New Roman" w:hAnsi="Times New Roman" w:cs="Times New Roman"/>
          <w:i/>
          <w:iCs/>
          <w:sz w:val="20"/>
          <w:szCs w:val="20"/>
          <w:lang w:val="en-US"/>
        </w:rPr>
        <w:t>p</w:t>
      </w:r>
      <w:r w:rsidR="00554B93" w:rsidRPr="00F11EA8">
        <w:rPr>
          <w:rFonts w:ascii="Times New Roman" w:hAnsi="Times New Roman" w:cs="Times New Roman"/>
          <w:i/>
          <w:iCs/>
          <w:sz w:val="20"/>
          <w:szCs w:val="20"/>
          <w:lang w:val="en-US"/>
        </w:rPr>
        <w:t xml:space="preserve"> </w:t>
      </w:r>
      <w:r w:rsidRPr="00F11EA8">
        <w:rPr>
          <w:rFonts w:ascii="Times New Roman" w:hAnsi="Times New Roman" w:cs="Times New Roman"/>
          <w:sz w:val="20"/>
          <w:szCs w:val="20"/>
          <w:lang w:val="en-US"/>
        </w:rPr>
        <w:t>&lt; 0.05).</w:t>
      </w:r>
    </w:p>
    <w:p w14:paraId="19D91ADC" w14:textId="3D661096" w:rsidR="00080AAE" w:rsidRPr="00F11EA8" w:rsidRDefault="00080AAE" w:rsidP="00F14A86">
      <w:pPr>
        <w:spacing w:line="480" w:lineRule="auto"/>
        <w:jc w:val="center"/>
        <w:rPr>
          <w:rFonts w:ascii="Times New Roman" w:hAnsi="Times New Roman" w:cs="Times New Roman"/>
          <w:sz w:val="20"/>
          <w:szCs w:val="20"/>
          <w:lang w:val="en-US"/>
        </w:rPr>
      </w:pPr>
      <w:r w:rsidRPr="00F11EA8">
        <w:rPr>
          <w:rFonts w:ascii="Times New Roman" w:hAnsi="Times New Roman" w:cs="Times New Roman"/>
          <w:noProof/>
          <w:sz w:val="20"/>
          <w:szCs w:val="20"/>
          <w:lang w:val="en-US"/>
        </w:rPr>
        <w:lastRenderedPageBreak/>
        <w:drawing>
          <wp:inline distT="0" distB="0" distL="0" distR="0" wp14:anchorId="0F9727C8" wp14:editId="49CBC600">
            <wp:extent cx="5040000" cy="5014184"/>
            <wp:effectExtent l="0" t="0" r="8255" b="0"/>
            <wp:docPr id="18931343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34366" name="Imagen 4"/>
                    <pic:cNvPicPr/>
                  </pic:nvPicPr>
                  <pic:blipFill rotWithShape="1">
                    <a:blip r:embed="rId23">
                      <a:extLst>
                        <a:ext uri="{28A0092B-C50C-407E-A947-70E740481C1C}">
                          <a14:useLocalDpi xmlns:a14="http://schemas.microsoft.com/office/drawing/2010/main" val="0"/>
                        </a:ext>
                      </a:extLst>
                    </a:blip>
                    <a:srcRect t="81" r="8738" b="22147"/>
                    <a:stretch>
                      <a:fillRect/>
                    </a:stretch>
                  </pic:blipFill>
                  <pic:spPr bwMode="auto">
                    <a:xfrm>
                      <a:off x="0" y="0"/>
                      <a:ext cx="5040000" cy="5014184"/>
                    </a:xfrm>
                    <a:prstGeom prst="rect">
                      <a:avLst/>
                    </a:prstGeom>
                    <a:ln>
                      <a:noFill/>
                    </a:ln>
                    <a:extLst>
                      <a:ext uri="{53640926-AAD7-44D8-BBD7-CCE9431645EC}">
                        <a14:shadowObscured xmlns:a14="http://schemas.microsoft.com/office/drawing/2010/main"/>
                      </a:ext>
                    </a:extLst>
                  </pic:spPr>
                </pic:pic>
              </a:graphicData>
            </a:graphic>
          </wp:inline>
        </w:drawing>
      </w:r>
    </w:p>
    <w:p w14:paraId="57FA4DC8" w14:textId="6D7FB61E" w:rsidR="00080AAE" w:rsidRPr="00F11EA8" w:rsidRDefault="00080AAE" w:rsidP="00080AAE">
      <w:pPr>
        <w:spacing w:line="480" w:lineRule="auto"/>
        <w:jc w:val="both"/>
        <w:rPr>
          <w:rFonts w:ascii="Times New Roman" w:hAnsi="Times New Roman" w:cs="Times New Roman"/>
          <w:sz w:val="20"/>
          <w:szCs w:val="20"/>
          <w:lang w:val="en-US"/>
        </w:rPr>
      </w:pPr>
      <w:r w:rsidRPr="00F11EA8">
        <w:rPr>
          <w:rFonts w:ascii="Times New Roman" w:hAnsi="Times New Roman" w:cs="Times New Roman"/>
          <w:b/>
          <w:bCs/>
          <w:sz w:val="20"/>
          <w:szCs w:val="20"/>
          <w:lang w:val="en-US"/>
        </w:rPr>
        <w:t xml:space="preserve">Fig. S4 </w:t>
      </w:r>
      <w:r w:rsidRPr="00F11EA8">
        <w:rPr>
          <w:rFonts w:ascii="Times New Roman" w:hAnsi="Times New Roman" w:cs="Times New Roman"/>
          <w:sz w:val="20"/>
          <w:szCs w:val="20"/>
          <w:lang w:val="en-US"/>
        </w:rPr>
        <w:t>Validation of phosphoarray results by Western blot analysis.</w:t>
      </w:r>
      <w:r w:rsidRPr="00F11EA8">
        <w:rPr>
          <w:rFonts w:ascii="Times New Roman" w:hAnsi="Times New Roman" w:cs="Times New Roman"/>
          <w:b/>
          <w:bCs/>
          <w:sz w:val="20"/>
          <w:szCs w:val="20"/>
          <w:lang w:val="en-US"/>
        </w:rPr>
        <w:t xml:space="preserve"> </w:t>
      </w:r>
      <w:proofErr w:type="spellStart"/>
      <w:r w:rsidRPr="00F11EA8">
        <w:rPr>
          <w:rFonts w:ascii="Times New Roman" w:hAnsi="Times New Roman" w:cs="Times New Roman"/>
          <w:b/>
          <w:bCs/>
          <w:sz w:val="20"/>
          <w:szCs w:val="20"/>
          <w:lang w:val="en-US"/>
        </w:rPr>
        <w:t>a,b</w:t>
      </w:r>
      <w:proofErr w:type="spellEnd"/>
      <w:r w:rsidRPr="00F11EA8">
        <w:rPr>
          <w:rFonts w:ascii="Times New Roman" w:hAnsi="Times New Roman" w:cs="Times New Roman"/>
          <w:b/>
          <w:bCs/>
          <w:sz w:val="20"/>
          <w:szCs w:val="20"/>
          <w:lang w:val="en-US"/>
        </w:rPr>
        <w:t xml:space="preserve"> </w:t>
      </w:r>
      <w:r w:rsidRPr="00F11EA8">
        <w:rPr>
          <w:rFonts w:ascii="Times New Roman" w:hAnsi="Times New Roman" w:cs="Times New Roman"/>
          <w:sz w:val="20"/>
          <w:szCs w:val="20"/>
          <w:lang w:val="en-US"/>
        </w:rPr>
        <w:t xml:space="preserve">Representative images of arrays treated with control (grey), octreotide (red) and BIM-23120 (blue) in the WT and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-altered lines. </w:t>
      </w:r>
      <w:proofErr w:type="spellStart"/>
      <w:r w:rsidRPr="00F11EA8">
        <w:rPr>
          <w:rFonts w:ascii="Times New Roman" w:hAnsi="Times New Roman" w:cs="Times New Roman"/>
          <w:b/>
          <w:bCs/>
          <w:sz w:val="20"/>
          <w:szCs w:val="20"/>
          <w:lang w:val="en-US"/>
        </w:rPr>
        <w:t>c,d</w:t>
      </w:r>
      <w:proofErr w:type="spellEnd"/>
      <w:r w:rsidRPr="00F11EA8">
        <w:rPr>
          <w:rFonts w:ascii="Times New Roman" w:hAnsi="Times New Roman" w:cs="Times New Roman"/>
          <w:sz w:val="20"/>
          <w:szCs w:val="20"/>
          <w:lang w:val="en-US"/>
        </w:rPr>
        <w:t xml:space="preserve"> Validation by Western blot assay of p-AKT, p-p44/42 MAPK1/2 and p-GSK-3</w:t>
      </w:r>
      <w:r w:rsidRPr="00F11EA8">
        <w:rPr>
          <w:rFonts w:ascii="Times New Roman" w:hAnsi="Times New Roman" w:cs="Times New Roman"/>
          <w:sz w:val="20"/>
          <w:szCs w:val="20"/>
        </w:rPr>
        <w:t>β</w:t>
      </w:r>
      <w:r w:rsidRPr="00F11EA8">
        <w:rPr>
          <w:rFonts w:ascii="Times New Roman" w:hAnsi="Times New Roman" w:cs="Times New Roman"/>
          <w:sz w:val="20"/>
          <w:szCs w:val="20"/>
          <w:lang w:val="en-US"/>
        </w:rPr>
        <w:t xml:space="preserve"> phosphorylation in SK</w:t>
      </w:r>
      <w:r w:rsidRPr="00F11EA8">
        <w:rPr>
          <w:rFonts w:ascii="Times New Roman" w:hAnsi="Times New Roman" w:cs="Times New Roman"/>
          <w:sz w:val="20"/>
          <w:szCs w:val="20"/>
          <w:lang w:val="en-US"/>
        </w:rPr>
        <w:noBreakHyphen/>
        <w:t>N</w:t>
      </w:r>
      <w:r w:rsidRPr="00F11EA8">
        <w:rPr>
          <w:rFonts w:ascii="Times New Roman" w:hAnsi="Times New Roman" w:cs="Times New Roman"/>
          <w:sz w:val="20"/>
          <w:szCs w:val="20"/>
          <w:lang w:val="en-US"/>
        </w:rPr>
        <w:noBreakHyphen/>
        <w:t xml:space="preserve">AS WT and SK-N-AS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(n = 4) with representative images, normalized by GAPDH. Colored asterisks indicate statistically significant differences compared with the control group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0.05,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0.01,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0.001</w:t>
      </w:r>
      <w:r w:rsidR="005D3189" w:rsidRPr="00F11EA8">
        <w:rPr>
          <w:rFonts w:ascii="Times New Roman" w:hAnsi="Times New Roman" w:cs="Times New Roman"/>
          <w:sz w:val="20"/>
          <w:szCs w:val="20"/>
          <w:lang w:val="en-US"/>
        </w:rPr>
        <w:t>,</w:t>
      </w:r>
      <w:r w:rsidRPr="00F11EA8">
        <w:rPr>
          <w:rFonts w:ascii="Times New Roman" w:hAnsi="Times New Roman" w:cs="Times New Roman"/>
          <w:sz w:val="20"/>
          <w:szCs w:val="20"/>
          <w:lang w:val="en-US"/>
        </w:rPr>
        <w:t xml:space="preserve"> and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0.0001).</w:t>
      </w:r>
    </w:p>
    <w:p w14:paraId="26817594" w14:textId="77777777" w:rsidR="00080AAE" w:rsidRPr="00F11EA8" w:rsidRDefault="00080AAE">
      <w:pPr>
        <w:rPr>
          <w:rFonts w:ascii="Times New Roman" w:hAnsi="Times New Roman" w:cs="Times New Roman"/>
          <w:b/>
          <w:bCs/>
          <w:sz w:val="20"/>
          <w:szCs w:val="20"/>
          <w:u w:val="single"/>
          <w:lang w:val="en-US"/>
        </w:rPr>
      </w:pPr>
      <w:r w:rsidRPr="00F11EA8">
        <w:rPr>
          <w:rFonts w:ascii="Times New Roman" w:hAnsi="Times New Roman" w:cs="Times New Roman"/>
          <w:b/>
          <w:bCs/>
          <w:sz w:val="20"/>
          <w:szCs w:val="20"/>
          <w:u w:val="single"/>
          <w:lang w:val="en-US"/>
        </w:rPr>
        <w:br w:type="page"/>
      </w:r>
    </w:p>
    <w:p w14:paraId="3DCD6B94" w14:textId="77777777" w:rsidR="00080AAE" w:rsidRPr="00F11EA8" w:rsidRDefault="00080AAE" w:rsidP="00080AAE">
      <w:pPr>
        <w:spacing w:after="0" w:line="480" w:lineRule="auto"/>
        <w:jc w:val="center"/>
        <w:rPr>
          <w:rFonts w:ascii="Times New Roman" w:hAnsi="Times New Roman" w:cs="Times New Roman"/>
          <w:b/>
          <w:bCs/>
          <w:sz w:val="20"/>
          <w:szCs w:val="20"/>
          <w:lang w:val="en-US"/>
        </w:rPr>
      </w:pPr>
      <w:r w:rsidRPr="00F11EA8">
        <w:rPr>
          <w:rFonts w:ascii="Times New Roman" w:hAnsi="Times New Roman" w:cs="Times New Roman"/>
          <w:b/>
          <w:bCs/>
          <w:noProof/>
          <w:sz w:val="20"/>
          <w:szCs w:val="20"/>
          <w:u w:val="single"/>
          <w:lang w:val="en-US"/>
        </w:rPr>
        <w:lastRenderedPageBreak/>
        <w:drawing>
          <wp:inline distT="0" distB="0" distL="0" distR="0" wp14:anchorId="3F55929B" wp14:editId="553217B4">
            <wp:extent cx="4975860" cy="6403260"/>
            <wp:effectExtent l="0" t="0" r="0" b="0"/>
            <wp:docPr id="1959924832" name="Imagen 5"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24832" name="Imagen 5" descr="Imagen que contiene Gráfico&#10;&#10;El contenido generado por IA puede ser incorrecto."/>
                    <pic:cNvPicPr/>
                  </pic:nvPicPr>
                  <pic:blipFill rotWithShape="1">
                    <a:blip r:embed="rId24" cstate="print">
                      <a:extLst>
                        <a:ext uri="{28A0092B-C50C-407E-A947-70E740481C1C}">
                          <a14:useLocalDpi xmlns:a14="http://schemas.microsoft.com/office/drawing/2010/main" val="0"/>
                        </a:ext>
                      </a:extLst>
                    </a:blip>
                    <a:srcRect l="987" t="863" r="13077" b="4354"/>
                    <a:stretch>
                      <a:fillRect/>
                    </a:stretch>
                  </pic:blipFill>
                  <pic:spPr bwMode="auto">
                    <a:xfrm>
                      <a:off x="0" y="0"/>
                      <a:ext cx="4989122" cy="6420326"/>
                    </a:xfrm>
                    <a:prstGeom prst="rect">
                      <a:avLst/>
                    </a:prstGeom>
                    <a:ln>
                      <a:noFill/>
                    </a:ln>
                    <a:extLst>
                      <a:ext uri="{53640926-AAD7-44D8-BBD7-CCE9431645EC}">
                        <a14:shadowObscured xmlns:a14="http://schemas.microsoft.com/office/drawing/2010/main"/>
                      </a:ext>
                    </a:extLst>
                  </pic:spPr>
                </pic:pic>
              </a:graphicData>
            </a:graphic>
          </wp:inline>
        </w:drawing>
      </w:r>
    </w:p>
    <w:p w14:paraId="7C10AE4C" w14:textId="0E75F40C" w:rsidR="00CF17F3" w:rsidRPr="00F11EA8" w:rsidRDefault="00080AAE" w:rsidP="00080AAE">
      <w:pPr>
        <w:spacing w:after="0" w:line="480" w:lineRule="auto"/>
        <w:jc w:val="both"/>
        <w:rPr>
          <w:rFonts w:ascii="Times New Roman" w:hAnsi="Times New Roman" w:cs="Times New Roman"/>
          <w:b/>
          <w:bCs/>
          <w:sz w:val="20"/>
          <w:szCs w:val="20"/>
          <w:u w:val="single"/>
          <w:lang w:val="en-US"/>
        </w:rPr>
      </w:pPr>
      <w:r w:rsidRPr="00F11EA8">
        <w:rPr>
          <w:rFonts w:ascii="Times New Roman" w:hAnsi="Times New Roman" w:cs="Times New Roman"/>
          <w:b/>
          <w:bCs/>
          <w:sz w:val="20"/>
          <w:szCs w:val="20"/>
          <w:lang w:val="en-US"/>
        </w:rPr>
        <w:t xml:space="preserve">Fig. S5 </w:t>
      </w:r>
      <w:r w:rsidRPr="00F11EA8">
        <w:rPr>
          <w:rFonts w:ascii="Times New Roman" w:hAnsi="Times New Roman" w:cs="Times New Roman"/>
          <w:sz w:val="20"/>
          <w:szCs w:val="20"/>
          <w:lang w:val="en-US"/>
        </w:rPr>
        <w:t>Paltusotine, a selective SST</w:t>
      </w:r>
      <w:r w:rsidRPr="00F11EA8">
        <w:rPr>
          <w:rFonts w:ascii="Times New Roman" w:hAnsi="Times New Roman" w:cs="Times New Roman"/>
          <w:sz w:val="20"/>
          <w:szCs w:val="20"/>
          <w:vertAlign w:val="subscript"/>
          <w:lang w:val="en-US"/>
        </w:rPr>
        <w:t>2</w:t>
      </w:r>
      <w:r w:rsidRPr="00F11EA8">
        <w:rPr>
          <w:rFonts w:ascii="Times New Roman" w:hAnsi="Times New Roman" w:cs="Times New Roman"/>
          <w:sz w:val="20"/>
          <w:szCs w:val="20"/>
          <w:lang w:val="en-US"/>
        </w:rPr>
        <w:t xml:space="preserve"> agonist, exerts moderate effects in PPGL cell models.</w:t>
      </w:r>
      <w:r w:rsidRPr="00F11EA8">
        <w:rPr>
          <w:rFonts w:ascii="Times New Roman" w:hAnsi="Times New Roman" w:cs="Times New Roman"/>
          <w:b/>
          <w:bCs/>
          <w:sz w:val="20"/>
          <w:szCs w:val="20"/>
          <w:lang w:val="en-US"/>
        </w:rPr>
        <w:t xml:space="preserve"> </w:t>
      </w:r>
      <w:proofErr w:type="gramStart"/>
      <w:r w:rsidRPr="00F11EA8">
        <w:rPr>
          <w:rFonts w:ascii="Times New Roman" w:hAnsi="Times New Roman" w:cs="Times New Roman"/>
          <w:b/>
          <w:bCs/>
          <w:sz w:val="20"/>
          <w:szCs w:val="20"/>
          <w:lang w:val="en-US"/>
        </w:rPr>
        <w:t>a</w:t>
      </w:r>
      <w:proofErr w:type="gramEnd"/>
      <w:r w:rsidRPr="00F11EA8">
        <w:rPr>
          <w:rFonts w:ascii="Times New Roman" w:hAnsi="Times New Roman" w:cs="Times New Roman"/>
          <w:b/>
          <w:bCs/>
          <w:sz w:val="20"/>
          <w:szCs w:val="20"/>
          <w:lang w:val="en-US"/>
        </w:rPr>
        <w:t xml:space="preserve"> </w:t>
      </w:r>
      <w:r w:rsidRPr="00F11EA8">
        <w:rPr>
          <w:rFonts w:ascii="Times New Roman" w:hAnsi="Times New Roman" w:cs="Times New Roman"/>
          <w:sz w:val="20"/>
          <w:szCs w:val="20"/>
          <w:lang w:val="en-US"/>
        </w:rPr>
        <w:t xml:space="preserve">Effects on cell viability at 24, 48, and 72 h following paltusotine treatment at different concentrations in SK-N-AS WT (upper left), SK-N-AS </w:t>
      </w:r>
      <w:r w:rsidRPr="00F11EA8">
        <w:rPr>
          <w:rFonts w:ascii="Times New Roman" w:hAnsi="Times New Roman" w:cs="Times New Roman"/>
          <w:i/>
          <w:iCs/>
          <w:sz w:val="20"/>
          <w:szCs w:val="20"/>
          <w:lang w:val="en-US"/>
        </w:rPr>
        <w:t>SDHB</w:t>
      </w:r>
      <w:r w:rsidRPr="00F11EA8">
        <w:rPr>
          <w:rFonts w:ascii="Times New Roman" w:hAnsi="Times New Roman" w:cs="Times New Roman"/>
          <w:sz w:val="20"/>
          <w:szCs w:val="20"/>
          <w:lang w:val="en-US"/>
        </w:rPr>
        <w:t xml:space="preserve"> KD (upper right), PGL1 (lower left), and PGL7 (lower right) cells (n = 3). </w:t>
      </w:r>
      <w:r w:rsidRPr="00F11EA8">
        <w:rPr>
          <w:rFonts w:ascii="Times New Roman" w:hAnsi="Times New Roman" w:cs="Times New Roman"/>
          <w:b/>
          <w:bCs/>
          <w:sz w:val="20"/>
          <w:szCs w:val="20"/>
          <w:lang w:val="en-US"/>
        </w:rPr>
        <w:t>b</w:t>
      </w:r>
      <w:r w:rsidRPr="00F11EA8">
        <w:rPr>
          <w:rFonts w:ascii="Times New Roman" w:hAnsi="Times New Roman" w:cs="Times New Roman"/>
          <w:sz w:val="20"/>
          <w:szCs w:val="20"/>
          <w:lang w:val="en-US"/>
        </w:rPr>
        <w:t xml:space="preserve"> Changes in clonogenic capacity upon treatment with 10</w:t>
      </w:r>
      <w:r w:rsidRPr="00F11EA8">
        <w:rPr>
          <w:rFonts w:ascii="Times New Roman" w:hAnsi="Times New Roman" w:cs="Times New Roman"/>
          <w:sz w:val="20"/>
          <w:szCs w:val="20"/>
          <w:vertAlign w:val="superscript"/>
          <w:lang w:val="en-US"/>
        </w:rPr>
        <w:t>-7</w:t>
      </w:r>
      <w:r w:rsidRPr="00F11EA8">
        <w:rPr>
          <w:rFonts w:ascii="Times New Roman" w:hAnsi="Times New Roman" w:cs="Times New Roman"/>
          <w:sz w:val="20"/>
          <w:szCs w:val="20"/>
          <w:lang w:val="en-US"/>
        </w:rPr>
        <w:t xml:space="preserve"> M paltusotine in the </w:t>
      </w:r>
      <w:proofErr w:type="gramStart"/>
      <w:r w:rsidRPr="00F11EA8">
        <w:rPr>
          <w:rFonts w:ascii="Times New Roman" w:hAnsi="Times New Roman" w:cs="Times New Roman"/>
          <w:sz w:val="20"/>
          <w:szCs w:val="20"/>
          <w:lang w:val="en-US"/>
        </w:rPr>
        <w:t>aforementioned cell</w:t>
      </w:r>
      <w:proofErr w:type="gramEnd"/>
      <w:r w:rsidRPr="00F11EA8">
        <w:rPr>
          <w:rFonts w:ascii="Times New Roman" w:hAnsi="Times New Roman" w:cs="Times New Roman"/>
          <w:sz w:val="20"/>
          <w:szCs w:val="20"/>
          <w:lang w:val="en-US"/>
        </w:rPr>
        <w:t xml:space="preserve"> models (n = 3). </w:t>
      </w:r>
      <w:r w:rsidRPr="00F11EA8">
        <w:rPr>
          <w:rFonts w:ascii="Times New Roman" w:hAnsi="Times New Roman" w:cs="Times New Roman"/>
          <w:b/>
          <w:bCs/>
          <w:sz w:val="20"/>
          <w:szCs w:val="20"/>
          <w:lang w:val="en-US"/>
        </w:rPr>
        <w:t>c</w:t>
      </w:r>
      <w:r w:rsidRPr="00F11EA8">
        <w:rPr>
          <w:rFonts w:ascii="Times New Roman" w:hAnsi="Times New Roman" w:cs="Times New Roman"/>
          <w:sz w:val="20"/>
          <w:szCs w:val="20"/>
          <w:lang w:val="en-US"/>
        </w:rPr>
        <w:t xml:space="preserve"> Effect of 10</w:t>
      </w:r>
      <w:r w:rsidRPr="00F11EA8">
        <w:rPr>
          <w:rFonts w:ascii="Times New Roman" w:hAnsi="Times New Roman" w:cs="Times New Roman"/>
          <w:sz w:val="20"/>
          <w:szCs w:val="20"/>
          <w:vertAlign w:val="superscript"/>
          <w:lang w:val="en-US"/>
        </w:rPr>
        <w:t>-7</w:t>
      </w:r>
      <w:r w:rsidRPr="00F11EA8">
        <w:rPr>
          <w:rFonts w:ascii="Times New Roman" w:hAnsi="Times New Roman" w:cs="Times New Roman"/>
          <w:sz w:val="20"/>
          <w:szCs w:val="20"/>
          <w:lang w:val="en-US"/>
        </w:rPr>
        <w:t xml:space="preserve"> M paltusotine on the migratory capacity of the same cell models (n = 3). Colored asterisks indicate statistically significant differences compared with the control group. Black asterisks above brackets denote statistically significant differences between the indicated groups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0.05, ** </w:t>
      </w:r>
      <w:r w:rsidRPr="00F11EA8">
        <w:rPr>
          <w:rFonts w:ascii="Times New Roman" w:hAnsi="Times New Roman" w:cs="Times New Roman"/>
          <w:i/>
          <w:iCs/>
          <w:sz w:val="20"/>
          <w:szCs w:val="20"/>
          <w:lang w:val="en-US"/>
        </w:rPr>
        <w:t>p</w:t>
      </w:r>
      <w:r w:rsidRPr="00F11EA8">
        <w:rPr>
          <w:rFonts w:ascii="Times New Roman" w:hAnsi="Times New Roman" w:cs="Times New Roman"/>
          <w:sz w:val="20"/>
          <w:szCs w:val="20"/>
          <w:lang w:val="en-US"/>
        </w:rPr>
        <w:t xml:space="preserve"> &lt; 0.01).</w:t>
      </w:r>
    </w:p>
    <w:p w14:paraId="64323B54" w14:textId="329E402C" w:rsidR="004E310E" w:rsidRPr="00015607" w:rsidRDefault="004E310E" w:rsidP="00015607">
      <w:pPr>
        <w:spacing w:after="0" w:line="480" w:lineRule="auto"/>
        <w:jc w:val="both"/>
        <w:rPr>
          <w:rFonts w:ascii="Times New Roman" w:hAnsi="Times New Roman" w:cs="Times New Roman"/>
          <w:sz w:val="20"/>
          <w:szCs w:val="20"/>
        </w:rPr>
      </w:pPr>
      <w:proofErr w:type="spellStart"/>
      <w:r w:rsidRPr="00015607">
        <w:rPr>
          <w:rFonts w:ascii="Times New Roman" w:hAnsi="Times New Roman" w:cs="Times New Roman"/>
          <w:b/>
          <w:bCs/>
          <w:sz w:val="20"/>
          <w:szCs w:val="20"/>
          <w:u w:val="single"/>
        </w:rPr>
        <w:lastRenderedPageBreak/>
        <w:t>References</w:t>
      </w:r>
      <w:proofErr w:type="spellEnd"/>
    </w:p>
    <w:p w14:paraId="01E7B013" w14:textId="77777777" w:rsidR="00015607" w:rsidRPr="00015607" w:rsidRDefault="004E310E" w:rsidP="00015607">
      <w:pPr>
        <w:pStyle w:val="Bibliografa"/>
        <w:jc w:val="both"/>
        <w:rPr>
          <w:rFonts w:ascii="Times New Roman" w:hAnsi="Times New Roman" w:cs="Times New Roman"/>
          <w:sz w:val="20"/>
          <w:lang w:val="en-US"/>
        </w:rPr>
      </w:pPr>
      <w:r w:rsidRPr="00015607">
        <w:rPr>
          <w:rFonts w:ascii="Times New Roman" w:hAnsi="Times New Roman" w:cs="Times New Roman"/>
          <w:sz w:val="20"/>
          <w:szCs w:val="20"/>
          <w:lang w:val="en-US"/>
        </w:rPr>
        <w:fldChar w:fldCharType="begin"/>
      </w:r>
      <w:r w:rsidR="007529EB" w:rsidRPr="00015607">
        <w:rPr>
          <w:rFonts w:ascii="Times New Roman" w:hAnsi="Times New Roman" w:cs="Times New Roman"/>
          <w:sz w:val="20"/>
          <w:szCs w:val="20"/>
        </w:rPr>
        <w:instrText xml:space="preserve"> ADDIN ZOTERO_BIBL {"uncited":[],"omitted":[],"custom":[]} CSL_BIBLIOGRAPHY </w:instrText>
      </w:r>
      <w:r w:rsidRPr="00015607">
        <w:rPr>
          <w:rFonts w:ascii="Times New Roman" w:hAnsi="Times New Roman" w:cs="Times New Roman"/>
          <w:sz w:val="20"/>
          <w:szCs w:val="20"/>
          <w:lang w:val="en-US"/>
        </w:rPr>
        <w:fldChar w:fldCharType="separate"/>
      </w:r>
      <w:r w:rsidR="00015607" w:rsidRPr="00015607">
        <w:rPr>
          <w:rFonts w:ascii="Times New Roman" w:hAnsi="Times New Roman" w:cs="Times New Roman"/>
          <w:sz w:val="20"/>
        </w:rPr>
        <w:t xml:space="preserve">1. Calsina B, Piñeiro-Yáñez E, Martínez-Montes ÁM, </w:t>
      </w:r>
      <w:proofErr w:type="spellStart"/>
      <w:r w:rsidR="00015607" w:rsidRPr="00015607">
        <w:rPr>
          <w:rFonts w:ascii="Times New Roman" w:hAnsi="Times New Roman" w:cs="Times New Roman"/>
          <w:sz w:val="20"/>
        </w:rPr>
        <w:t>Caleiras</w:t>
      </w:r>
      <w:proofErr w:type="spellEnd"/>
      <w:r w:rsidR="00015607" w:rsidRPr="00015607">
        <w:rPr>
          <w:rFonts w:ascii="Times New Roman" w:hAnsi="Times New Roman" w:cs="Times New Roman"/>
          <w:sz w:val="20"/>
        </w:rPr>
        <w:t xml:space="preserve"> E, Fernández-Sanromán Á, Monteagudo M, et al. </w:t>
      </w:r>
      <w:proofErr w:type="spellStart"/>
      <w:r w:rsidR="00015607" w:rsidRPr="00015607">
        <w:rPr>
          <w:rFonts w:ascii="Times New Roman" w:hAnsi="Times New Roman" w:cs="Times New Roman"/>
          <w:sz w:val="20"/>
        </w:rPr>
        <w:t>Genomic</w:t>
      </w:r>
      <w:proofErr w:type="spellEnd"/>
      <w:r w:rsidR="00015607" w:rsidRPr="00015607">
        <w:rPr>
          <w:rFonts w:ascii="Times New Roman" w:hAnsi="Times New Roman" w:cs="Times New Roman"/>
          <w:sz w:val="20"/>
        </w:rPr>
        <w:t xml:space="preserve"> and </w:t>
      </w:r>
      <w:proofErr w:type="spellStart"/>
      <w:r w:rsidR="00015607" w:rsidRPr="00015607">
        <w:rPr>
          <w:rFonts w:ascii="Times New Roman" w:hAnsi="Times New Roman" w:cs="Times New Roman"/>
          <w:sz w:val="20"/>
        </w:rPr>
        <w:t>immune</w:t>
      </w:r>
      <w:proofErr w:type="spellEnd"/>
      <w:r w:rsidR="00015607" w:rsidRPr="00015607">
        <w:rPr>
          <w:rFonts w:ascii="Times New Roman" w:hAnsi="Times New Roman" w:cs="Times New Roman"/>
          <w:sz w:val="20"/>
        </w:rPr>
        <w:t xml:space="preserve"> </w:t>
      </w:r>
      <w:proofErr w:type="spellStart"/>
      <w:r w:rsidR="00015607" w:rsidRPr="00015607">
        <w:rPr>
          <w:rFonts w:ascii="Times New Roman" w:hAnsi="Times New Roman" w:cs="Times New Roman"/>
          <w:sz w:val="20"/>
        </w:rPr>
        <w:t>landscape</w:t>
      </w:r>
      <w:proofErr w:type="spellEnd"/>
      <w:r w:rsidR="00015607" w:rsidRPr="00015607">
        <w:rPr>
          <w:rFonts w:ascii="Times New Roman" w:hAnsi="Times New Roman" w:cs="Times New Roman"/>
          <w:sz w:val="20"/>
        </w:rPr>
        <w:t xml:space="preserve"> Of </w:t>
      </w:r>
      <w:proofErr w:type="spellStart"/>
      <w:r w:rsidR="00015607" w:rsidRPr="00015607">
        <w:rPr>
          <w:rFonts w:ascii="Times New Roman" w:hAnsi="Times New Roman" w:cs="Times New Roman"/>
          <w:sz w:val="20"/>
        </w:rPr>
        <w:t>metastatic</w:t>
      </w:r>
      <w:proofErr w:type="spellEnd"/>
      <w:r w:rsidR="00015607" w:rsidRPr="00015607">
        <w:rPr>
          <w:rFonts w:ascii="Times New Roman" w:hAnsi="Times New Roman" w:cs="Times New Roman"/>
          <w:sz w:val="20"/>
        </w:rPr>
        <w:t xml:space="preserve"> </w:t>
      </w:r>
      <w:proofErr w:type="spellStart"/>
      <w:r w:rsidR="00015607" w:rsidRPr="00015607">
        <w:rPr>
          <w:rFonts w:ascii="Times New Roman" w:hAnsi="Times New Roman" w:cs="Times New Roman"/>
          <w:sz w:val="20"/>
        </w:rPr>
        <w:t>pheochromocytoma</w:t>
      </w:r>
      <w:proofErr w:type="spellEnd"/>
      <w:r w:rsidR="00015607" w:rsidRPr="00015607">
        <w:rPr>
          <w:rFonts w:ascii="Times New Roman" w:hAnsi="Times New Roman" w:cs="Times New Roman"/>
          <w:sz w:val="20"/>
        </w:rPr>
        <w:t xml:space="preserve"> and </w:t>
      </w:r>
      <w:proofErr w:type="spellStart"/>
      <w:r w:rsidR="00015607" w:rsidRPr="00015607">
        <w:rPr>
          <w:rFonts w:ascii="Times New Roman" w:hAnsi="Times New Roman" w:cs="Times New Roman"/>
          <w:sz w:val="20"/>
        </w:rPr>
        <w:t>paraganglioma</w:t>
      </w:r>
      <w:proofErr w:type="spellEnd"/>
      <w:r w:rsidR="00015607" w:rsidRPr="00015607">
        <w:rPr>
          <w:rFonts w:ascii="Times New Roman" w:hAnsi="Times New Roman" w:cs="Times New Roman"/>
          <w:sz w:val="20"/>
        </w:rPr>
        <w:t xml:space="preserve">. </w:t>
      </w:r>
      <w:r w:rsidR="00015607" w:rsidRPr="00015607">
        <w:rPr>
          <w:rFonts w:ascii="Times New Roman" w:hAnsi="Times New Roman" w:cs="Times New Roman"/>
          <w:sz w:val="20"/>
          <w:lang w:val="en-US"/>
        </w:rPr>
        <w:t>Nat Commun. 2023;14:1122. https://doi.org/10.1038/s41467-023-36769-6</w:t>
      </w:r>
    </w:p>
    <w:p w14:paraId="305A7F4D"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2. Kim D, Pertea G, Trapnell C, Pimentel H, Kelley R, Salzberg SL. TopHat2: accurate alignment of transcriptomes in the presence of insertions, deletions and gene fusions. Genome Biol. 2013;14:R36. https://doi.org/10.1186/gb-2013-14-4-r36</w:t>
      </w:r>
    </w:p>
    <w:p w14:paraId="1AD281DF"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3. Dobin A, Davis CA, Schlesinger F, </w:t>
      </w:r>
      <w:proofErr w:type="spellStart"/>
      <w:r w:rsidRPr="00015607">
        <w:rPr>
          <w:rFonts w:ascii="Times New Roman" w:hAnsi="Times New Roman" w:cs="Times New Roman"/>
          <w:sz w:val="20"/>
          <w:lang w:val="en-US"/>
        </w:rPr>
        <w:t>Drenkow</w:t>
      </w:r>
      <w:proofErr w:type="spellEnd"/>
      <w:r w:rsidRPr="00015607">
        <w:rPr>
          <w:rFonts w:ascii="Times New Roman" w:hAnsi="Times New Roman" w:cs="Times New Roman"/>
          <w:sz w:val="20"/>
          <w:lang w:val="en-US"/>
        </w:rPr>
        <w:t xml:space="preserve"> J, Zaleski C, Jha S, et al. </w:t>
      </w:r>
      <w:r w:rsidRPr="00015607">
        <w:rPr>
          <w:rFonts w:ascii="Times New Roman" w:hAnsi="Times New Roman" w:cs="Times New Roman"/>
          <w:sz w:val="20"/>
        </w:rPr>
        <w:t xml:space="preserve">STAR: </w:t>
      </w:r>
      <w:proofErr w:type="spellStart"/>
      <w:r w:rsidRPr="00015607">
        <w:rPr>
          <w:rFonts w:ascii="Times New Roman" w:hAnsi="Times New Roman" w:cs="Times New Roman"/>
          <w:sz w:val="20"/>
        </w:rPr>
        <w:t>ultrafast</w:t>
      </w:r>
      <w:proofErr w:type="spellEnd"/>
      <w:r w:rsidRPr="00015607">
        <w:rPr>
          <w:rFonts w:ascii="Times New Roman" w:hAnsi="Times New Roman" w:cs="Times New Roman"/>
          <w:sz w:val="20"/>
        </w:rPr>
        <w:t xml:space="preserve"> universal RNA-seq </w:t>
      </w:r>
      <w:proofErr w:type="spellStart"/>
      <w:r w:rsidRPr="00015607">
        <w:rPr>
          <w:rFonts w:ascii="Times New Roman" w:hAnsi="Times New Roman" w:cs="Times New Roman"/>
          <w:sz w:val="20"/>
        </w:rPr>
        <w:t>aligner</w:t>
      </w:r>
      <w:proofErr w:type="spellEnd"/>
      <w:r w:rsidRPr="00015607">
        <w:rPr>
          <w:rFonts w:ascii="Times New Roman" w:hAnsi="Times New Roman" w:cs="Times New Roman"/>
          <w:sz w:val="20"/>
        </w:rPr>
        <w:t xml:space="preserve">. </w:t>
      </w:r>
      <w:r w:rsidRPr="00015607">
        <w:rPr>
          <w:rFonts w:ascii="Times New Roman" w:hAnsi="Times New Roman" w:cs="Times New Roman"/>
          <w:sz w:val="20"/>
          <w:lang w:val="en-US"/>
        </w:rPr>
        <w:t>Bioinformatics. 2013;29:15–21. https://doi.org/10.1093/bioinformatics/bts635</w:t>
      </w:r>
    </w:p>
    <w:p w14:paraId="18CD0AC7"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4. Fishbein L, </w:t>
      </w:r>
      <w:proofErr w:type="spellStart"/>
      <w:r w:rsidRPr="00015607">
        <w:rPr>
          <w:rFonts w:ascii="Times New Roman" w:hAnsi="Times New Roman" w:cs="Times New Roman"/>
          <w:sz w:val="20"/>
          <w:lang w:val="en-US"/>
        </w:rPr>
        <w:t>Leshchiner</w:t>
      </w:r>
      <w:proofErr w:type="spellEnd"/>
      <w:r w:rsidRPr="00015607">
        <w:rPr>
          <w:rFonts w:ascii="Times New Roman" w:hAnsi="Times New Roman" w:cs="Times New Roman"/>
          <w:sz w:val="20"/>
          <w:lang w:val="en-US"/>
        </w:rPr>
        <w:t xml:space="preserve"> I, Walter V, Danilova L, Robertson AG, Johnson AR, et al. </w:t>
      </w:r>
      <w:r w:rsidRPr="00015607">
        <w:rPr>
          <w:rFonts w:ascii="Times New Roman" w:hAnsi="Times New Roman" w:cs="Times New Roman"/>
          <w:sz w:val="20"/>
        </w:rPr>
        <w:t xml:space="preserve">Comprehensive Molecular </w:t>
      </w:r>
      <w:proofErr w:type="spellStart"/>
      <w:r w:rsidRPr="00015607">
        <w:rPr>
          <w:rFonts w:ascii="Times New Roman" w:hAnsi="Times New Roman" w:cs="Times New Roman"/>
          <w:sz w:val="20"/>
        </w:rPr>
        <w:t>Characterization</w:t>
      </w:r>
      <w:proofErr w:type="spellEnd"/>
      <w:r w:rsidRPr="00015607">
        <w:rPr>
          <w:rFonts w:ascii="Times New Roman" w:hAnsi="Times New Roman" w:cs="Times New Roman"/>
          <w:sz w:val="20"/>
        </w:rPr>
        <w:t xml:space="preserve"> of </w:t>
      </w:r>
      <w:proofErr w:type="spellStart"/>
      <w:r w:rsidRPr="00015607">
        <w:rPr>
          <w:rFonts w:ascii="Times New Roman" w:hAnsi="Times New Roman" w:cs="Times New Roman"/>
          <w:sz w:val="20"/>
        </w:rPr>
        <w:t>Pheochromocytoma</w:t>
      </w:r>
      <w:proofErr w:type="spellEnd"/>
      <w:r w:rsidRPr="00015607">
        <w:rPr>
          <w:rFonts w:ascii="Times New Roman" w:hAnsi="Times New Roman" w:cs="Times New Roman"/>
          <w:sz w:val="20"/>
        </w:rPr>
        <w:t xml:space="preserve"> and </w:t>
      </w:r>
      <w:proofErr w:type="spellStart"/>
      <w:r w:rsidRPr="00015607">
        <w:rPr>
          <w:rFonts w:ascii="Times New Roman" w:hAnsi="Times New Roman" w:cs="Times New Roman"/>
          <w:sz w:val="20"/>
        </w:rPr>
        <w:t>Paraganglioma</w:t>
      </w:r>
      <w:proofErr w:type="spellEnd"/>
      <w:r w:rsidRPr="00015607">
        <w:rPr>
          <w:rFonts w:ascii="Times New Roman" w:hAnsi="Times New Roman" w:cs="Times New Roman"/>
          <w:sz w:val="20"/>
        </w:rPr>
        <w:t xml:space="preserve">. </w:t>
      </w:r>
      <w:r w:rsidRPr="00015607">
        <w:rPr>
          <w:rFonts w:ascii="Times New Roman" w:hAnsi="Times New Roman" w:cs="Times New Roman"/>
          <w:sz w:val="20"/>
          <w:lang w:val="en-US"/>
        </w:rPr>
        <w:t>Cancer Cell. 2017;31:181–93. https://doi.org/10.1016/j.ccell.2017.01.001</w:t>
      </w:r>
    </w:p>
    <w:p w14:paraId="0D2321B4"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5. </w:t>
      </w:r>
      <w:proofErr w:type="spellStart"/>
      <w:r w:rsidRPr="00015607">
        <w:rPr>
          <w:rFonts w:ascii="Times New Roman" w:hAnsi="Times New Roman" w:cs="Times New Roman"/>
          <w:sz w:val="20"/>
          <w:lang w:val="en-US"/>
        </w:rPr>
        <w:t>GTEx</w:t>
      </w:r>
      <w:proofErr w:type="spellEnd"/>
      <w:r w:rsidRPr="00015607">
        <w:rPr>
          <w:rFonts w:ascii="Times New Roman" w:hAnsi="Times New Roman" w:cs="Times New Roman"/>
          <w:sz w:val="20"/>
          <w:lang w:val="en-US"/>
        </w:rPr>
        <w:t xml:space="preserve"> Consortium. The Genotype-Tissue Expression (</w:t>
      </w:r>
      <w:proofErr w:type="spellStart"/>
      <w:r w:rsidRPr="00015607">
        <w:rPr>
          <w:rFonts w:ascii="Times New Roman" w:hAnsi="Times New Roman" w:cs="Times New Roman"/>
          <w:sz w:val="20"/>
          <w:lang w:val="en-US"/>
        </w:rPr>
        <w:t>GTEx</w:t>
      </w:r>
      <w:proofErr w:type="spellEnd"/>
      <w:r w:rsidRPr="00015607">
        <w:rPr>
          <w:rFonts w:ascii="Times New Roman" w:hAnsi="Times New Roman" w:cs="Times New Roman"/>
          <w:sz w:val="20"/>
          <w:lang w:val="en-US"/>
        </w:rPr>
        <w:t>) project. Nat Genet. 2013;45:580–5. https://doi.org/10.1038/ng.2653</w:t>
      </w:r>
    </w:p>
    <w:p w14:paraId="17D0ACB7"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6. Johnson WE, Li C, </w:t>
      </w:r>
      <w:proofErr w:type="spellStart"/>
      <w:r w:rsidRPr="00015607">
        <w:rPr>
          <w:rFonts w:ascii="Times New Roman" w:hAnsi="Times New Roman" w:cs="Times New Roman"/>
          <w:sz w:val="20"/>
          <w:lang w:val="en-US"/>
        </w:rPr>
        <w:t>Rabinovic</w:t>
      </w:r>
      <w:proofErr w:type="spellEnd"/>
      <w:r w:rsidRPr="00015607">
        <w:rPr>
          <w:rFonts w:ascii="Times New Roman" w:hAnsi="Times New Roman" w:cs="Times New Roman"/>
          <w:sz w:val="20"/>
          <w:lang w:val="en-US"/>
        </w:rPr>
        <w:t xml:space="preserve"> A. Adjusting batch effects in microarray expression data using empirical Bayes methods. Biostatistics. 2007;8:118–27. https://doi.org/10.1093/biostatistics/kxj037</w:t>
      </w:r>
    </w:p>
    <w:p w14:paraId="3B7EB668"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7. Leek JT, Johnson WE, Parker HS, Jaffe AE, </w:t>
      </w:r>
      <w:proofErr w:type="spellStart"/>
      <w:r w:rsidRPr="00015607">
        <w:rPr>
          <w:rFonts w:ascii="Times New Roman" w:hAnsi="Times New Roman" w:cs="Times New Roman"/>
          <w:sz w:val="20"/>
          <w:lang w:val="en-US"/>
        </w:rPr>
        <w:t>Storey</w:t>
      </w:r>
      <w:proofErr w:type="spellEnd"/>
      <w:r w:rsidRPr="00015607">
        <w:rPr>
          <w:rFonts w:ascii="Times New Roman" w:hAnsi="Times New Roman" w:cs="Times New Roman"/>
          <w:sz w:val="20"/>
          <w:lang w:val="en-US"/>
        </w:rPr>
        <w:t xml:space="preserve"> JD. The </w:t>
      </w:r>
      <w:proofErr w:type="spellStart"/>
      <w:r w:rsidRPr="00015607">
        <w:rPr>
          <w:rFonts w:ascii="Times New Roman" w:hAnsi="Times New Roman" w:cs="Times New Roman"/>
          <w:sz w:val="20"/>
          <w:lang w:val="en-US"/>
        </w:rPr>
        <w:t>sva</w:t>
      </w:r>
      <w:proofErr w:type="spellEnd"/>
      <w:r w:rsidRPr="00015607">
        <w:rPr>
          <w:rFonts w:ascii="Times New Roman" w:hAnsi="Times New Roman" w:cs="Times New Roman"/>
          <w:sz w:val="20"/>
          <w:lang w:val="en-US"/>
        </w:rPr>
        <w:t xml:space="preserve"> package for removing batch effects and other unwanted variation in high-throughput experiments. Bioinformatics. 2012;28:882–3. https://doi.org/10.1093/bioinformatics/bts034</w:t>
      </w:r>
    </w:p>
    <w:p w14:paraId="07288A07"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8. Rapizzi E, Fucci R, Giannoni E, Canu L, Richter S, Cirri P, et al. Role of microenvironment on neuroblastoma SK-N-AS SDHB-silenced cell metabolism and function. </w:t>
      </w:r>
      <w:proofErr w:type="spellStart"/>
      <w:r w:rsidRPr="00015607">
        <w:rPr>
          <w:rFonts w:ascii="Times New Roman" w:hAnsi="Times New Roman" w:cs="Times New Roman"/>
          <w:sz w:val="20"/>
          <w:lang w:val="en-US"/>
        </w:rPr>
        <w:t>Endocr</w:t>
      </w:r>
      <w:proofErr w:type="spellEnd"/>
      <w:r w:rsidRPr="00015607">
        <w:rPr>
          <w:rFonts w:ascii="Times New Roman" w:hAnsi="Times New Roman" w:cs="Times New Roman"/>
          <w:sz w:val="20"/>
          <w:lang w:val="en-US"/>
        </w:rPr>
        <w:t xml:space="preserve"> </w:t>
      </w:r>
      <w:proofErr w:type="spellStart"/>
      <w:r w:rsidRPr="00015607">
        <w:rPr>
          <w:rFonts w:ascii="Times New Roman" w:hAnsi="Times New Roman" w:cs="Times New Roman"/>
          <w:sz w:val="20"/>
          <w:lang w:val="en-US"/>
        </w:rPr>
        <w:t>Relat</w:t>
      </w:r>
      <w:proofErr w:type="spellEnd"/>
      <w:r w:rsidRPr="00015607">
        <w:rPr>
          <w:rFonts w:ascii="Times New Roman" w:hAnsi="Times New Roman" w:cs="Times New Roman"/>
          <w:sz w:val="20"/>
          <w:lang w:val="en-US"/>
        </w:rPr>
        <w:t xml:space="preserve"> Cancer. 2015;22:409–17. https://doi.org/10.1530/ERC-14-0479</w:t>
      </w:r>
    </w:p>
    <w:p w14:paraId="3943E4A4"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9. Uphoff CC, Drexler HG. Detection of Mycoplasma contamination in cell cultures. Curr </w:t>
      </w:r>
      <w:proofErr w:type="spellStart"/>
      <w:r w:rsidRPr="00015607">
        <w:rPr>
          <w:rFonts w:ascii="Times New Roman" w:hAnsi="Times New Roman" w:cs="Times New Roman"/>
          <w:sz w:val="20"/>
          <w:lang w:val="en-US"/>
        </w:rPr>
        <w:t>Protoc</w:t>
      </w:r>
      <w:proofErr w:type="spellEnd"/>
      <w:r w:rsidRPr="00015607">
        <w:rPr>
          <w:rFonts w:ascii="Times New Roman" w:hAnsi="Times New Roman" w:cs="Times New Roman"/>
          <w:sz w:val="20"/>
          <w:lang w:val="en-US"/>
        </w:rPr>
        <w:t xml:space="preserve"> Mol Biol. 2014;106:28.4.1-28.4.14. https://doi.org/10.1002/0471142727.mb2804s106</w:t>
      </w:r>
    </w:p>
    <w:p w14:paraId="7CA746F5"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10. </w:t>
      </w:r>
      <w:proofErr w:type="spellStart"/>
      <w:r w:rsidRPr="00015607">
        <w:rPr>
          <w:rFonts w:ascii="Times New Roman" w:hAnsi="Times New Roman" w:cs="Times New Roman"/>
          <w:sz w:val="20"/>
          <w:lang w:val="en-US"/>
        </w:rPr>
        <w:t>Appetecchia</w:t>
      </w:r>
      <w:proofErr w:type="spellEnd"/>
      <w:r w:rsidRPr="00015607">
        <w:rPr>
          <w:rFonts w:ascii="Times New Roman" w:hAnsi="Times New Roman" w:cs="Times New Roman"/>
          <w:sz w:val="20"/>
          <w:lang w:val="en-US"/>
        </w:rPr>
        <w:t xml:space="preserve"> M, Baldelli R. Somatostatin analogues in the treatment of gastroenteropancreatic neuroendocrine </w:t>
      </w:r>
      <w:proofErr w:type="spellStart"/>
      <w:r w:rsidRPr="00015607">
        <w:rPr>
          <w:rFonts w:ascii="Times New Roman" w:hAnsi="Times New Roman" w:cs="Times New Roman"/>
          <w:sz w:val="20"/>
          <w:lang w:val="en-US"/>
        </w:rPr>
        <w:t>tumours</w:t>
      </w:r>
      <w:proofErr w:type="spellEnd"/>
      <w:r w:rsidRPr="00015607">
        <w:rPr>
          <w:rFonts w:ascii="Times New Roman" w:hAnsi="Times New Roman" w:cs="Times New Roman"/>
          <w:sz w:val="20"/>
          <w:lang w:val="en-US"/>
        </w:rPr>
        <w:t>, current aspects and new perspectives. J Exp Clin Cancer Res. 2010;29:19. https://doi.org/10.1186/1756-9966-29-19</w:t>
      </w:r>
    </w:p>
    <w:p w14:paraId="385A2DF9"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11. </w:t>
      </w:r>
      <w:proofErr w:type="spellStart"/>
      <w:r w:rsidRPr="00015607">
        <w:rPr>
          <w:rFonts w:ascii="Times New Roman" w:hAnsi="Times New Roman" w:cs="Times New Roman"/>
          <w:sz w:val="20"/>
          <w:lang w:val="en-US"/>
        </w:rPr>
        <w:t>Fukusumi</w:t>
      </w:r>
      <w:proofErr w:type="spellEnd"/>
      <w:r w:rsidRPr="00015607">
        <w:rPr>
          <w:rFonts w:ascii="Times New Roman" w:hAnsi="Times New Roman" w:cs="Times New Roman"/>
          <w:sz w:val="20"/>
          <w:lang w:val="en-US"/>
        </w:rPr>
        <w:t xml:space="preserve"> S, Kitada C, Takekawa S, </w:t>
      </w:r>
      <w:proofErr w:type="spellStart"/>
      <w:r w:rsidRPr="00015607">
        <w:rPr>
          <w:rFonts w:ascii="Times New Roman" w:hAnsi="Times New Roman" w:cs="Times New Roman"/>
          <w:sz w:val="20"/>
          <w:lang w:val="en-US"/>
        </w:rPr>
        <w:t>Kizawa</w:t>
      </w:r>
      <w:proofErr w:type="spellEnd"/>
      <w:r w:rsidRPr="00015607">
        <w:rPr>
          <w:rFonts w:ascii="Times New Roman" w:hAnsi="Times New Roman" w:cs="Times New Roman"/>
          <w:sz w:val="20"/>
          <w:lang w:val="en-US"/>
        </w:rPr>
        <w:t xml:space="preserve"> H, Sakamoto J, Miyamoto M, et al. Identification and characterization of a novel human cortistatin-like peptide. </w:t>
      </w:r>
      <w:proofErr w:type="spellStart"/>
      <w:r w:rsidRPr="00015607">
        <w:rPr>
          <w:rFonts w:ascii="Times New Roman" w:hAnsi="Times New Roman" w:cs="Times New Roman"/>
          <w:sz w:val="20"/>
          <w:lang w:val="en-US"/>
        </w:rPr>
        <w:t>Biochem</w:t>
      </w:r>
      <w:proofErr w:type="spellEnd"/>
      <w:r w:rsidRPr="00015607">
        <w:rPr>
          <w:rFonts w:ascii="Times New Roman" w:hAnsi="Times New Roman" w:cs="Times New Roman"/>
          <w:sz w:val="20"/>
          <w:lang w:val="en-US"/>
        </w:rPr>
        <w:t xml:space="preserve"> </w:t>
      </w:r>
      <w:proofErr w:type="spellStart"/>
      <w:r w:rsidRPr="00015607">
        <w:rPr>
          <w:rFonts w:ascii="Times New Roman" w:hAnsi="Times New Roman" w:cs="Times New Roman"/>
          <w:sz w:val="20"/>
          <w:lang w:val="en-US"/>
        </w:rPr>
        <w:t>Biophys</w:t>
      </w:r>
      <w:proofErr w:type="spellEnd"/>
      <w:r w:rsidRPr="00015607">
        <w:rPr>
          <w:rFonts w:ascii="Times New Roman" w:hAnsi="Times New Roman" w:cs="Times New Roman"/>
          <w:sz w:val="20"/>
          <w:lang w:val="en-US"/>
        </w:rPr>
        <w:t xml:space="preserve"> Res Commun. 1997;232:157–63. https://doi.org/10.1006/bbrc.1997.6252</w:t>
      </w:r>
    </w:p>
    <w:p w14:paraId="76A284CB"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12. Gruszka A, Culler MD, Melmed S. Somatostatin analogs and chimeric somatostatin-dopamine molecules differentially regulate human growth hormone and prolactin gene expression and secretion in vitro. Mol Cell Endocrinol. 2012;362:104–9. https://doi.org/10.1016/j.mce.2012.05.020</w:t>
      </w:r>
    </w:p>
    <w:p w14:paraId="53CD49B2"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13. Ren S-G, Taylor J, Dong J, Yu R, Culler MD, Melmed S. Functional association of somatostatin receptor subtypes 2 and 5 in inhibiting human growth hormone secretion. J Clin Endocrinol </w:t>
      </w:r>
      <w:proofErr w:type="spellStart"/>
      <w:r w:rsidRPr="00015607">
        <w:rPr>
          <w:rFonts w:ascii="Times New Roman" w:hAnsi="Times New Roman" w:cs="Times New Roman"/>
          <w:sz w:val="20"/>
          <w:lang w:val="en-US"/>
        </w:rPr>
        <w:t>Metab</w:t>
      </w:r>
      <w:proofErr w:type="spellEnd"/>
      <w:r w:rsidRPr="00015607">
        <w:rPr>
          <w:rFonts w:ascii="Times New Roman" w:hAnsi="Times New Roman" w:cs="Times New Roman"/>
          <w:sz w:val="20"/>
          <w:lang w:val="en-US"/>
        </w:rPr>
        <w:t>. 2003;88:4239–45. https://doi.org/10.1210/jc.2003-030303</w:t>
      </w:r>
    </w:p>
    <w:p w14:paraId="05910583"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14. Ludvigsen E, </w:t>
      </w:r>
      <w:proofErr w:type="spellStart"/>
      <w:r w:rsidRPr="00015607">
        <w:rPr>
          <w:rFonts w:ascii="Times New Roman" w:hAnsi="Times New Roman" w:cs="Times New Roman"/>
          <w:sz w:val="20"/>
          <w:lang w:val="en-US"/>
        </w:rPr>
        <w:t>Stridsberg</w:t>
      </w:r>
      <w:proofErr w:type="spellEnd"/>
      <w:r w:rsidRPr="00015607">
        <w:rPr>
          <w:rFonts w:ascii="Times New Roman" w:hAnsi="Times New Roman" w:cs="Times New Roman"/>
          <w:sz w:val="20"/>
          <w:lang w:val="en-US"/>
        </w:rPr>
        <w:t xml:space="preserve"> M, Taylor JE, Culler MD, Öberg K, Janson ET. Subtype selective interactions of somatostatin and somatostatin analogs with sst1, sst2, and sst5 in BON-1 cells. Med Oncol. 2004;21:285–95. https://doi.org/10.1385/MO:21:3:285</w:t>
      </w:r>
    </w:p>
    <w:p w14:paraId="278D2FE2" w14:textId="77777777" w:rsidR="00015607" w:rsidRPr="00015607" w:rsidRDefault="00015607" w:rsidP="00015607">
      <w:pPr>
        <w:pStyle w:val="Bibliografa"/>
        <w:jc w:val="both"/>
        <w:rPr>
          <w:rFonts w:ascii="Times New Roman" w:hAnsi="Times New Roman" w:cs="Times New Roman"/>
          <w:sz w:val="20"/>
        </w:rPr>
      </w:pPr>
      <w:r w:rsidRPr="00015607">
        <w:rPr>
          <w:rFonts w:ascii="Times New Roman" w:hAnsi="Times New Roman" w:cs="Times New Roman"/>
          <w:sz w:val="20"/>
          <w:lang w:val="en-US"/>
        </w:rPr>
        <w:t>15. Bruns C, Lewis I, Briner U, Meno-</w:t>
      </w:r>
      <w:proofErr w:type="spellStart"/>
      <w:r w:rsidRPr="00015607">
        <w:rPr>
          <w:rFonts w:ascii="Times New Roman" w:hAnsi="Times New Roman" w:cs="Times New Roman"/>
          <w:sz w:val="20"/>
          <w:lang w:val="en-US"/>
        </w:rPr>
        <w:t>Tetang</w:t>
      </w:r>
      <w:proofErr w:type="spellEnd"/>
      <w:r w:rsidRPr="00015607">
        <w:rPr>
          <w:rFonts w:ascii="Times New Roman" w:hAnsi="Times New Roman" w:cs="Times New Roman"/>
          <w:sz w:val="20"/>
          <w:lang w:val="en-US"/>
        </w:rPr>
        <w:t xml:space="preserve"> G, </w:t>
      </w:r>
      <w:proofErr w:type="spellStart"/>
      <w:r w:rsidRPr="00015607">
        <w:rPr>
          <w:rFonts w:ascii="Times New Roman" w:hAnsi="Times New Roman" w:cs="Times New Roman"/>
          <w:sz w:val="20"/>
          <w:lang w:val="en-US"/>
        </w:rPr>
        <w:t>Weckbecker</w:t>
      </w:r>
      <w:proofErr w:type="spellEnd"/>
      <w:r w:rsidRPr="00015607">
        <w:rPr>
          <w:rFonts w:ascii="Times New Roman" w:hAnsi="Times New Roman" w:cs="Times New Roman"/>
          <w:sz w:val="20"/>
          <w:lang w:val="en-US"/>
        </w:rPr>
        <w:t xml:space="preserve"> G. SOM230: a novel somatostatin peptidomimetic with broad somatotropin release inhibiting factor (SRIF) receptor binding and a unique antisecretory profile. </w:t>
      </w:r>
      <w:proofErr w:type="spellStart"/>
      <w:r w:rsidRPr="00015607">
        <w:rPr>
          <w:rFonts w:ascii="Times New Roman" w:hAnsi="Times New Roman" w:cs="Times New Roman"/>
          <w:sz w:val="20"/>
        </w:rPr>
        <w:t>Eur</w:t>
      </w:r>
      <w:proofErr w:type="spellEnd"/>
      <w:r w:rsidRPr="00015607">
        <w:rPr>
          <w:rFonts w:ascii="Times New Roman" w:hAnsi="Times New Roman" w:cs="Times New Roman"/>
          <w:sz w:val="20"/>
        </w:rPr>
        <w:t xml:space="preserve"> J </w:t>
      </w:r>
      <w:proofErr w:type="spellStart"/>
      <w:r w:rsidRPr="00015607">
        <w:rPr>
          <w:rFonts w:ascii="Times New Roman" w:hAnsi="Times New Roman" w:cs="Times New Roman"/>
          <w:sz w:val="20"/>
        </w:rPr>
        <w:t>Endocrinol</w:t>
      </w:r>
      <w:proofErr w:type="spellEnd"/>
      <w:r w:rsidRPr="00015607">
        <w:rPr>
          <w:rFonts w:ascii="Times New Roman" w:hAnsi="Times New Roman" w:cs="Times New Roman"/>
          <w:sz w:val="20"/>
        </w:rPr>
        <w:t>. 2002;146:707–16. https://doi.org/10.1530/eje.0.1460707</w:t>
      </w:r>
    </w:p>
    <w:p w14:paraId="6E72BAE7"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rPr>
        <w:t xml:space="preserve">16. Vázquez-Borrego MC, Gupta V, Ibáñez-Costa A, </w:t>
      </w:r>
      <w:proofErr w:type="spellStart"/>
      <w:r w:rsidRPr="00015607">
        <w:rPr>
          <w:rFonts w:ascii="Times New Roman" w:hAnsi="Times New Roman" w:cs="Times New Roman"/>
          <w:sz w:val="20"/>
        </w:rPr>
        <w:t>Gahete</w:t>
      </w:r>
      <w:proofErr w:type="spellEnd"/>
      <w:r w:rsidRPr="00015607">
        <w:rPr>
          <w:rFonts w:ascii="Times New Roman" w:hAnsi="Times New Roman" w:cs="Times New Roman"/>
          <w:sz w:val="20"/>
        </w:rPr>
        <w:t xml:space="preserve"> MD, Venegas-Moreno E, Toledano-Delgado Á, et al. </w:t>
      </w:r>
      <w:r w:rsidRPr="00015607">
        <w:rPr>
          <w:rFonts w:ascii="Times New Roman" w:hAnsi="Times New Roman" w:cs="Times New Roman"/>
          <w:sz w:val="20"/>
          <w:lang w:val="en-US"/>
        </w:rPr>
        <w:t xml:space="preserve">A Somatostatin Receptor Subtype-3 (SST3) Peptide Agonist Shows Antitumor Effects in </w:t>
      </w:r>
      <w:r w:rsidRPr="00015607">
        <w:rPr>
          <w:rFonts w:ascii="Times New Roman" w:hAnsi="Times New Roman" w:cs="Times New Roman"/>
          <w:sz w:val="20"/>
          <w:lang w:val="en-US"/>
        </w:rPr>
        <w:lastRenderedPageBreak/>
        <w:t>Experimental Models of Nonfunctioning Pituitary Tumors. Clin Cancer Res. 2020;26:957–69. https://doi.org/10.1158/1078-0432.CCR-19-2154</w:t>
      </w:r>
    </w:p>
    <w:p w14:paraId="42792CE6"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17. </w:t>
      </w:r>
      <w:proofErr w:type="spellStart"/>
      <w:r w:rsidRPr="00015607">
        <w:rPr>
          <w:rFonts w:ascii="Times New Roman" w:hAnsi="Times New Roman" w:cs="Times New Roman"/>
          <w:sz w:val="20"/>
          <w:lang w:val="en-US"/>
        </w:rPr>
        <w:t>Zatelli</w:t>
      </w:r>
      <w:proofErr w:type="spellEnd"/>
      <w:r w:rsidRPr="00015607">
        <w:rPr>
          <w:rFonts w:ascii="Times New Roman" w:hAnsi="Times New Roman" w:cs="Times New Roman"/>
          <w:sz w:val="20"/>
          <w:lang w:val="en-US"/>
        </w:rPr>
        <w:t xml:space="preserve"> MC, Piccin D, Tagliati F, Ambrosio MR, </w:t>
      </w:r>
      <w:proofErr w:type="spellStart"/>
      <w:r w:rsidRPr="00015607">
        <w:rPr>
          <w:rFonts w:ascii="Times New Roman" w:hAnsi="Times New Roman" w:cs="Times New Roman"/>
          <w:sz w:val="20"/>
          <w:lang w:val="en-US"/>
        </w:rPr>
        <w:t>Margutti</w:t>
      </w:r>
      <w:proofErr w:type="spellEnd"/>
      <w:r w:rsidRPr="00015607">
        <w:rPr>
          <w:rFonts w:ascii="Times New Roman" w:hAnsi="Times New Roman" w:cs="Times New Roman"/>
          <w:sz w:val="20"/>
          <w:lang w:val="en-US"/>
        </w:rPr>
        <w:t xml:space="preserve"> A, Padovani R, et al. Somatostatin receptor subtype 1 selective activation in human growth hormone (GH)- and prolactin (PRL)-secreting pituitary adenomas: effects on cell viability, GH, and PRL secretion. J Clin Endocrinol </w:t>
      </w:r>
      <w:proofErr w:type="spellStart"/>
      <w:r w:rsidRPr="00015607">
        <w:rPr>
          <w:rFonts w:ascii="Times New Roman" w:hAnsi="Times New Roman" w:cs="Times New Roman"/>
          <w:sz w:val="20"/>
          <w:lang w:val="en-US"/>
        </w:rPr>
        <w:t>Metab</w:t>
      </w:r>
      <w:proofErr w:type="spellEnd"/>
      <w:r w:rsidRPr="00015607">
        <w:rPr>
          <w:rFonts w:ascii="Times New Roman" w:hAnsi="Times New Roman" w:cs="Times New Roman"/>
          <w:sz w:val="20"/>
          <w:lang w:val="en-US"/>
        </w:rPr>
        <w:t>. 2003;88:2797–802. https://doi.org/10.1210/jc.2002-021825</w:t>
      </w:r>
    </w:p>
    <w:p w14:paraId="3DBC4C7F"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18. Gruszka A, Ren S-G, Dong J, Culler MD, Melmed S. Regulation of Growth Hormone and Prolactin Gene Expression and Secretion by Chimeric Somatostatin-Dopamine Molecules. Endocrinology. 2007;148:6107–14. https://doi.org/10.1210/en.2007-0378</w:t>
      </w:r>
    </w:p>
    <w:p w14:paraId="7BCF6EE9"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19. </w:t>
      </w:r>
      <w:proofErr w:type="spellStart"/>
      <w:r w:rsidRPr="00015607">
        <w:rPr>
          <w:rFonts w:ascii="Times New Roman" w:hAnsi="Times New Roman" w:cs="Times New Roman"/>
          <w:sz w:val="20"/>
          <w:lang w:val="en-US"/>
        </w:rPr>
        <w:t>Zatelli</w:t>
      </w:r>
      <w:proofErr w:type="spellEnd"/>
      <w:r w:rsidRPr="00015607">
        <w:rPr>
          <w:rFonts w:ascii="Times New Roman" w:hAnsi="Times New Roman" w:cs="Times New Roman"/>
          <w:sz w:val="20"/>
          <w:lang w:val="en-US"/>
        </w:rPr>
        <w:t xml:space="preserve"> MC, Piccin D, Tagliati F, Bottoni A, Ambrosio MR, </w:t>
      </w:r>
      <w:proofErr w:type="spellStart"/>
      <w:r w:rsidRPr="00015607">
        <w:rPr>
          <w:rFonts w:ascii="Times New Roman" w:hAnsi="Times New Roman" w:cs="Times New Roman"/>
          <w:sz w:val="20"/>
          <w:lang w:val="en-US"/>
        </w:rPr>
        <w:t>Margutti</w:t>
      </w:r>
      <w:proofErr w:type="spellEnd"/>
      <w:r w:rsidRPr="00015607">
        <w:rPr>
          <w:rFonts w:ascii="Times New Roman" w:hAnsi="Times New Roman" w:cs="Times New Roman"/>
          <w:sz w:val="20"/>
          <w:lang w:val="en-US"/>
        </w:rPr>
        <w:t xml:space="preserve"> A, et al. Dopamine receptor subtype 2 and somatostatin receptor subtype 5 expression influences somatostatin analogs effects on human somatotroph pituitary adenomas in vitro. J Mol Endocrinol. 2005;35:333–41. https://doi.org/10.1677/jme.1.01876</w:t>
      </w:r>
    </w:p>
    <w:p w14:paraId="5FDEEB7C"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20. Tagliati F, </w:t>
      </w:r>
      <w:proofErr w:type="spellStart"/>
      <w:r w:rsidRPr="00015607">
        <w:rPr>
          <w:rFonts w:ascii="Times New Roman" w:hAnsi="Times New Roman" w:cs="Times New Roman"/>
          <w:sz w:val="20"/>
          <w:lang w:val="en-US"/>
        </w:rPr>
        <w:t>Zatelli</w:t>
      </w:r>
      <w:proofErr w:type="spellEnd"/>
      <w:r w:rsidRPr="00015607">
        <w:rPr>
          <w:rFonts w:ascii="Times New Roman" w:hAnsi="Times New Roman" w:cs="Times New Roman"/>
          <w:sz w:val="20"/>
          <w:lang w:val="en-US"/>
        </w:rPr>
        <w:t xml:space="preserve"> MC, Bottoni A, Piccin D, Luchin A, Culler MD, et al. Role of Complex Cyclin D1/Cdk4 in Somatostatin Subtype 2 Receptor-Mediated Inhibition of Cell Proliferation of a Medullary Thyroid Carcinoma Cell Line in Vitro. Endocrinology. 2006;147:3530–8. https://doi.org/10.1210/en.2005-1479</w:t>
      </w:r>
    </w:p>
    <w:p w14:paraId="05FCE438"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21. Kiessling MK, </w:t>
      </w:r>
      <w:proofErr w:type="spellStart"/>
      <w:r w:rsidRPr="00015607">
        <w:rPr>
          <w:rFonts w:ascii="Times New Roman" w:hAnsi="Times New Roman" w:cs="Times New Roman"/>
          <w:sz w:val="20"/>
          <w:lang w:val="en-US"/>
        </w:rPr>
        <w:t>Curioni-Fontecedro</w:t>
      </w:r>
      <w:proofErr w:type="spellEnd"/>
      <w:r w:rsidRPr="00015607">
        <w:rPr>
          <w:rFonts w:ascii="Times New Roman" w:hAnsi="Times New Roman" w:cs="Times New Roman"/>
          <w:sz w:val="20"/>
          <w:lang w:val="en-US"/>
        </w:rPr>
        <w:t xml:space="preserve"> A, Samaras P, Lang S, Scharl M, Aguzzi A, et al. Targeting the mTOR Complex by Everolimus in NRAS Mutant Neuroblastoma. </w:t>
      </w:r>
      <w:proofErr w:type="spellStart"/>
      <w:r w:rsidRPr="00015607">
        <w:rPr>
          <w:rFonts w:ascii="Times New Roman" w:hAnsi="Times New Roman" w:cs="Times New Roman"/>
          <w:sz w:val="20"/>
          <w:lang w:val="en-US"/>
        </w:rPr>
        <w:t>PLoS</w:t>
      </w:r>
      <w:proofErr w:type="spellEnd"/>
      <w:r w:rsidRPr="00015607">
        <w:rPr>
          <w:rFonts w:ascii="Times New Roman" w:hAnsi="Times New Roman" w:cs="Times New Roman"/>
          <w:sz w:val="20"/>
          <w:lang w:val="en-US"/>
        </w:rPr>
        <w:t xml:space="preserve"> One. 2016;11:e0147682. https://doi.org/10.1371/journal.pone.0147682</w:t>
      </w:r>
    </w:p>
    <w:p w14:paraId="51CBE899"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lang w:val="en-US"/>
        </w:rPr>
        <w:t xml:space="preserve">22. Calero R, </w:t>
      </w:r>
      <w:proofErr w:type="spellStart"/>
      <w:r w:rsidRPr="00015607">
        <w:rPr>
          <w:rFonts w:ascii="Times New Roman" w:hAnsi="Times New Roman" w:cs="Times New Roman"/>
          <w:sz w:val="20"/>
          <w:lang w:val="en-US"/>
        </w:rPr>
        <w:t>Morchon</w:t>
      </w:r>
      <w:proofErr w:type="spellEnd"/>
      <w:r w:rsidRPr="00015607">
        <w:rPr>
          <w:rFonts w:ascii="Times New Roman" w:hAnsi="Times New Roman" w:cs="Times New Roman"/>
          <w:sz w:val="20"/>
          <w:lang w:val="en-US"/>
        </w:rPr>
        <w:t xml:space="preserve"> E, Johnsen JI, Serrano R. Sunitinib Suppress Neuroblastoma Growth through Degradation of MYCN and Inhibition of Angiogenesis. </w:t>
      </w:r>
      <w:proofErr w:type="spellStart"/>
      <w:r w:rsidRPr="00015607">
        <w:rPr>
          <w:rFonts w:ascii="Times New Roman" w:hAnsi="Times New Roman" w:cs="Times New Roman"/>
          <w:sz w:val="20"/>
          <w:lang w:val="en-US"/>
        </w:rPr>
        <w:t>PLoS</w:t>
      </w:r>
      <w:proofErr w:type="spellEnd"/>
      <w:r w:rsidRPr="00015607">
        <w:rPr>
          <w:rFonts w:ascii="Times New Roman" w:hAnsi="Times New Roman" w:cs="Times New Roman"/>
          <w:sz w:val="20"/>
          <w:lang w:val="en-US"/>
        </w:rPr>
        <w:t xml:space="preserve"> One. 2014;9:e95628. https://doi.org/10.1371/journal.pone.0095628</w:t>
      </w:r>
    </w:p>
    <w:p w14:paraId="16A70E86" w14:textId="77777777" w:rsidR="00015607" w:rsidRPr="00015607" w:rsidRDefault="00015607" w:rsidP="00015607">
      <w:pPr>
        <w:pStyle w:val="Bibliografa"/>
        <w:jc w:val="both"/>
        <w:rPr>
          <w:rFonts w:ascii="Times New Roman" w:hAnsi="Times New Roman" w:cs="Times New Roman"/>
          <w:sz w:val="20"/>
        </w:rPr>
      </w:pPr>
      <w:r w:rsidRPr="00015607">
        <w:rPr>
          <w:rFonts w:ascii="Times New Roman" w:hAnsi="Times New Roman" w:cs="Times New Roman"/>
          <w:sz w:val="20"/>
          <w:lang w:val="en-US"/>
        </w:rPr>
        <w:t xml:space="preserve">23. Zhao J, Wang S, Markison S, Kim SH, Han S, Chen M, et al. Discovery of Paltusotine (CRN00808), a Potent, Selective, and Orally Bioavailable Non-peptide SST2 Agonist. </w:t>
      </w:r>
      <w:r w:rsidRPr="00015607">
        <w:rPr>
          <w:rFonts w:ascii="Times New Roman" w:hAnsi="Times New Roman" w:cs="Times New Roman"/>
          <w:sz w:val="20"/>
        </w:rPr>
        <w:t>ACS Med Chem Lett. 2022;14:66–74. https://doi.org/10.1021/acsmedchemlett.2c00431</w:t>
      </w:r>
    </w:p>
    <w:p w14:paraId="21E4F576" w14:textId="77777777" w:rsidR="00015607" w:rsidRPr="00015607" w:rsidRDefault="00015607" w:rsidP="00015607">
      <w:pPr>
        <w:pStyle w:val="Bibliografa"/>
        <w:jc w:val="both"/>
        <w:rPr>
          <w:rFonts w:ascii="Times New Roman" w:hAnsi="Times New Roman" w:cs="Times New Roman"/>
          <w:sz w:val="20"/>
        </w:rPr>
      </w:pPr>
      <w:r w:rsidRPr="00015607">
        <w:rPr>
          <w:rFonts w:ascii="Times New Roman" w:hAnsi="Times New Roman" w:cs="Times New Roman"/>
          <w:sz w:val="20"/>
        </w:rPr>
        <w:t>24. Moreno-Montilla MT, Pedraza-</w:t>
      </w:r>
      <w:proofErr w:type="spellStart"/>
      <w:r w:rsidRPr="00015607">
        <w:rPr>
          <w:rFonts w:ascii="Times New Roman" w:hAnsi="Times New Roman" w:cs="Times New Roman"/>
          <w:sz w:val="20"/>
        </w:rPr>
        <w:t>Arevalo</w:t>
      </w:r>
      <w:proofErr w:type="spellEnd"/>
      <w:r w:rsidRPr="00015607">
        <w:rPr>
          <w:rFonts w:ascii="Times New Roman" w:hAnsi="Times New Roman" w:cs="Times New Roman"/>
          <w:sz w:val="20"/>
        </w:rPr>
        <w:t xml:space="preserve"> S, Martínez-López A, Blázquez-Encinas R, García-Vioque V, Rodríguez-Ortiz L, et al. </w:t>
      </w:r>
      <w:r w:rsidRPr="00015607">
        <w:rPr>
          <w:rFonts w:ascii="Times New Roman" w:hAnsi="Times New Roman" w:cs="Times New Roman"/>
          <w:sz w:val="20"/>
          <w:lang w:val="en-US"/>
        </w:rPr>
        <w:t xml:space="preserve">Exploring RNA biology in pseudomyxoma peritonei uncovers splicing dysregulation as a novel, targetable molecular vulnerability. </w:t>
      </w:r>
      <w:r w:rsidRPr="00015607">
        <w:rPr>
          <w:rFonts w:ascii="Times New Roman" w:hAnsi="Times New Roman" w:cs="Times New Roman"/>
          <w:sz w:val="20"/>
        </w:rPr>
        <w:t>Cancer Gene Ther. 2025;32:721–36. https://doi.org/10.1038/s41417-025-00911-x</w:t>
      </w:r>
    </w:p>
    <w:p w14:paraId="67A96DFB" w14:textId="77777777" w:rsidR="00015607" w:rsidRPr="00015607" w:rsidRDefault="00015607" w:rsidP="00015607">
      <w:pPr>
        <w:pStyle w:val="Bibliografa"/>
        <w:jc w:val="both"/>
        <w:rPr>
          <w:rFonts w:ascii="Times New Roman" w:hAnsi="Times New Roman" w:cs="Times New Roman"/>
          <w:sz w:val="20"/>
        </w:rPr>
      </w:pPr>
      <w:r w:rsidRPr="00015607">
        <w:rPr>
          <w:rFonts w:ascii="Times New Roman" w:hAnsi="Times New Roman" w:cs="Times New Roman"/>
          <w:sz w:val="20"/>
        </w:rPr>
        <w:t xml:space="preserve">25. </w:t>
      </w:r>
      <w:proofErr w:type="spellStart"/>
      <w:r w:rsidRPr="00015607">
        <w:rPr>
          <w:rFonts w:ascii="Times New Roman" w:hAnsi="Times New Roman" w:cs="Times New Roman"/>
          <w:sz w:val="20"/>
        </w:rPr>
        <w:t>Vandesompele</w:t>
      </w:r>
      <w:proofErr w:type="spellEnd"/>
      <w:r w:rsidRPr="00015607">
        <w:rPr>
          <w:rFonts w:ascii="Times New Roman" w:hAnsi="Times New Roman" w:cs="Times New Roman"/>
          <w:sz w:val="20"/>
        </w:rPr>
        <w:t xml:space="preserve"> J, De Preter K, Pattyn F, Poppe B, Van Roy N, De Paepe A, et al. </w:t>
      </w:r>
      <w:r w:rsidRPr="00015607">
        <w:rPr>
          <w:rFonts w:ascii="Times New Roman" w:hAnsi="Times New Roman" w:cs="Times New Roman"/>
          <w:sz w:val="20"/>
          <w:lang w:val="en-US"/>
        </w:rPr>
        <w:t xml:space="preserve">Accurate normalization of real-time quantitative RT-PCR data by geometric averaging of multiple internal control genes. </w:t>
      </w:r>
      <w:proofErr w:type="spellStart"/>
      <w:r w:rsidRPr="00015607">
        <w:rPr>
          <w:rFonts w:ascii="Times New Roman" w:hAnsi="Times New Roman" w:cs="Times New Roman"/>
          <w:sz w:val="20"/>
        </w:rPr>
        <w:t>Genome</w:t>
      </w:r>
      <w:proofErr w:type="spellEnd"/>
      <w:r w:rsidRPr="00015607">
        <w:rPr>
          <w:rFonts w:ascii="Times New Roman" w:hAnsi="Times New Roman" w:cs="Times New Roman"/>
          <w:sz w:val="20"/>
        </w:rPr>
        <w:t xml:space="preserve"> Biol. 2002;3:RESEARCH0034. https://doi.org/10.1186/gb-2002-3-7-research0034</w:t>
      </w:r>
    </w:p>
    <w:p w14:paraId="69ED2646" w14:textId="77777777" w:rsidR="00015607" w:rsidRPr="00015607" w:rsidRDefault="00015607" w:rsidP="00015607">
      <w:pPr>
        <w:pStyle w:val="Bibliografa"/>
        <w:jc w:val="both"/>
        <w:rPr>
          <w:rFonts w:ascii="Times New Roman" w:hAnsi="Times New Roman" w:cs="Times New Roman"/>
          <w:sz w:val="20"/>
          <w:lang w:val="en-US"/>
        </w:rPr>
      </w:pPr>
      <w:r w:rsidRPr="00015607">
        <w:rPr>
          <w:rFonts w:ascii="Times New Roman" w:hAnsi="Times New Roman" w:cs="Times New Roman"/>
          <w:sz w:val="20"/>
        </w:rPr>
        <w:t>26. Alors-Pérez E, Pedraza-</w:t>
      </w:r>
      <w:proofErr w:type="spellStart"/>
      <w:r w:rsidRPr="00015607">
        <w:rPr>
          <w:rFonts w:ascii="Times New Roman" w:hAnsi="Times New Roman" w:cs="Times New Roman"/>
          <w:sz w:val="20"/>
        </w:rPr>
        <w:t>Arevalo</w:t>
      </w:r>
      <w:proofErr w:type="spellEnd"/>
      <w:r w:rsidRPr="00015607">
        <w:rPr>
          <w:rFonts w:ascii="Times New Roman" w:hAnsi="Times New Roman" w:cs="Times New Roman"/>
          <w:sz w:val="20"/>
        </w:rPr>
        <w:t xml:space="preserve"> S, Blázquez-Encinas R, García-Vioque V, Agraz-Doblas A, Yubero-Serrano EM, et al. </w:t>
      </w:r>
      <w:r w:rsidRPr="00015607">
        <w:rPr>
          <w:rFonts w:ascii="Times New Roman" w:hAnsi="Times New Roman" w:cs="Times New Roman"/>
          <w:sz w:val="20"/>
          <w:lang w:val="en-US"/>
        </w:rPr>
        <w:t>Altered CELF4 splicing factor enhances pancreatic neuroendocrine tumors aggressiveness influencing mTOR and everolimus response. Mol Ther Nucleic Acids. 2024;35:102090. https://doi.org/10.1016/j.omtn.2023.102090</w:t>
      </w:r>
    </w:p>
    <w:p w14:paraId="49E24171" w14:textId="77777777" w:rsidR="00015607" w:rsidRPr="00015607" w:rsidRDefault="00015607" w:rsidP="00015607">
      <w:pPr>
        <w:pStyle w:val="Bibliografa"/>
        <w:jc w:val="both"/>
        <w:rPr>
          <w:rFonts w:ascii="Times New Roman" w:hAnsi="Times New Roman" w:cs="Times New Roman"/>
          <w:sz w:val="20"/>
        </w:rPr>
      </w:pPr>
      <w:r w:rsidRPr="00015607">
        <w:rPr>
          <w:rFonts w:ascii="Times New Roman" w:hAnsi="Times New Roman" w:cs="Times New Roman"/>
          <w:sz w:val="20"/>
          <w:lang w:val="en-US"/>
        </w:rPr>
        <w:t xml:space="preserve">27. Pang Z, Lu Y, Zhou G, Hui F, Xu L, Viau C, et al. MetaboAnalyst 6.0: towards a unified platform for metabolomics data processing, analysis and interpretation. </w:t>
      </w:r>
      <w:proofErr w:type="spellStart"/>
      <w:r w:rsidRPr="00015607">
        <w:rPr>
          <w:rFonts w:ascii="Times New Roman" w:hAnsi="Times New Roman" w:cs="Times New Roman"/>
          <w:sz w:val="20"/>
        </w:rPr>
        <w:t>Nucleic</w:t>
      </w:r>
      <w:proofErr w:type="spellEnd"/>
      <w:r w:rsidRPr="00015607">
        <w:rPr>
          <w:rFonts w:ascii="Times New Roman" w:hAnsi="Times New Roman" w:cs="Times New Roman"/>
          <w:sz w:val="20"/>
        </w:rPr>
        <w:t xml:space="preserve"> </w:t>
      </w:r>
      <w:proofErr w:type="spellStart"/>
      <w:r w:rsidRPr="00015607">
        <w:rPr>
          <w:rFonts w:ascii="Times New Roman" w:hAnsi="Times New Roman" w:cs="Times New Roman"/>
          <w:sz w:val="20"/>
        </w:rPr>
        <w:t>Acids</w:t>
      </w:r>
      <w:proofErr w:type="spellEnd"/>
      <w:r w:rsidRPr="00015607">
        <w:rPr>
          <w:rFonts w:ascii="Times New Roman" w:hAnsi="Times New Roman" w:cs="Times New Roman"/>
          <w:sz w:val="20"/>
        </w:rPr>
        <w:t xml:space="preserve"> Res. 2024;52:W398–406. https://doi.org/10.1093/nar/gkae253</w:t>
      </w:r>
    </w:p>
    <w:p w14:paraId="622054CF" w14:textId="6CCE47F0" w:rsidR="004E310E" w:rsidRPr="00F11EA8" w:rsidRDefault="004E310E" w:rsidP="00015607">
      <w:pPr>
        <w:spacing w:line="480" w:lineRule="auto"/>
        <w:jc w:val="both"/>
        <w:rPr>
          <w:sz w:val="20"/>
          <w:szCs w:val="20"/>
          <w:lang w:val="en-US"/>
        </w:rPr>
      </w:pPr>
      <w:r w:rsidRPr="00015607">
        <w:rPr>
          <w:rFonts w:ascii="Times New Roman" w:hAnsi="Times New Roman" w:cs="Times New Roman"/>
          <w:sz w:val="20"/>
          <w:szCs w:val="20"/>
          <w:lang w:val="en-US"/>
        </w:rPr>
        <w:fldChar w:fldCharType="end"/>
      </w:r>
    </w:p>
    <w:sectPr w:rsidR="004E310E" w:rsidRPr="00F11EA8" w:rsidSect="004B52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F2B41"/>
    <w:multiLevelType w:val="hybridMultilevel"/>
    <w:tmpl w:val="342CC85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89885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0E"/>
    <w:rsid w:val="00015607"/>
    <w:rsid w:val="0001776F"/>
    <w:rsid w:val="0006041B"/>
    <w:rsid w:val="00080AAE"/>
    <w:rsid w:val="00086848"/>
    <w:rsid w:val="00095D43"/>
    <w:rsid w:val="000F7EC5"/>
    <w:rsid w:val="001732B1"/>
    <w:rsid w:val="001E09CF"/>
    <w:rsid w:val="00232146"/>
    <w:rsid w:val="002608DC"/>
    <w:rsid w:val="00275AC8"/>
    <w:rsid w:val="002C3165"/>
    <w:rsid w:val="003078C1"/>
    <w:rsid w:val="00315CBF"/>
    <w:rsid w:val="00324E7E"/>
    <w:rsid w:val="00365C67"/>
    <w:rsid w:val="00375981"/>
    <w:rsid w:val="003A2603"/>
    <w:rsid w:val="00435176"/>
    <w:rsid w:val="0044148C"/>
    <w:rsid w:val="004453F0"/>
    <w:rsid w:val="0045605C"/>
    <w:rsid w:val="00484DCB"/>
    <w:rsid w:val="004A36EA"/>
    <w:rsid w:val="004B5234"/>
    <w:rsid w:val="004E310E"/>
    <w:rsid w:val="004E36CC"/>
    <w:rsid w:val="00533CD2"/>
    <w:rsid w:val="00554B93"/>
    <w:rsid w:val="00587140"/>
    <w:rsid w:val="005936DF"/>
    <w:rsid w:val="005A0D08"/>
    <w:rsid w:val="005A41EE"/>
    <w:rsid w:val="005A6F25"/>
    <w:rsid w:val="005D3189"/>
    <w:rsid w:val="005E028A"/>
    <w:rsid w:val="006016EB"/>
    <w:rsid w:val="00623675"/>
    <w:rsid w:val="00624F7E"/>
    <w:rsid w:val="0067136D"/>
    <w:rsid w:val="0068721C"/>
    <w:rsid w:val="006B259F"/>
    <w:rsid w:val="00724F37"/>
    <w:rsid w:val="007453DB"/>
    <w:rsid w:val="007529EB"/>
    <w:rsid w:val="007710D2"/>
    <w:rsid w:val="00775B26"/>
    <w:rsid w:val="007A23CF"/>
    <w:rsid w:val="008A27EE"/>
    <w:rsid w:val="008C15A9"/>
    <w:rsid w:val="008E289D"/>
    <w:rsid w:val="009A283F"/>
    <w:rsid w:val="00A11672"/>
    <w:rsid w:val="00AA5EBE"/>
    <w:rsid w:val="00AE0618"/>
    <w:rsid w:val="00B058D7"/>
    <w:rsid w:val="00B458A9"/>
    <w:rsid w:val="00B5772D"/>
    <w:rsid w:val="00B6105F"/>
    <w:rsid w:val="00BA203D"/>
    <w:rsid w:val="00C30A3F"/>
    <w:rsid w:val="00C70114"/>
    <w:rsid w:val="00C96503"/>
    <w:rsid w:val="00CD58A7"/>
    <w:rsid w:val="00CF17F3"/>
    <w:rsid w:val="00D13CE5"/>
    <w:rsid w:val="00D335E6"/>
    <w:rsid w:val="00D34ECE"/>
    <w:rsid w:val="00D52E93"/>
    <w:rsid w:val="00D96967"/>
    <w:rsid w:val="00E6402B"/>
    <w:rsid w:val="00EA7B88"/>
    <w:rsid w:val="00EB0AEB"/>
    <w:rsid w:val="00EE5CD2"/>
    <w:rsid w:val="00EF0C96"/>
    <w:rsid w:val="00F11EA8"/>
    <w:rsid w:val="00F14A86"/>
    <w:rsid w:val="00F70CA4"/>
    <w:rsid w:val="00F7630C"/>
    <w:rsid w:val="00FB665E"/>
    <w:rsid w:val="00FC3498"/>
    <w:rsid w:val="00FE6F1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535D"/>
  <w14:defaultImageDpi w14:val="32767"/>
  <w15:chartTrackingRefBased/>
  <w15:docId w15:val="{5608A8EE-42D5-4095-9F1A-64C67C38B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0E"/>
    <w:rPr>
      <w:kern w:val="2"/>
    </w:rPr>
  </w:style>
  <w:style w:type="paragraph" w:styleId="Ttulo1">
    <w:name w:val="heading 1"/>
    <w:basedOn w:val="Normal"/>
    <w:next w:val="Normal"/>
    <w:link w:val="Ttulo1Car"/>
    <w:uiPriority w:val="9"/>
    <w:qFormat/>
    <w:rsid w:val="004E310E"/>
    <w:pPr>
      <w:keepNext/>
      <w:keepLines/>
      <w:spacing w:before="360" w:after="80"/>
      <w:outlineLvl w:val="0"/>
    </w:pPr>
    <w:rPr>
      <w:rFonts w:asciiTheme="majorHAnsi" w:eastAsiaTheme="majorEastAsia" w:hAnsiTheme="majorHAnsi" w:cstheme="majorBidi"/>
      <w:color w:val="0F4761" w:themeColor="accent1" w:themeShade="BF"/>
      <w:kern w:val="0"/>
      <w:sz w:val="40"/>
      <w:szCs w:val="40"/>
    </w:rPr>
  </w:style>
  <w:style w:type="paragraph" w:styleId="Ttulo2">
    <w:name w:val="heading 2"/>
    <w:basedOn w:val="Normal"/>
    <w:next w:val="Normal"/>
    <w:link w:val="Ttulo2Car"/>
    <w:uiPriority w:val="9"/>
    <w:semiHidden/>
    <w:unhideWhenUsed/>
    <w:qFormat/>
    <w:rsid w:val="004E310E"/>
    <w:pPr>
      <w:keepNext/>
      <w:keepLines/>
      <w:spacing w:before="160" w:after="80"/>
      <w:outlineLvl w:val="1"/>
    </w:pPr>
    <w:rPr>
      <w:rFonts w:asciiTheme="majorHAnsi" w:eastAsiaTheme="majorEastAsia" w:hAnsiTheme="majorHAnsi" w:cstheme="majorBidi"/>
      <w:color w:val="0F4761" w:themeColor="accent1" w:themeShade="BF"/>
      <w:kern w:val="0"/>
      <w:sz w:val="32"/>
      <w:szCs w:val="32"/>
    </w:rPr>
  </w:style>
  <w:style w:type="paragraph" w:styleId="Ttulo3">
    <w:name w:val="heading 3"/>
    <w:basedOn w:val="Normal"/>
    <w:next w:val="Normal"/>
    <w:link w:val="Ttulo3Car"/>
    <w:uiPriority w:val="9"/>
    <w:semiHidden/>
    <w:unhideWhenUsed/>
    <w:qFormat/>
    <w:rsid w:val="004E310E"/>
    <w:pPr>
      <w:keepNext/>
      <w:keepLines/>
      <w:spacing w:before="160" w:after="80"/>
      <w:outlineLvl w:val="2"/>
    </w:pPr>
    <w:rPr>
      <w:rFonts w:eastAsiaTheme="majorEastAsia" w:cstheme="majorBidi"/>
      <w:color w:val="0F4761" w:themeColor="accent1" w:themeShade="BF"/>
      <w:kern w:val="0"/>
      <w:sz w:val="28"/>
      <w:szCs w:val="28"/>
    </w:rPr>
  </w:style>
  <w:style w:type="paragraph" w:styleId="Ttulo4">
    <w:name w:val="heading 4"/>
    <w:basedOn w:val="Normal"/>
    <w:next w:val="Normal"/>
    <w:link w:val="Ttulo4Car"/>
    <w:uiPriority w:val="9"/>
    <w:semiHidden/>
    <w:unhideWhenUsed/>
    <w:qFormat/>
    <w:rsid w:val="004E310E"/>
    <w:pPr>
      <w:keepNext/>
      <w:keepLines/>
      <w:spacing w:before="80" w:after="40"/>
      <w:outlineLvl w:val="3"/>
    </w:pPr>
    <w:rPr>
      <w:rFonts w:eastAsiaTheme="majorEastAsia" w:cstheme="majorBidi"/>
      <w:i/>
      <w:iCs/>
      <w:color w:val="0F4761" w:themeColor="accent1" w:themeShade="BF"/>
      <w:kern w:val="0"/>
    </w:rPr>
  </w:style>
  <w:style w:type="paragraph" w:styleId="Ttulo5">
    <w:name w:val="heading 5"/>
    <w:basedOn w:val="Normal"/>
    <w:next w:val="Normal"/>
    <w:link w:val="Ttulo5Car"/>
    <w:uiPriority w:val="9"/>
    <w:semiHidden/>
    <w:unhideWhenUsed/>
    <w:qFormat/>
    <w:rsid w:val="004E310E"/>
    <w:pPr>
      <w:keepNext/>
      <w:keepLines/>
      <w:spacing w:before="80" w:after="40"/>
      <w:outlineLvl w:val="4"/>
    </w:pPr>
    <w:rPr>
      <w:rFonts w:eastAsiaTheme="majorEastAsia" w:cstheme="majorBidi"/>
      <w:color w:val="0F4761" w:themeColor="accent1" w:themeShade="BF"/>
      <w:kern w:val="0"/>
    </w:rPr>
  </w:style>
  <w:style w:type="paragraph" w:styleId="Ttulo6">
    <w:name w:val="heading 6"/>
    <w:basedOn w:val="Normal"/>
    <w:next w:val="Normal"/>
    <w:link w:val="Ttulo6Car"/>
    <w:uiPriority w:val="9"/>
    <w:semiHidden/>
    <w:unhideWhenUsed/>
    <w:qFormat/>
    <w:rsid w:val="004E310E"/>
    <w:pPr>
      <w:keepNext/>
      <w:keepLines/>
      <w:spacing w:before="40" w:after="0"/>
      <w:outlineLvl w:val="5"/>
    </w:pPr>
    <w:rPr>
      <w:rFonts w:eastAsiaTheme="majorEastAsia" w:cstheme="majorBidi"/>
      <w:i/>
      <w:iCs/>
      <w:color w:val="595959" w:themeColor="text1" w:themeTint="A6"/>
      <w:kern w:val="0"/>
    </w:rPr>
  </w:style>
  <w:style w:type="paragraph" w:styleId="Ttulo7">
    <w:name w:val="heading 7"/>
    <w:basedOn w:val="Normal"/>
    <w:next w:val="Normal"/>
    <w:link w:val="Ttulo7Car"/>
    <w:uiPriority w:val="9"/>
    <w:semiHidden/>
    <w:unhideWhenUsed/>
    <w:qFormat/>
    <w:rsid w:val="004E310E"/>
    <w:pPr>
      <w:keepNext/>
      <w:keepLines/>
      <w:spacing w:before="40" w:after="0"/>
      <w:outlineLvl w:val="6"/>
    </w:pPr>
    <w:rPr>
      <w:rFonts w:eastAsiaTheme="majorEastAsia" w:cstheme="majorBidi"/>
      <w:color w:val="595959" w:themeColor="text1" w:themeTint="A6"/>
      <w:kern w:val="0"/>
    </w:rPr>
  </w:style>
  <w:style w:type="paragraph" w:styleId="Ttulo8">
    <w:name w:val="heading 8"/>
    <w:basedOn w:val="Normal"/>
    <w:next w:val="Normal"/>
    <w:link w:val="Ttulo8Car"/>
    <w:uiPriority w:val="9"/>
    <w:semiHidden/>
    <w:unhideWhenUsed/>
    <w:qFormat/>
    <w:rsid w:val="004E310E"/>
    <w:pPr>
      <w:keepNext/>
      <w:keepLines/>
      <w:spacing w:after="0"/>
      <w:outlineLvl w:val="7"/>
    </w:pPr>
    <w:rPr>
      <w:rFonts w:eastAsiaTheme="majorEastAsia" w:cstheme="majorBidi"/>
      <w:i/>
      <w:iCs/>
      <w:color w:val="272727" w:themeColor="text1" w:themeTint="D8"/>
      <w:kern w:val="0"/>
    </w:rPr>
  </w:style>
  <w:style w:type="paragraph" w:styleId="Ttulo9">
    <w:name w:val="heading 9"/>
    <w:basedOn w:val="Normal"/>
    <w:next w:val="Normal"/>
    <w:link w:val="Ttulo9Car"/>
    <w:uiPriority w:val="9"/>
    <w:semiHidden/>
    <w:unhideWhenUsed/>
    <w:qFormat/>
    <w:rsid w:val="004E310E"/>
    <w:pPr>
      <w:keepNext/>
      <w:keepLines/>
      <w:spacing w:after="0"/>
      <w:outlineLvl w:val="8"/>
    </w:pPr>
    <w:rPr>
      <w:rFonts w:eastAsiaTheme="majorEastAsia" w:cstheme="majorBidi"/>
      <w:color w:val="272727" w:themeColor="text1" w:themeTint="D8"/>
      <w:kern w:val="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31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E31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E31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E31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E31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E31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31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31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310E"/>
    <w:rPr>
      <w:rFonts w:eastAsiaTheme="majorEastAsia" w:cstheme="majorBidi"/>
      <w:color w:val="272727" w:themeColor="text1" w:themeTint="D8"/>
    </w:rPr>
  </w:style>
  <w:style w:type="paragraph" w:styleId="Ttulo">
    <w:name w:val="Title"/>
    <w:basedOn w:val="Normal"/>
    <w:next w:val="Normal"/>
    <w:link w:val="TtuloCar"/>
    <w:uiPriority w:val="10"/>
    <w:qFormat/>
    <w:rsid w:val="004E3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31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310E"/>
    <w:pPr>
      <w:numPr>
        <w:ilvl w:val="1"/>
      </w:numPr>
    </w:pPr>
    <w:rPr>
      <w:rFonts w:eastAsiaTheme="majorEastAsia" w:cstheme="majorBidi"/>
      <w:color w:val="595959" w:themeColor="text1" w:themeTint="A6"/>
      <w:spacing w:val="15"/>
      <w:kern w:val="0"/>
      <w:sz w:val="28"/>
      <w:szCs w:val="28"/>
    </w:rPr>
  </w:style>
  <w:style w:type="character" w:customStyle="1" w:styleId="SubttuloCar">
    <w:name w:val="Subtítulo Car"/>
    <w:basedOn w:val="Fuentedeprrafopredeter"/>
    <w:link w:val="Subttulo"/>
    <w:uiPriority w:val="11"/>
    <w:rsid w:val="004E31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310E"/>
    <w:pPr>
      <w:spacing w:before="160"/>
      <w:jc w:val="center"/>
    </w:pPr>
    <w:rPr>
      <w:i/>
      <w:iCs/>
      <w:color w:val="404040" w:themeColor="text1" w:themeTint="BF"/>
      <w:kern w:val="0"/>
    </w:rPr>
  </w:style>
  <w:style w:type="character" w:customStyle="1" w:styleId="CitaCar">
    <w:name w:val="Cita Car"/>
    <w:basedOn w:val="Fuentedeprrafopredeter"/>
    <w:link w:val="Cita"/>
    <w:uiPriority w:val="29"/>
    <w:rsid w:val="004E310E"/>
    <w:rPr>
      <w:i/>
      <w:iCs/>
      <w:color w:val="404040" w:themeColor="text1" w:themeTint="BF"/>
    </w:rPr>
  </w:style>
  <w:style w:type="paragraph" w:styleId="Prrafodelista">
    <w:name w:val="List Paragraph"/>
    <w:basedOn w:val="Normal"/>
    <w:uiPriority w:val="34"/>
    <w:qFormat/>
    <w:rsid w:val="004E310E"/>
    <w:pPr>
      <w:ind w:left="720"/>
      <w:contextualSpacing/>
    </w:pPr>
    <w:rPr>
      <w:kern w:val="0"/>
    </w:rPr>
  </w:style>
  <w:style w:type="character" w:styleId="nfasisintenso">
    <w:name w:val="Intense Emphasis"/>
    <w:basedOn w:val="Fuentedeprrafopredeter"/>
    <w:uiPriority w:val="21"/>
    <w:qFormat/>
    <w:rsid w:val="004E310E"/>
    <w:rPr>
      <w:i/>
      <w:iCs/>
      <w:color w:val="0F4761" w:themeColor="accent1" w:themeShade="BF"/>
    </w:rPr>
  </w:style>
  <w:style w:type="paragraph" w:styleId="Citadestacada">
    <w:name w:val="Intense Quote"/>
    <w:basedOn w:val="Normal"/>
    <w:next w:val="Normal"/>
    <w:link w:val="CitadestacadaCar"/>
    <w:uiPriority w:val="30"/>
    <w:qFormat/>
    <w:rsid w:val="004E3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rPr>
  </w:style>
  <w:style w:type="character" w:customStyle="1" w:styleId="CitadestacadaCar">
    <w:name w:val="Cita destacada Car"/>
    <w:basedOn w:val="Fuentedeprrafopredeter"/>
    <w:link w:val="Citadestacada"/>
    <w:uiPriority w:val="30"/>
    <w:rsid w:val="004E310E"/>
    <w:rPr>
      <w:i/>
      <w:iCs/>
      <w:color w:val="0F4761" w:themeColor="accent1" w:themeShade="BF"/>
    </w:rPr>
  </w:style>
  <w:style w:type="character" w:styleId="Referenciaintensa">
    <w:name w:val="Intense Reference"/>
    <w:basedOn w:val="Fuentedeprrafopredeter"/>
    <w:uiPriority w:val="32"/>
    <w:qFormat/>
    <w:rsid w:val="004E310E"/>
    <w:rPr>
      <w:b/>
      <w:bCs/>
      <w:smallCaps/>
      <w:color w:val="0F4761" w:themeColor="accent1" w:themeShade="BF"/>
      <w:spacing w:val="5"/>
    </w:rPr>
  </w:style>
  <w:style w:type="paragraph" w:styleId="Bibliografa">
    <w:name w:val="Bibliography"/>
    <w:basedOn w:val="Normal"/>
    <w:next w:val="Normal"/>
    <w:uiPriority w:val="37"/>
    <w:unhideWhenUsed/>
    <w:rsid w:val="004E310E"/>
    <w:pPr>
      <w:spacing w:after="240" w:line="240" w:lineRule="auto"/>
    </w:pPr>
  </w:style>
  <w:style w:type="character" w:styleId="Hipervnculo">
    <w:name w:val="Hyperlink"/>
    <w:basedOn w:val="Fuentedeprrafopredeter"/>
    <w:uiPriority w:val="99"/>
    <w:unhideWhenUsed/>
    <w:rsid w:val="00BA203D"/>
    <w:rPr>
      <w:color w:val="467886" w:themeColor="hyperlink"/>
      <w:u w:val="single"/>
    </w:rPr>
  </w:style>
  <w:style w:type="table" w:styleId="Tablaconcuadrcula">
    <w:name w:val="Table Grid"/>
    <w:basedOn w:val="Tablanormal"/>
    <w:uiPriority w:val="39"/>
    <w:rsid w:val="004E36CC"/>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obledo@cnio.es" TargetMode="External"/><Relationship Id="rId13" Type="http://schemas.openxmlformats.org/officeDocument/2006/relationships/hyperlink" Target="https://rrid.site/data/record/nif-0000-07730-1/AB_331405/resolver?q=AB_331405&amp;l=AB_331405&amp;i=rrid:ab_331405-96343" TargetMode="External"/><Relationship Id="rId18" Type="http://schemas.openxmlformats.org/officeDocument/2006/relationships/hyperlink" Target="https://rrid.site/data/record/nif-0000-07730-1/AB_330924/resolver?q=AB_330924&amp;l=AB_330924&amp;i=rrid:ab_330924-73827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2.tiff"/><Relationship Id="rId7" Type="http://schemas.openxmlformats.org/officeDocument/2006/relationships/hyperlink" Target="mailto:mrobledo@cnio.es" TargetMode="External"/><Relationship Id="rId12" Type="http://schemas.openxmlformats.org/officeDocument/2006/relationships/hyperlink" Target="https://rrid.site/data/record/nlx_144509-1/SCR_003070/resolver?q=SCR_003070&amp;l=SCR_003070&amp;i=rrid:scr_003070" TargetMode="External"/><Relationship Id="rId17" Type="http://schemas.openxmlformats.org/officeDocument/2006/relationships/hyperlink" Target="https://rrid.site/data/record/nif-0000-07730-1/AB_2099233/resolver?q=AB_2099233&amp;l=AB_2099233&amp;i=rrid:ab_2099233-124187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rid.site/data/record/nif-0000-07730-1/AB_2536381/resolver?q=AB_2536381&amp;l=AB_2536381&amp;i=rrid:ab_2536381-2471837" TargetMode="External"/><Relationship Id="rId20" Type="http://schemas.openxmlformats.org/officeDocument/2006/relationships/image" Target="media/image1.tiff"/><Relationship Id="rId1" Type="http://schemas.openxmlformats.org/officeDocument/2006/relationships/numbering" Target="numbering.xml"/><Relationship Id="rId6" Type="http://schemas.openxmlformats.org/officeDocument/2006/relationships/hyperlink" Target="mailto:justo@uco.es" TargetMode="External"/><Relationship Id="rId11" Type="http://schemas.openxmlformats.org/officeDocument/2006/relationships/hyperlink" Target="https://rrid.site/data/record/SCR_013869-1/CVCL_F659/resolver?q=CVCL_F659&amp;l=CVCL_F659&amp;i=rrid:cvcl_f659-0" TargetMode="External"/><Relationship Id="rId24" Type="http://schemas.openxmlformats.org/officeDocument/2006/relationships/image" Target="media/image5.tiff"/><Relationship Id="rId5" Type="http://schemas.openxmlformats.org/officeDocument/2006/relationships/hyperlink" Target="mailto:b12ibcoa@uco.es" TargetMode="External"/><Relationship Id="rId15" Type="http://schemas.openxmlformats.org/officeDocument/2006/relationships/hyperlink" Target="https://rrid.site/data/record/nif-0000-07730-1/AB_2629447/resolver?q=AB_2629447&amp;l=AB_2629447&amp;i=rrid:ab_2629447-2564903" TargetMode="External"/><Relationship Id="rId23" Type="http://schemas.openxmlformats.org/officeDocument/2006/relationships/image" Target="media/image4.tiff"/><Relationship Id="rId10" Type="http://schemas.openxmlformats.org/officeDocument/2006/relationships/hyperlink" Target="https://rrid.site/data/record/SCR_013869-1/CVCL_1700/resolver?q=CVCL_1700&amp;l=CVCL_1700&amp;i=rrid:cvcl_1700-0" TargetMode="External"/><Relationship Id="rId19" Type="http://schemas.openxmlformats.org/officeDocument/2006/relationships/hyperlink" Target="https://rrid.site/data/record/nlx_144509-1/SCR_002798/resolver?q=SCR_002798&amp;l=SCR_002798&amp;i=rrid:scr_002798" TargetMode="External"/><Relationship Id="rId4" Type="http://schemas.openxmlformats.org/officeDocument/2006/relationships/webSettings" Target="webSettings.xml"/><Relationship Id="rId9" Type="http://schemas.openxmlformats.org/officeDocument/2006/relationships/hyperlink" Target="https://portal.gdc.cancer.gov/" TargetMode="External"/><Relationship Id="rId14" Type="http://schemas.openxmlformats.org/officeDocument/2006/relationships/hyperlink" Target="https://rrid.site/data/record/nif-0000-07730-1/AB_2315112/resolver?q=AB_2315112&amp;l=AB_2315112&amp;i=rrid:ab_2315112-2197276" TargetMode="External"/><Relationship Id="rId22" Type="http://schemas.openxmlformats.org/officeDocument/2006/relationships/image" Target="media/image3.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21712</Words>
  <Characters>119418</Characters>
  <Application>Microsoft Office Word</Application>
  <DocSecurity>0</DocSecurity>
  <Lines>995</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García Vioque</dc:creator>
  <cp:keywords/>
  <dc:description/>
  <cp:lastModifiedBy>Víctor García Vioque</cp:lastModifiedBy>
  <cp:revision>7</cp:revision>
  <dcterms:created xsi:type="dcterms:W3CDTF">2026-03-13T11:31:00Z</dcterms:created>
  <dcterms:modified xsi:type="dcterms:W3CDTF">2026-03-13T12:53:00Z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id="Ir82PTlG"/&gt;&lt;style id="http://www.zotero.org/styles/springer-vancouver-brackets" locale="en-US" hasBibliography="1" bibliographyStyleHasBeenSet="1"/&gt;&lt;prefs&gt;&lt;pref name="fieldType" value="Field"/&gt;&lt;/</vt:lpwstr>
  </property>
  <property fmtid="{D5CDD505-2E9C-101B-9397-08002B2CF9AE}" pid="3" name="ZOTERO_PREF_2">
    <vt:lpwstr>prefs&gt;&lt;/data&gt;</vt:lpwstr>
  </property>
</Properties>
</file>