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889B00" w14:textId="77777777" w:rsidR="00E454C9" w:rsidRPr="001B30F2" w:rsidRDefault="00E454C9" w:rsidP="00E454C9">
      <w:pPr>
        <w:spacing w:line="360" w:lineRule="auto"/>
        <w:jc w:val="both"/>
        <w:rPr>
          <w:rFonts w:ascii="Arial" w:hAnsi="Arial" w:cs="Arial"/>
          <w:b/>
        </w:rPr>
      </w:pPr>
      <w:bookmarkStart w:id="0" w:name="_GoBack"/>
      <w:bookmarkEnd w:id="0"/>
      <w:r w:rsidRPr="001B30F2">
        <w:rPr>
          <w:rFonts w:ascii="Arial" w:hAnsi="Arial" w:cs="Arial"/>
          <w:b/>
        </w:rPr>
        <w:t>Loss of the ER-cargo protein CLN8 increases severity of acute pancreatitis and upregulates ER-stress and ER-</w:t>
      </w:r>
      <w:proofErr w:type="spellStart"/>
      <w:r w:rsidRPr="001B30F2">
        <w:rPr>
          <w:rFonts w:ascii="Arial" w:hAnsi="Arial" w:cs="Arial"/>
          <w:b/>
        </w:rPr>
        <w:t>phagy</w:t>
      </w:r>
      <w:proofErr w:type="spellEnd"/>
    </w:p>
    <w:p w14:paraId="39AF26E4" w14:textId="77777777" w:rsidR="00E454C9" w:rsidRPr="001B30F2" w:rsidRDefault="00E454C9" w:rsidP="00E454C9">
      <w:pPr>
        <w:spacing w:line="360" w:lineRule="auto"/>
        <w:jc w:val="both"/>
        <w:rPr>
          <w:rFonts w:ascii="Arial" w:hAnsi="Arial" w:cs="Arial"/>
        </w:rPr>
      </w:pPr>
    </w:p>
    <w:p w14:paraId="0F73D525" w14:textId="40BEF325" w:rsidR="00E454C9" w:rsidRPr="001B30F2" w:rsidRDefault="00E454C9" w:rsidP="00E454C9">
      <w:pPr>
        <w:spacing w:line="360" w:lineRule="auto"/>
        <w:jc w:val="both"/>
        <w:rPr>
          <w:rFonts w:ascii="Arial" w:hAnsi="Arial" w:cs="Arial"/>
          <w:i/>
        </w:rPr>
      </w:pPr>
      <w:r w:rsidRPr="001B30F2">
        <w:rPr>
          <w:rFonts w:ascii="Arial" w:hAnsi="Arial" w:cs="Arial"/>
        </w:rPr>
        <w:t>Lukas Zierke</w:t>
      </w:r>
      <w:r w:rsidRPr="001B30F2">
        <w:rPr>
          <w:rFonts w:ascii="Arial" w:hAnsi="Arial" w:cs="Arial"/>
          <w:vertAlign w:val="superscript"/>
        </w:rPr>
        <w:t>1</w:t>
      </w:r>
      <w:r w:rsidRPr="001B30F2">
        <w:rPr>
          <w:rFonts w:ascii="Arial" w:hAnsi="Arial" w:cs="Arial"/>
        </w:rPr>
        <w:t>, Marcel Gischke</w:t>
      </w:r>
      <w:r w:rsidRPr="001B30F2">
        <w:rPr>
          <w:rFonts w:ascii="Arial" w:hAnsi="Arial" w:cs="Arial"/>
          <w:vertAlign w:val="superscript"/>
        </w:rPr>
        <w:t>1</w:t>
      </w:r>
      <w:r w:rsidRPr="001B30F2">
        <w:rPr>
          <w:rFonts w:ascii="Arial" w:hAnsi="Arial" w:cs="Arial"/>
        </w:rPr>
        <w:t>, Matthias Sendler</w:t>
      </w:r>
      <w:r w:rsidRPr="001B30F2">
        <w:rPr>
          <w:rFonts w:ascii="Arial" w:hAnsi="Arial" w:cs="Arial"/>
          <w:vertAlign w:val="superscript"/>
        </w:rPr>
        <w:t>1</w:t>
      </w:r>
      <w:r w:rsidRPr="001B30F2">
        <w:rPr>
          <w:rFonts w:ascii="Arial" w:hAnsi="Arial" w:cs="Arial"/>
        </w:rPr>
        <w:t>, Frank Ulrich Weiss</w:t>
      </w:r>
      <w:r w:rsidRPr="001B30F2">
        <w:rPr>
          <w:rFonts w:ascii="Arial" w:hAnsi="Arial" w:cs="Arial"/>
          <w:vertAlign w:val="superscript"/>
        </w:rPr>
        <w:t>1</w:t>
      </w:r>
      <w:r w:rsidRPr="001B30F2">
        <w:rPr>
          <w:rFonts w:ascii="Arial" w:hAnsi="Arial" w:cs="Arial"/>
        </w:rPr>
        <w:t>, Silvia Ribback</w:t>
      </w:r>
      <w:r w:rsidRPr="001B30F2">
        <w:rPr>
          <w:rFonts w:ascii="Arial" w:hAnsi="Arial" w:cs="Arial"/>
          <w:vertAlign w:val="superscript"/>
        </w:rPr>
        <w:t>2</w:t>
      </w:r>
      <w:r w:rsidRPr="001B30F2">
        <w:rPr>
          <w:rFonts w:ascii="Arial" w:hAnsi="Arial" w:cs="Arial"/>
        </w:rPr>
        <w:t>, Dariush Skowronek</w:t>
      </w:r>
      <w:r w:rsidRPr="001B30F2">
        <w:rPr>
          <w:rFonts w:ascii="Arial" w:hAnsi="Arial" w:cs="Arial"/>
          <w:vertAlign w:val="superscript"/>
        </w:rPr>
        <w:t>3</w:t>
      </w:r>
      <w:r w:rsidRPr="001B30F2">
        <w:rPr>
          <w:rFonts w:ascii="Arial" w:hAnsi="Arial" w:cs="Arial"/>
        </w:rPr>
        <w:t>, Mat</w:t>
      </w:r>
      <w:r w:rsidR="00D9291B">
        <w:rPr>
          <w:rFonts w:ascii="Arial" w:hAnsi="Arial" w:cs="Arial"/>
        </w:rPr>
        <w:t>t</w:t>
      </w:r>
      <w:r w:rsidRPr="001B30F2">
        <w:rPr>
          <w:rFonts w:ascii="Arial" w:hAnsi="Arial" w:cs="Arial"/>
        </w:rPr>
        <w:t>hias Rath</w:t>
      </w:r>
      <w:r w:rsidRPr="001B30F2">
        <w:rPr>
          <w:rFonts w:ascii="Arial" w:hAnsi="Arial" w:cs="Arial"/>
          <w:vertAlign w:val="superscript"/>
        </w:rPr>
        <w:t>3</w:t>
      </w:r>
      <w:proofErr w:type="gramStart"/>
      <w:r w:rsidRPr="001B30F2">
        <w:rPr>
          <w:rFonts w:ascii="Arial" w:hAnsi="Arial" w:cs="Arial"/>
          <w:vertAlign w:val="superscript"/>
        </w:rPr>
        <w:t>,4</w:t>
      </w:r>
      <w:proofErr w:type="gramEnd"/>
      <w:r w:rsidRPr="001B30F2">
        <w:rPr>
          <w:rFonts w:ascii="Arial" w:hAnsi="Arial" w:cs="Arial"/>
        </w:rPr>
        <w:t>, Henry Völzke</w:t>
      </w:r>
      <w:r w:rsidRPr="001B30F2">
        <w:rPr>
          <w:rFonts w:ascii="Arial" w:hAnsi="Arial" w:cs="Arial"/>
          <w:vertAlign w:val="superscript"/>
        </w:rPr>
        <w:t>5</w:t>
      </w:r>
      <w:r w:rsidRPr="001B30F2">
        <w:rPr>
          <w:rFonts w:ascii="Arial" w:hAnsi="Arial" w:cs="Arial"/>
        </w:rPr>
        <w:t>, Markus M. Lerch</w:t>
      </w:r>
      <w:r w:rsidRPr="001B30F2">
        <w:rPr>
          <w:rFonts w:ascii="Arial" w:hAnsi="Arial" w:cs="Arial"/>
          <w:vertAlign w:val="superscript"/>
        </w:rPr>
        <w:t>6</w:t>
      </w:r>
      <w:r w:rsidRPr="001B30F2">
        <w:rPr>
          <w:rFonts w:ascii="Arial" w:hAnsi="Arial" w:cs="Arial"/>
        </w:rPr>
        <w:t>, Ali A. Aghdassi</w:t>
      </w:r>
      <w:r w:rsidRPr="001B30F2">
        <w:rPr>
          <w:rFonts w:ascii="Arial" w:hAnsi="Arial" w:cs="Arial"/>
          <w:vertAlign w:val="superscript"/>
        </w:rPr>
        <w:t>1</w:t>
      </w:r>
      <w:r w:rsidRPr="001B30F2">
        <w:rPr>
          <w:rFonts w:ascii="Arial" w:hAnsi="Arial" w:cs="Arial"/>
        </w:rPr>
        <w:t xml:space="preserve"> </w:t>
      </w:r>
      <w:r w:rsidRPr="001B30F2">
        <w:rPr>
          <w:rFonts w:ascii="Arial" w:hAnsi="Arial" w:cs="Arial"/>
        </w:rPr>
        <w:tab/>
      </w:r>
      <w:r w:rsidRPr="001B30F2">
        <w:rPr>
          <w:rFonts w:ascii="Arial" w:hAnsi="Arial" w:cs="Arial"/>
        </w:rPr>
        <w:br/>
      </w:r>
      <w:r w:rsidRPr="001B30F2">
        <w:rPr>
          <w:rFonts w:ascii="Arial" w:hAnsi="Arial" w:cs="Arial"/>
        </w:rPr>
        <w:br/>
      </w:r>
      <w:r w:rsidRPr="001B30F2">
        <w:rPr>
          <w:rFonts w:ascii="Arial" w:hAnsi="Arial" w:cs="Arial"/>
          <w:i/>
          <w:vertAlign w:val="superscript"/>
        </w:rPr>
        <w:t>1</w:t>
      </w:r>
      <w:r w:rsidRPr="001B30F2">
        <w:rPr>
          <w:rFonts w:ascii="Arial" w:hAnsi="Arial" w:cs="Arial"/>
          <w:i/>
        </w:rPr>
        <w:t xml:space="preserve"> Department of Medicine A, University Medicine Greifswald, Greifswald, Germany.</w:t>
      </w:r>
    </w:p>
    <w:p w14:paraId="69C49786" w14:textId="77777777" w:rsidR="00E454C9" w:rsidRPr="001B30F2" w:rsidRDefault="00E454C9" w:rsidP="00E454C9">
      <w:pPr>
        <w:spacing w:line="360" w:lineRule="auto"/>
        <w:jc w:val="both"/>
        <w:rPr>
          <w:rFonts w:ascii="Arial" w:hAnsi="Arial" w:cs="Arial"/>
          <w:i/>
        </w:rPr>
      </w:pPr>
      <w:r w:rsidRPr="001B30F2">
        <w:rPr>
          <w:rFonts w:ascii="Arial" w:hAnsi="Arial" w:cs="Arial"/>
          <w:i/>
          <w:vertAlign w:val="superscript"/>
        </w:rPr>
        <w:t>2</w:t>
      </w:r>
      <w:r w:rsidRPr="001B30F2">
        <w:rPr>
          <w:rFonts w:ascii="Arial" w:hAnsi="Arial" w:cs="Arial"/>
          <w:i/>
        </w:rPr>
        <w:t xml:space="preserve"> Department of Pathology, University Medicine Greifswald, Greifswald, Germany. </w:t>
      </w:r>
    </w:p>
    <w:p w14:paraId="35F5DA87" w14:textId="77777777" w:rsidR="00E454C9" w:rsidRPr="001B30F2" w:rsidRDefault="00E454C9" w:rsidP="00E454C9">
      <w:pPr>
        <w:spacing w:line="360" w:lineRule="auto"/>
        <w:jc w:val="both"/>
        <w:rPr>
          <w:rFonts w:ascii="Arial" w:hAnsi="Arial" w:cs="Arial"/>
          <w:i/>
        </w:rPr>
      </w:pPr>
      <w:r w:rsidRPr="001B30F2">
        <w:rPr>
          <w:rFonts w:ascii="Arial" w:hAnsi="Arial" w:cs="Arial"/>
          <w:i/>
          <w:vertAlign w:val="superscript"/>
        </w:rPr>
        <w:t>3</w:t>
      </w:r>
      <w:r w:rsidRPr="001B30F2">
        <w:rPr>
          <w:rFonts w:ascii="Arial" w:hAnsi="Arial" w:cs="Arial"/>
          <w:i/>
        </w:rPr>
        <w:t xml:space="preserve"> Department of Human Genetics, University Medicine and Interfaculty Institute of genetics and Functional Genomics, University of Greifswald, Greifswald, Germany.</w:t>
      </w:r>
    </w:p>
    <w:p w14:paraId="33CD47A2" w14:textId="77777777" w:rsidR="00E454C9" w:rsidRPr="001B30F2" w:rsidRDefault="00E454C9" w:rsidP="00E454C9">
      <w:pPr>
        <w:spacing w:line="360" w:lineRule="auto"/>
        <w:jc w:val="both"/>
        <w:rPr>
          <w:rFonts w:ascii="Arial" w:hAnsi="Arial" w:cs="Arial"/>
          <w:i/>
        </w:rPr>
      </w:pPr>
      <w:r w:rsidRPr="001B30F2">
        <w:rPr>
          <w:rFonts w:ascii="Arial" w:hAnsi="Arial" w:cs="Arial"/>
          <w:i/>
          <w:vertAlign w:val="superscript"/>
        </w:rPr>
        <w:t>4</w:t>
      </w:r>
      <w:r w:rsidRPr="001B30F2">
        <w:rPr>
          <w:rFonts w:ascii="Arial" w:hAnsi="Arial" w:cs="Arial"/>
          <w:i/>
        </w:rPr>
        <w:t xml:space="preserve"> Institute for Molecular Medicine, MSH Medical School Hamburg, Hamburg, Germany.</w:t>
      </w:r>
    </w:p>
    <w:p w14:paraId="6541DC7A" w14:textId="77777777" w:rsidR="00E454C9" w:rsidRPr="001B30F2" w:rsidRDefault="00E454C9" w:rsidP="00E454C9">
      <w:pPr>
        <w:spacing w:line="360" w:lineRule="auto"/>
        <w:jc w:val="both"/>
        <w:rPr>
          <w:rFonts w:ascii="Arial" w:hAnsi="Arial" w:cs="Arial"/>
          <w:i/>
        </w:rPr>
      </w:pPr>
      <w:r w:rsidRPr="001B30F2">
        <w:rPr>
          <w:rFonts w:ascii="Arial" w:hAnsi="Arial" w:cs="Arial"/>
          <w:i/>
          <w:vertAlign w:val="superscript"/>
        </w:rPr>
        <w:t>5</w:t>
      </w:r>
      <w:r w:rsidRPr="001B30F2">
        <w:rPr>
          <w:rFonts w:ascii="Arial" w:hAnsi="Arial" w:cs="Arial"/>
          <w:i/>
        </w:rPr>
        <w:t xml:space="preserve"> Institute for Community Medicine, University Medicine Greifswald, Greifswald, Germany.</w:t>
      </w:r>
    </w:p>
    <w:p w14:paraId="2AB4313A" w14:textId="77777777" w:rsidR="00E454C9" w:rsidRPr="001B30F2" w:rsidRDefault="00E454C9" w:rsidP="00E454C9">
      <w:pPr>
        <w:spacing w:line="360" w:lineRule="auto"/>
        <w:jc w:val="both"/>
        <w:rPr>
          <w:rFonts w:ascii="Arial" w:hAnsi="Arial" w:cs="Arial"/>
          <w:i/>
        </w:rPr>
      </w:pPr>
      <w:r w:rsidRPr="001B30F2">
        <w:rPr>
          <w:rFonts w:ascii="Arial" w:hAnsi="Arial" w:cs="Arial"/>
          <w:i/>
          <w:vertAlign w:val="superscript"/>
        </w:rPr>
        <w:t>6</w:t>
      </w:r>
      <w:r w:rsidRPr="001B30F2">
        <w:rPr>
          <w:rFonts w:ascii="Arial" w:hAnsi="Arial" w:cs="Arial"/>
          <w:i/>
        </w:rPr>
        <w:t xml:space="preserve"> Ludwig-</w:t>
      </w:r>
      <w:proofErr w:type="spellStart"/>
      <w:r w:rsidRPr="001B30F2">
        <w:rPr>
          <w:rFonts w:ascii="Arial" w:hAnsi="Arial" w:cs="Arial"/>
          <w:i/>
        </w:rPr>
        <w:t>Maximilians</w:t>
      </w:r>
      <w:proofErr w:type="spellEnd"/>
      <w:r w:rsidRPr="001B30F2">
        <w:rPr>
          <w:rFonts w:ascii="Arial" w:hAnsi="Arial" w:cs="Arial"/>
          <w:i/>
        </w:rPr>
        <w:t xml:space="preserve"> University Munich, Munich, Germany.</w:t>
      </w:r>
    </w:p>
    <w:p w14:paraId="5DD1500A" w14:textId="77777777" w:rsidR="00E454C9" w:rsidRPr="001B30F2" w:rsidRDefault="00E454C9" w:rsidP="00E454C9">
      <w:pPr>
        <w:spacing w:line="360" w:lineRule="auto"/>
        <w:jc w:val="both"/>
        <w:rPr>
          <w:rFonts w:ascii="Arial" w:hAnsi="Arial" w:cs="Arial"/>
        </w:rPr>
      </w:pPr>
    </w:p>
    <w:p w14:paraId="41F884E5" w14:textId="77777777" w:rsidR="00E454C9" w:rsidRPr="001B30F2" w:rsidRDefault="00E454C9" w:rsidP="00E454C9">
      <w:pPr>
        <w:spacing w:line="360" w:lineRule="auto"/>
        <w:jc w:val="both"/>
        <w:rPr>
          <w:rFonts w:ascii="Arial" w:hAnsi="Arial" w:cs="Arial"/>
        </w:rPr>
      </w:pPr>
    </w:p>
    <w:p w14:paraId="760F294B" w14:textId="77777777" w:rsidR="00E454C9" w:rsidRPr="001B30F2" w:rsidRDefault="00E454C9" w:rsidP="00E454C9">
      <w:pPr>
        <w:spacing w:line="360" w:lineRule="auto"/>
        <w:jc w:val="both"/>
        <w:rPr>
          <w:rFonts w:ascii="Arial" w:hAnsi="Arial" w:cs="Arial"/>
        </w:rPr>
      </w:pPr>
    </w:p>
    <w:p w14:paraId="3EB015DC" w14:textId="77777777" w:rsidR="00E454C9" w:rsidRPr="001B30F2" w:rsidRDefault="00E454C9" w:rsidP="00E454C9">
      <w:pPr>
        <w:spacing w:line="360" w:lineRule="auto"/>
        <w:jc w:val="both"/>
        <w:rPr>
          <w:rFonts w:ascii="Arial" w:hAnsi="Arial" w:cs="Arial"/>
        </w:rPr>
      </w:pPr>
    </w:p>
    <w:p w14:paraId="04437D41" w14:textId="77777777" w:rsidR="00E454C9" w:rsidRPr="001B30F2" w:rsidRDefault="00E454C9" w:rsidP="00E454C9">
      <w:pPr>
        <w:spacing w:line="360" w:lineRule="auto"/>
        <w:jc w:val="both"/>
        <w:rPr>
          <w:rFonts w:ascii="Arial" w:hAnsi="Arial" w:cs="Arial"/>
          <w:b/>
        </w:rPr>
      </w:pPr>
      <w:r w:rsidRPr="001B30F2">
        <w:rPr>
          <w:rFonts w:ascii="Arial" w:hAnsi="Arial" w:cs="Arial"/>
          <w:b/>
        </w:rPr>
        <w:t xml:space="preserve">Corresponding author: </w:t>
      </w:r>
    </w:p>
    <w:p w14:paraId="2C28E268" w14:textId="77777777" w:rsidR="00E454C9" w:rsidRPr="001B30F2" w:rsidRDefault="00E454C9" w:rsidP="00E454C9">
      <w:pPr>
        <w:spacing w:line="360" w:lineRule="auto"/>
        <w:jc w:val="both"/>
        <w:rPr>
          <w:rFonts w:ascii="Arial" w:hAnsi="Arial" w:cs="Arial"/>
        </w:rPr>
      </w:pPr>
      <w:r w:rsidRPr="001B30F2">
        <w:rPr>
          <w:rFonts w:ascii="Arial" w:hAnsi="Arial" w:cs="Arial"/>
        </w:rPr>
        <w:t xml:space="preserve">Ali A. Aghdassi, MD </w:t>
      </w:r>
    </w:p>
    <w:p w14:paraId="378287AC" w14:textId="77777777" w:rsidR="00E454C9" w:rsidRPr="001B30F2" w:rsidRDefault="00E454C9" w:rsidP="00E454C9">
      <w:pPr>
        <w:spacing w:line="360" w:lineRule="auto"/>
        <w:jc w:val="both"/>
        <w:rPr>
          <w:rFonts w:ascii="Arial" w:hAnsi="Arial" w:cs="Arial"/>
        </w:rPr>
      </w:pPr>
      <w:r w:rsidRPr="001B30F2">
        <w:rPr>
          <w:rFonts w:ascii="Arial" w:hAnsi="Arial" w:cs="Arial"/>
        </w:rPr>
        <w:t>Department of Medicine A</w:t>
      </w:r>
    </w:p>
    <w:p w14:paraId="259BADCC" w14:textId="77777777" w:rsidR="00E454C9" w:rsidRPr="006B1468" w:rsidRDefault="00E454C9" w:rsidP="00E454C9">
      <w:pPr>
        <w:spacing w:line="360" w:lineRule="auto"/>
        <w:jc w:val="both"/>
        <w:rPr>
          <w:rFonts w:ascii="Arial" w:hAnsi="Arial" w:cs="Arial"/>
          <w:lang w:val="de-DE"/>
        </w:rPr>
      </w:pPr>
      <w:r w:rsidRPr="006B1468">
        <w:rPr>
          <w:rFonts w:ascii="Arial" w:hAnsi="Arial" w:cs="Arial"/>
          <w:lang w:val="de-DE"/>
        </w:rPr>
        <w:t xml:space="preserve">University </w:t>
      </w:r>
      <w:proofErr w:type="spellStart"/>
      <w:r w:rsidRPr="006B1468">
        <w:rPr>
          <w:rFonts w:ascii="Arial" w:hAnsi="Arial" w:cs="Arial"/>
          <w:lang w:val="de-DE"/>
        </w:rPr>
        <w:t>Medicine</w:t>
      </w:r>
      <w:proofErr w:type="spellEnd"/>
      <w:r w:rsidRPr="006B1468">
        <w:rPr>
          <w:rFonts w:ascii="Arial" w:hAnsi="Arial" w:cs="Arial"/>
          <w:lang w:val="de-DE"/>
        </w:rPr>
        <w:t xml:space="preserve"> Greifswald</w:t>
      </w:r>
    </w:p>
    <w:p w14:paraId="60673C8E" w14:textId="77777777" w:rsidR="00E454C9" w:rsidRPr="006B1468" w:rsidRDefault="00E454C9" w:rsidP="00E454C9">
      <w:pPr>
        <w:spacing w:line="360" w:lineRule="auto"/>
        <w:jc w:val="both"/>
        <w:rPr>
          <w:rFonts w:ascii="Arial" w:hAnsi="Arial" w:cs="Arial"/>
          <w:lang w:val="de-DE"/>
        </w:rPr>
      </w:pPr>
      <w:proofErr w:type="gramStart"/>
      <w:r w:rsidRPr="006B1468">
        <w:rPr>
          <w:rFonts w:ascii="Arial" w:hAnsi="Arial" w:cs="Arial"/>
          <w:lang w:val="de-DE"/>
        </w:rPr>
        <w:t>Ferdinand-Sauerbruch Str.</w:t>
      </w:r>
      <w:proofErr w:type="gramEnd"/>
    </w:p>
    <w:p w14:paraId="738AFE6E" w14:textId="77777777" w:rsidR="00E454C9" w:rsidRPr="006B1468" w:rsidRDefault="00E454C9" w:rsidP="00E454C9">
      <w:pPr>
        <w:spacing w:line="360" w:lineRule="auto"/>
        <w:jc w:val="both"/>
        <w:rPr>
          <w:rFonts w:ascii="Arial" w:hAnsi="Arial" w:cs="Arial"/>
          <w:lang w:val="de-DE"/>
        </w:rPr>
      </w:pPr>
      <w:r w:rsidRPr="006B1468">
        <w:rPr>
          <w:rFonts w:ascii="Arial" w:hAnsi="Arial" w:cs="Arial"/>
          <w:lang w:val="de-DE"/>
        </w:rPr>
        <w:t>17475 Greifswald</w:t>
      </w:r>
    </w:p>
    <w:p w14:paraId="364FC2EA" w14:textId="77777777" w:rsidR="00E454C9" w:rsidRPr="001B30F2" w:rsidRDefault="00E454C9" w:rsidP="00E454C9">
      <w:pPr>
        <w:spacing w:line="360" w:lineRule="auto"/>
        <w:jc w:val="both"/>
        <w:rPr>
          <w:rFonts w:ascii="Arial" w:hAnsi="Arial" w:cs="Arial"/>
        </w:rPr>
      </w:pPr>
      <w:r w:rsidRPr="001B30F2">
        <w:rPr>
          <w:rFonts w:ascii="Arial" w:hAnsi="Arial" w:cs="Arial"/>
        </w:rPr>
        <w:t>Germany</w:t>
      </w:r>
    </w:p>
    <w:p w14:paraId="2CF555B6" w14:textId="77777777" w:rsidR="00E454C9" w:rsidRPr="001B30F2" w:rsidRDefault="00E454C9" w:rsidP="00E454C9">
      <w:pPr>
        <w:spacing w:line="360" w:lineRule="auto"/>
        <w:jc w:val="both"/>
        <w:rPr>
          <w:rFonts w:ascii="Arial" w:hAnsi="Arial" w:cs="Arial"/>
        </w:rPr>
      </w:pPr>
      <w:r w:rsidRPr="001B30F2">
        <w:rPr>
          <w:rFonts w:ascii="Arial" w:hAnsi="Arial" w:cs="Arial"/>
        </w:rPr>
        <w:t>E-Mail: ali.aghdassi@med.uni-greifswald.de</w:t>
      </w:r>
    </w:p>
    <w:p w14:paraId="6964ADFC" w14:textId="77777777" w:rsidR="008F75AE" w:rsidRPr="001B30F2" w:rsidRDefault="008F75AE">
      <w:pPr>
        <w:rPr>
          <w:rFonts w:ascii="Arial" w:hAnsi="Arial" w:cs="Arial"/>
          <w:b/>
          <w:bCs/>
        </w:rPr>
      </w:pPr>
    </w:p>
    <w:p w14:paraId="42E59312" w14:textId="70CC51A2" w:rsidR="000F6C3B" w:rsidRPr="001B30F2" w:rsidRDefault="000F6C3B">
      <w:r w:rsidRPr="001B30F2">
        <w:rPr>
          <w:rFonts w:ascii="Arial" w:hAnsi="Arial" w:cs="Arial"/>
          <w:b/>
          <w:bCs/>
        </w:rPr>
        <w:t>Supplementary methods:</w:t>
      </w:r>
    </w:p>
    <w:p w14:paraId="6FBB5788" w14:textId="77777777" w:rsidR="000F6C3B" w:rsidRPr="001B30F2" w:rsidRDefault="000F6C3B" w:rsidP="000F6C3B">
      <w:pPr>
        <w:spacing w:line="360" w:lineRule="auto"/>
        <w:jc w:val="both"/>
        <w:rPr>
          <w:rFonts w:ascii="Arial" w:hAnsi="Arial" w:cs="Arial"/>
          <w:b/>
          <w:bCs/>
        </w:rPr>
      </w:pPr>
      <w:r w:rsidRPr="001B30F2">
        <w:rPr>
          <w:rFonts w:ascii="Arial" w:hAnsi="Arial" w:cs="Arial"/>
          <w:b/>
          <w:bCs/>
        </w:rPr>
        <w:t>Materials:</w:t>
      </w:r>
    </w:p>
    <w:p w14:paraId="4FD2CA09" w14:textId="32718F6C" w:rsidR="000F6C3B" w:rsidRPr="001B30F2" w:rsidRDefault="000F6C3B" w:rsidP="000F6C3B">
      <w:pPr>
        <w:spacing w:line="360" w:lineRule="auto"/>
        <w:jc w:val="both"/>
        <w:rPr>
          <w:rFonts w:ascii="Arial" w:hAnsi="Arial" w:cs="Arial"/>
        </w:rPr>
      </w:pPr>
      <w:r w:rsidRPr="001B30F2">
        <w:rPr>
          <w:rFonts w:ascii="Arial" w:hAnsi="Arial" w:cs="Arial"/>
        </w:rPr>
        <w:t xml:space="preserve">Collagenase from the bacteria </w:t>
      </w:r>
      <w:r w:rsidRPr="001B30F2">
        <w:rPr>
          <w:rFonts w:ascii="Arial" w:hAnsi="Arial" w:cs="Arial"/>
          <w:i/>
          <w:iCs/>
        </w:rPr>
        <w:t xml:space="preserve">Clostridium </w:t>
      </w:r>
      <w:proofErr w:type="spellStart"/>
      <w:r w:rsidRPr="001B30F2">
        <w:rPr>
          <w:rFonts w:ascii="Arial" w:hAnsi="Arial" w:cs="Arial"/>
          <w:i/>
          <w:iCs/>
        </w:rPr>
        <w:t>histolyticum</w:t>
      </w:r>
      <w:proofErr w:type="spellEnd"/>
      <w:r w:rsidRPr="001B30F2">
        <w:rPr>
          <w:rFonts w:ascii="Arial" w:hAnsi="Arial" w:cs="Arial"/>
          <w:i/>
          <w:iCs/>
        </w:rPr>
        <w:t xml:space="preserve"> </w:t>
      </w:r>
      <w:r w:rsidRPr="001B30F2">
        <w:rPr>
          <w:rFonts w:ascii="Arial" w:hAnsi="Arial" w:cs="Arial"/>
          <w:iCs/>
        </w:rPr>
        <w:t>was purchased from</w:t>
      </w:r>
      <w:r w:rsidRPr="001B30F2">
        <w:rPr>
          <w:rFonts w:ascii="Arial" w:hAnsi="Arial" w:cs="Arial"/>
          <w:i/>
          <w:iCs/>
        </w:rPr>
        <w:t xml:space="preserve"> </w:t>
      </w:r>
      <w:proofErr w:type="spellStart"/>
      <w:r w:rsidRPr="001B30F2">
        <w:rPr>
          <w:rFonts w:ascii="Arial" w:hAnsi="Arial" w:cs="Arial"/>
        </w:rPr>
        <w:t>Serva</w:t>
      </w:r>
      <w:proofErr w:type="spellEnd"/>
      <w:r w:rsidRPr="001B30F2">
        <w:rPr>
          <w:rFonts w:ascii="Arial" w:hAnsi="Arial" w:cs="Arial"/>
        </w:rPr>
        <w:t xml:space="preserve"> (14007). </w:t>
      </w:r>
      <w:proofErr w:type="spellStart"/>
      <w:r w:rsidRPr="001B30F2">
        <w:rPr>
          <w:rFonts w:ascii="Arial" w:hAnsi="Arial" w:cs="Arial"/>
        </w:rPr>
        <w:t>Enterokinase</w:t>
      </w:r>
      <w:proofErr w:type="spellEnd"/>
      <w:r w:rsidRPr="001B30F2">
        <w:rPr>
          <w:rFonts w:ascii="Arial" w:hAnsi="Arial" w:cs="Arial"/>
        </w:rPr>
        <w:t xml:space="preserve"> (E0885), Cholecystokinin (CCK) (C-9901), 4′</w:t>
      </w:r>
      <w:proofErr w:type="gramStart"/>
      <w:r w:rsidRPr="001B30F2">
        <w:rPr>
          <w:rFonts w:ascii="Arial" w:hAnsi="Arial" w:cs="Arial"/>
        </w:rPr>
        <w:t>,6</w:t>
      </w:r>
      <w:proofErr w:type="gramEnd"/>
      <w:r w:rsidRPr="001B30F2">
        <w:rPr>
          <w:rFonts w:ascii="Arial" w:hAnsi="Arial" w:cs="Arial"/>
        </w:rPr>
        <w:t xml:space="preserve">-Diamidine-2′-phenylindole </w:t>
      </w:r>
      <w:proofErr w:type="spellStart"/>
      <w:r w:rsidRPr="001B30F2">
        <w:rPr>
          <w:rFonts w:ascii="Arial" w:hAnsi="Arial" w:cs="Arial"/>
        </w:rPr>
        <w:t>dihydrochloride</w:t>
      </w:r>
      <w:proofErr w:type="spellEnd"/>
      <w:r w:rsidRPr="001B30F2">
        <w:rPr>
          <w:rFonts w:ascii="Arial" w:hAnsi="Arial" w:cs="Arial"/>
        </w:rPr>
        <w:t xml:space="preserve"> </w:t>
      </w:r>
      <w:r w:rsidRPr="001B30F2">
        <w:rPr>
          <w:rFonts w:ascii="Arial" w:hAnsi="Arial" w:cs="Arial"/>
        </w:rPr>
        <w:lastRenderedPageBreak/>
        <w:t xml:space="preserve">(DAPI), </w:t>
      </w:r>
      <w:proofErr w:type="spellStart"/>
      <w:r w:rsidRPr="001B30F2">
        <w:rPr>
          <w:rFonts w:ascii="Arial" w:hAnsi="Arial" w:cs="Arial"/>
        </w:rPr>
        <w:t>propidium</w:t>
      </w:r>
      <w:proofErr w:type="spellEnd"/>
      <w:r w:rsidRPr="001B30F2">
        <w:rPr>
          <w:rFonts w:ascii="Arial" w:hAnsi="Arial" w:cs="Arial"/>
        </w:rPr>
        <w:t xml:space="preserve"> iodide (p4170), </w:t>
      </w:r>
      <w:proofErr w:type="spellStart"/>
      <w:r w:rsidRPr="001B30F2">
        <w:rPr>
          <w:rFonts w:ascii="Arial" w:hAnsi="Arial" w:cs="Arial"/>
        </w:rPr>
        <w:t>morin</w:t>
      </w:r>
      <w:proofErr w:type="spellEnd"/>
      <w:r w:rsidRPr="001B30F2">
        <w:rPr>
          <w:rFonts w:ascii="Arial" w:hAnsi="Arial" w:cs="Arial"/>
        </w:rPr>
        <w:t xml:space="preserve"> hydrate (M4008-2G), </w:t>
      </w:r>
      <w:proofErr w:type="spellStart"/>
      <w:r w:rsidRPr="001B30F2">
        <w:rPr>
          <w:rFonts w:ascii="Arial" w:hAnsi="Arial" w:cs="Arial"/>
        </w:rPr>
        <w:t>menadion</w:t>
      </w:r>
      <w:proofErr w:type="spellEnd"/>
      <w:r w:rsidRPr="001B30F2">
        <w:rPr>
          <w:rFonts w:ascii="Arial" w:hAnsi="Arial" w:cs="Arial"/>
        </w:rPr>
        <w:t xml:space="preserve"> (M5625) and </w:t>
      </w:r>
      <w:proofErr w:type="spellStart"/>
      <w:r w:rsidRPr="001B30F2">
        <w:rPr>
          <w:rFonts w:ascii="Arial" w:hAnsi="Arial" w:cs="Arial"/>
        </w:rPr>
        <w:t>caerulein</w:t>
      </w:r>
      <w:proofErr w:type="spellEnd"/>
      <w:r w:rsidRPr="001B30F2">
        <w:rPr>
          <w:rFonts w:ascii="Arial" w:hAnsi="Arial" w:cs="Arial"/>
        </w:rPr>
        <w:t xml:space="preserve"> (C9026) were purchased from Sigma Aldrich. The substrates for </w:t>
      </w:r>
      <w:proofErr w:type="spellStart"/>
      <w:r w:rsidRPr="001B30F2">
        <w:rPr>
          <w:rFonts w:ascii="Arial" w:hAnsi="Arial" w:cs="Arial"/>
        </w:rPr>
        <w:t>fluorometric</w:t>
      </w:r>
      <w:proofErr w:type="spellEnd"/>
      <w:r w:rsidRPr="001B30F2">
        <w:rPr>
          <w:rFonts w:ascii="Arial" w:hAnsi="Arial" w:cs="Arial"/>
        </w:rPr>
        <w:t xml:space="preserve"> activity measurement of </w:t>
      </w:r>
      <w:proofErr w:type="spellStart"/>
      <w:r w:rsidRPr="001B30F2">
        <w:rPr>
          <w:rFonts w:ascii="Arial" w:hAnsi="Arial" w:cs="Arial"/>
        </w:rPr>
        <w:t>cathepsin</w:t>
      </w:r>
      <w:proofErr w:type="spellEnd"/>
      <w:r w:rsidRPr="001B30F2">
        <w:rPr>
          <w:rFonts w:ascii="Arial" w:hAnsi="Arial" w:cs="Arial"/>
        </w:rPr>
        <w:t xml:space="preserve"> B (AMC-Arg2, 4004789) and </w:t>
      </w:r>
      <w:proofErr w:type="spellStart"/>
      <w:r w:rsidRPr="001B30F2">
        <w:rPr>
          <w:rFonts w:ascii="Arial" w:hAnsi="Arial" w:cs="Arial"/>
        </w:rPr>
        <w:t>cathepsin</w:t>
      </w:r>
      <w:proofErr w:type="spellEnd"/>
      <w:r w:rsidRPr="001B30F2">
        <w:rPr>
          <w:rFonts w:ascii="Arial" w:hAnsi="Arial" w:cs="Arial"/>
        </w:rPr>
        <w:t xml:space="preserve"> L</w:t>
      </w:r>
      <w:r w:rsidRPr="001B30F2">
        <w:t xml:space="preserve"> </w:t>
      </w:r>
      <w:r w:rsidRPr="001B30F2">
        <w:rPr>
          <w:rFonts w:ascii="Arial" w:hAnsi="Arial" w:cs="Arial"/>
        </w:rPr>
        <w:t>(AMC-</w:t>
      </w:r>
      <w:proofErr w:type="spellStart"/>
      <w:r w:rsidRPr="001B30F2">
        <w:rPr>
          <w:rFonts w:ascii="Arial" w:hAnsi="Arial" w:cs="Arial"/>
        </w:rPr>
        <w:t>Phe</w:t>
      </w:r>
      <w:proofErr w:type="spellEnd"/>
      <w:r w:rsidRPr="001B30F2">
        <w:rPr>
          <w:rFonts w:ascii="Arial" w:hAnsi="Arial" w:cs="Arial"/>
        </w:rPr>
        <w:t>-</w:t>
      </w:r>
      <w:proofErr w:type="spellStart"/>
      <w:r w:rsidRPr="001B30F2">
        <w:rPr>
          <w:rFonts w:ascii="Arial" w:hAnsi="Arial" w:cs="Arial"/>
        </w:rPr>
        <w:t>Arg</w:t>
      </w:r>
      <w:proofErr w:type="spellEnd"/>
      <w:r w:rsidRPr="001B30F2">
        <w:rPr>
          <w:rFonts w:ascii="Arial" w:hAnsi="Arial" w:cs="Arial"/>
        </w:rPr>
        <w:t xml:space="preserve">, 4003379) were from </w:t>
      </w:r>
      <w:proofErr w:type="spellStart"/>
      <w:r w:rsidRPr="001B30F2">
        <w:rPr>
          <w:rFonts w:ascii="Arial" w:hAnsi="Arial" w:cs="Arial"/>
        </w:rPr>
        <w:t>Bachem</w:t>
      </w:r>
      <w:proofErr w:type="spellEnd"/>
      <w:r w:rsidRPr="001B30F2">
        <w:rPr>
          <w:rFonts w:ascii="Arial" w:hAnsi="Arial" w:cs="Arial"/>
        </w:rPr>
        <w:t xml:space="preserve">. The trypsin substrate R110-Ile-Pro-Arg (10208) was obtained from </w:t>
      </w:r>
      <w:proofErr w:type="spellStart"/>
      <w:r w:rsidRPr="001B30F2">
        <w:rPr>
          <w:rFonts w:ascii="Arial" w:hAnsi="Arial" w:cs="Arial"/>
        </w:rPr>
        <w:t>BioTrend</w:t>
      </w:r>
      <w:proofErr w:type="spellEnd"/>
      <w:r w:rsidRPr="001B30F2">
        <w:rPr>
          <w:rFonts w:ascii="Arial" w:hAnsi="Arial" w:cs="Arial"/>
        </w:rPr>
        <w:t xml:space="preserve"> and </w:t>
      </w:r>
      <w:proofErr w:type="spellStart"/>
      <w:r w:rsidRPr="001B30F2">
        <w:rPr>
          <w:rFonts w:ascii="Arial" w:hAnsi="Arial" w:cs="Arial"/>
        </w:rPr>
        <w:t>Boc</w:t>
      </w:r>
      <w:proofErr w:type="spellEnd"/>
      <w:r w:rsidRPr="001B30F2">
        <w:rPr>
          <w:rFonts w:ascii="Arial" w:hAnsi="Arial" w:cs="Arial"/>
        </w:rPr>
        <w:t>-</w:t>
      </w:r>
      <w:proofErr w:type="spellStart"/>
      <w:r w:rsidRPr="001B30F2">
        <w:rPr>
          <w:rFonts w:ascii="Arial" w:hAnsi="Arial" w:cs="Arial"/>
        </w:rPr>
        <w:t>Gln</w:t>
      </w:r>
      <w:proofErr w:type="spellEnd"/>
      <w:r w:rsidRPr="001B30F2">
        <w:rPr>
          <w:rFonts w:ascii="Arial" w:hAnsi="Arial" w:cs="Arial"/>
        </w:rPr>
        <w:t>-Ala-</w:t>
      </w:r>
      <w:proofErr w:type="spellStart"/>
      <w:r w:rsidRPr="001B30F2">
        <w:rPr>
          <w:rFonts w:ascii="Arial" w:hAnsi="Arial" w:cs="Arial"/>
        </w:rPr>
        <w:t>Arg</w:t>
      </w:r>
      <w:proofErr w:type="spellEnd"/>
      <w:r w:rsidRPr="001B30F2">
        <w:rPr>
          <w:rFonts w:ascii="Arial" w:hAnsi="Arial" w:cs="Arial"/>
        </w:rPr>
        <w:t xml:space="preserve">-AMC (BML-P237-0005) from Enzo Life Science. Anesthesia of mice was done with ketamine and </w:t>
      </w:r>
      <w:proofErr w:type="spellStart"/>
      <w:r w:rsidRPr="001B30F2">
        <w:rPr>
          <w:rFonts w:ascii="Arial" w:hAnsi="Arial" w:cs="Arial"/>
        </w:rPr>
        <w:t>xylazine</w:t>
      </w:r>
      <w:proofErr w:type="spellEnd"/>
      <w:r w:rsidRPr="001B30F2">
        <w:rPr>
          <w:rFonts w:ascii="Arial" w:hAnsi="Arial" w:cs="Arial"/>
        </w:rPr>
        <w:t xml:space="preserve">, both from </w:t>
      </w:r>
      <w:proofErr w:type="spellStart"/>
      <w:r w:rsidRPr="001B30F2">
        <w:rPr>
          <w:rFonts w:ascii="Arial" w:hAnsi="Arial" w:cs="Arial"/>
        </w:rPr>
        <w:t>Selectavet</w:t>
      </w:r>
      <w:proofErr w:type="spellEnd"/>
      <w:r w:rsidRPr="001B30F2">
        <w:rPr>
          <w:rFonts w:ascii="Arial" w:hAnsi="Arial" w:cs="Arial"/>
        </w:rPr>
        <w:t xml:space="preserve">. Measurement of ATP concentration was performed using the ATP assay kit (ab83355) from </w:t>
      </w:r>
      <w:proofErr w:type="spellStart"/>
      <w:r w:rsidRPr="001B30F2">
        <w:rPr>
          <w:rFonts w:ascii="Arial" w:hAnsi="Arial" w:cs="Arial"/>
        </w:rPr>
        <w:t>Abcam</w:t>
      </w:r>
      <w:proofErr w:type="spellEnd"/>
      <w:r w:rsidRPr="001B30F2">
        <w:rPr>
          <w:rFonts w:ascii="Arial" w:hAnsi="Arial" w:cs="Arial"/>
        </w:rPr>
        <w:t xml:space="preserve">. </w:t>
      </w:r>
      <w:proofErr w:type="spellStart"/>
      <w:r w:rsidRPr="001B30F2">
        <w:rPr>
          <w:rFonts w:ascii="Arial" w:hAnsi="Arial" w:cs="Arial"/>
        </w:rPr>
        <w:t>Tetramethylrhodamine</w:t>
      </w:r>
      <w:proofErr w:type="spellEnd"/>
      <w:r w:rsidRPr="001B30F2">
        <w:rPr>
          <w:rFonts w:ascii="Arial" w:hAnsi="Arial" w:cs="Arial"/>
        </w:rPr>
        <w:t xml:space="preserve"> (TMRM) and </w:t>
      </w:r>
      <w:proofErr w:type="spellStart"/>
      <w:r w:rsidRPr="001B30F2">
        <w:rPr>
          <w:rFonts w:ascii="Arial" w:hAnsi="Arial" w:cs="Arial"/>
        </w:rPr>
        <w:t>CellROX</w:t>
      </w:r>
      <w:proofErr w:type="spellEnd"/>
      <w:r w:rsidRPr="001B30F2">
        <w:rPr>
          <w:rFonts w:ascii="Arial" w:hAnsi="Arial" w:cs="Arial"/>
        </w:rPr>
        <w:t xml:space="preserve"> Deep Red (C10422) were purchased from Invitrogen, and Carbonyl Cyanide </w:t>
      </w:r>
      <w:proofErr w:type="spellStart"/>
      <w:r w:rsidRPr="001B30F2">
        <w:rPr>
          <w:rFonts w:ascii="Arial" w:hAnsi="Arial" w:cs="Arial"/>
        </w:rPr>
        <w:t>Chlorophenylhydrazone</w:t>
      </w:r>
      <w:proofErr w:type="spellEnd"/>
      <w:r w:rsidRPr="001B30F2">
        <w:rPr>
          <w:rFonts w:ascii="Arial" w:hAnsi="Arial" w:cs="Arial"/>
        </w:rPr>
        <w:t xml:space="preserve"> (CCCP) and </w:t>
      </w:r>
      <w:proofErr w:type="spellStart"/>
      <w:r w:rsidRPr="001B30F2">
        <w:rPr>
          <w:rFonts w:ascii="Arial" w:hAnsi="Arial" w:cs="Arial"/>
        </w:rPr>
        <w:t>Sytox</w:t>
      </w:r>
      <w:proofErr w:type="spellEnd"/>
      <w:r w:rsidRPr="001B30F2">
        <w:rPr>
          <w:rFonts w:ascii="Arial" w:hAnsi="Arial" w:cs="Arial"/>
        </w:rPr>
        <w:t xml:space="preserve"> Deep Red from </w:t>
      </w:r>
      <w:proofErr w:type="spellStart"/>
      <w:r w:rsidRPr="001B30F2">
        <w:rPr>
          <w:rFonts w:ascii="Arial" w:hAnsi="Arial" w:cs="Arial"/>
        </w:rPr>
        <w:t>Thermo</w:t>
      </w:r>
      <w:proofErr w:type="spellEnd"/>
      <w:r w:rsidRPr="001B30F2">
        <w:rPr>
          <w:rFonts w:ascii="Arial" w:hAnsi="Arial" w:cs="Arial"/>
        </w:rPr>
        <w:t xml:space="preserve"> Fisher Scientific. E-64-d (sc-201280) was obtained from Santa Cruz Biotechnology.</w:t>
      </w:r>
    </w:p>
    <w:p w14:paraId="651608F0" w14:textId="77777777" w:rsidR="000F6C3B" w:rsidRPr="001B30F2" w:rsidRDefault="000F6C3B" w:rsidP="000F6C3B">
      <w:pPr>
        <w:spacing w:line="360" w:lineRule="auto"/>
        <w:jc w:val="both"/>
        <w:rPr>
          <w:rFonts w:ascii="Arial" w:hAnsi="Arial" w:cs="Arial"/>
        </w:rPr>
      </w:pPr>
    </w:p>
    <w:p w14:paraId="649D9D20" w14:textId="77777777" w:rsidR="000F6C3B" w:rsidRPr="001B30F2" w:rsidRDefault="000F6C3B" w:rsidP="000F6C3B">
      <w:pPr>
        <w:spacing w:line="360" w:lineRule="auto"/>
        <w:jc w:val="both"/>
        <w:rPr>
          <w:rFonts w:ascii="Arial" w:hAnsi="Arial" w:cs="Arial"/>
          <w:b/>
          <w:bCs/>
        </w:rPr>
      </w:pPr>
      <w:r w:rsidRPr="001B30F2">
        <w:rPr>
          <w:rFonts w:ascii="Arial" w:hAnsi="Arial" w:cs="Arial"/>
          <w:b/>
          <w:bCs/>
        </w:rPr>
        <w:t>Antibodies:</w:t>
      </w:r>
    </w:p>
    <w:p w14:paraId="0DA1B702" w14:textId="77777777" w:rsidR="000F6C3B" w:rsidRPr="001B30F2" w:rsidRDefault="000F6C3B" w:rsidP="000F6C3B">
      <w:pPr>
        <w:spacing w:line="360" w:lineRule="auto"/>
        <w:jc w:val="both"/>
        <w:rPr>
          <w:rFonts w:ascii="Arial" w:hAnsi="Arial" w:cs="Arial"/>
        </w:rPr>
      </w:pPr>
      <w:r w:rsidRPr="001B30F2">
        <w:rPr>
          <w:rFonts w:ascii="Arial" w:hAnsi="Arial" w:cs="Arial"/>
        </w:rPr>
        <w:t xml:space="preserve">The following primary antibodies were used for immunoblot analysis, co-immunoprecipitation, and immunofluorescence labeling: anti-amylase (dilution: 1:100, sc-46657, Santa Cruz, RRID:AB_626668), anti-ATF6 (dilution: 1:1000, ab37149, </w:t>
      </w:r>
      <w:proofErr w:type="spellStart"/>
      <w:r w:rsidRPr="001B30F2">
        <w:rPr>
          <w:rFonts w:ascii="Arial" w:hAnsi="Arial" w:cs="Arial"/>
        </w:rPr>
        <w:t>Abcam</w:t>
      </w:r>
      <w:proofErr w:type="spellEnd"/>
      <w:r w:rsidRPr="001B30F2">
        <w:rPr>
          <w:rFonts w:ascii="Arial" w:hAnsi="Arial" w:cs="Arial"/>
        </w:rPr>
        <w:t xml:space="preserve">, RRID:AB_725571), </w:t>
      </w:r>
      <w:r w:rsidRPr="001B30F2">
        <w:rPr>
          <w:rFonts w:ascii="Arial" w:hAnsi="Arial" w:cs="Arial"/>
        </w:rPr>
        <w:lastRenderedPageBreak/>
        <w:t>anti-BIP (dilution: 1:1000 (western blot) and 1:100 (immunofluorescence), 3183, Cell Signaling Technology, RRID:AB_10695864), anti-</w:t>
      </w:r>
      <w:proofErr w:type="spellStart"/>
      <w:r w:rsidRPr="001B30F2">
        <w:rPr>
          <w:rFonts w:ascii="Arial" w:hAnsi="Arial" w:cs="Arial"/>
        </w:rPr>
        <w:t>Calreticulin</w:t>
      </w:r>
      <w:proofErr w:type="spellEnd"/>
      <w:r w:rsidRPr="001B30F2">
        <w:rPr>
          <w:rFonts w:ascii="Arial" w:hAnsi="Arial" w:cs="Arial"/>
        </w:rPr>
        <w:t xml:space="preserve"> (dilution: 1:1000, 2891, Cell Signaling Technology, RRID:AB_2275208), anti-CTSB (dilution: 1:1000 (western blot) MAB965, R&amp;D systems, RRID:AB_2086935; dilution: 1:100, AF965, R&amp;D systems), anti-CTSC (dilution: 1:1000, sc-5647, Santa Cruz Biotechnologies, RRID:AB_2086961), anti-CTSD (dilution: 1:1000 (western blot) and 1:100 (immunofluorescence), sc-6486, Santa Cruz Biotechnologies, RRID:AB_637896), anti-CCPG1 (dilution: 1:1000, 13861-1-AP, </w:t>
      </w:r>
      <w:proofErr w:type="spellStart"/>
      <w:r w:rsidRPr="001B30F2">
        <w:rPr>
          <w:rFonts w:ascii="Arial" w:hAnsi="Arial" w:cs="Arial"/>
        </w:rPr>
        <w:t>Proteintech</w:t>
      </w:r>
      <w:proofErr w:type="spellEnd"/>
      <w:r w:rsidRPr="001B30F2">
        <w:rPr>
          <w:rFonts w:ascii="Arial" w:hAnsi="Arial" w:cs="Arial"/>
        </w:rPr>
        <w:t xml:space="preserve"> Group Inc., RRID:AB_2074010), anti-CHOP (dilution: 1:1000 (Western Blot) and 1:100 (immunofluorescence), MA1-250, Invitrogen, RRID:AB_2292611), anti-CLN8 (dilution: 1:1000 (western blot) and 1:100 (immunofluorescence), bs-11715R, </w:t>
      </w:r>
      <w:proofErr w:type="spellStart"/>
      <w:r w:rsidRPr="001B30F2">
        <w:rPr>
          <w:rFonts w:ascii="Arial" w:hAnsi="Arial" w:cs="Arial"/>
        </w:rPr>
        <w:t>Bioss</w:t>
      </w:r>
      <w:proofErr w:type="spellEnd"/>
      <w:r w:rsidRPr="001B30F2">
        <w:rPr>
          <w:rFonts w:ascii="Arial" w:hAnsi="Arial" w:cs="Arial"/>
        </w:rPr>
        <w:t xml:space="preserve"> Inc.), anti-FAM134B (dilution: 1:1000 (western blot) and 1:100 (immunofluorescence), E8Y9R, Cell Signaling Technology), anti-GAPDH (dilution: 1:1000, H86501M, Meridian Bioscience, RRID:AB_151542), anti-GM130 (dilution: 1:100, 12480S, Cell Signaling Technology), anti-LAMP-1 (dilution: 1:50, sc-20011, Santa Cruz Biotechnologies, RRID:AB_626853), anti-LAMP-2 (dilution: 1:100, PA1-655, Invitrogen), anti-LC3 (for Western Blot: dilution: </w:t>
      </w:r>
      <w:r w:rsidRPr="001B30F2">
        <w:rPr>
          <w:rFonts w:ascii="Arial" w:hAnsi="Arial" w:cs="Arial"/>
        </w:rPr>
        <w:lastRenderedPageBreak/>
        <w:t xml:space="preserve">1:1000, 2775, Cell Signaling Technology, RRID:AB_915950; for immunofluorescence: dilution: 1:100, 3868, Cell Signaling Technology, RRID:AB_2137707), anti-LIMPII (dilution: 1:1000, NB400-129, Novus Biologicals, RRID:AB_2301298), anti-P62 (dilution: 1:1000, P0067, Sigma Aldrich, RRID:AB_1841064), anti-SEC62 (dilution: 1:1000, A303-981A, </w:t>
      </w:r>
      <w:proofErr w:type="spellStart"/>
      <w:r w:rsidRPr="001B30F2">
        <w:rPr>
          <w:rFonts w:ascii="Arial" w:hAnsi="Arial" w:cs="Arial"/>
        </w:rPr>
        <w:t>Bethyl</w:t>
      </w:r>
      <w:proofErr w:type="spellEnd"/>
      <w:r w:rsidRPr="001B30F2">
        <w:rPr>
          <w:rFonts w:ascii="Arial" w:hAnsi="Arial" w:cs="Arial"/>
        </w:rPr>
        <w:t xml:space="preserve"> Laboratories, RRID:AB_2620330), anti-</w:t>
      </w:r>
      <w:proofErr w:type="spellStart"/>
      <w:r w:rsidRPr="001B30F2">
        <w:rPr>
          <w:rFonts w:ascii="Arial" w:hAnsi="Arial" w:cs="Arial"/>
        </w:rPr>
        <w:t>syncollin</w:t>
      </w:r>
      <w:proofErr w:type="spellEnd"/>
      <w:r w:rsidRPr="001B30F2">
        <w:rPr>
          <w:rFonts w:ascii="Arial" w:hAnsi="Arial" w:cs="Arial"/>
        </w:rPr>
        <w:t xml:space="preserve"> (dilution: 1:1000 (western blot) and 1:100 (immunofluorescence), ab178415, </w:t>
      </w:r>
      <w:proofErr w:type="spellStart"/>
      <w:r w:rsidRPr="001B30F2">
        <w:rPr>
          <w:rFonts w:ascii="Arial" w:hAnsi="Arial" w:cs="Arial"/>
        </w:rPr>
        <w:t>Abcam</w:t>
      </w:r>
      <w:proofErr w:type="spellEnd"/>
      <w:r w:rsidRPr="001B30F2">
        <w:rPr>
          <w:rFonts w:ascii="Arial" w:hAnsi="Arial" w:cs="Arial"/>
        </w:rPr>
        <w:t>), anti-trypsin (dilution: 1:1000, sc-137077, Santa Cruz Biotechnology, RRID:AB_2300318), anti-α/β-tubulin (dilution: 1:1000, 2148S, Cell Signaling Technology, RRID:AB_2288042).</w:t>
      </w:r>
    </w:p>
    <w:p w14:paraId="0FF68E2A" w14:textId="77777777" w:rsidR="000F6C3B" w:rsidRPr="001B30F2" w:rsidRDefault="000F6C3B" w:rsidP="000F6C3B">
      <w:pPr>
        <w:spacing w:line="360" w:lineRule="auto"/>
        <w:jc w:val="both"/>
        <w:rPr>
          <w:rFonts w:ascii="Arial" w:hAnsi="Arial" w:cs="Arial"/>
        </w:rPr>
      </w:pPr>
      <w:r w:rsidRPr="001B30F2">
        <w:rPr>
          <w:rFonts w:ascii="Arial" w:hAnsi="Arial" w:cs="Arial"/>
        </w:rPr>
        <w:t xml:space="preserve">Secondary antibodies were anti-mouse IgG-Alexa 594-conjugated (dilution: 1:200, A-21203, Invitrogen), anti-mouse IgG-Alexa Plus 488-conjugated (dilution: 1:200, A32723, Invitrogen), anti-mouse IgG-Cy3-conjugated (dilution: 1:200, Jackson </w:t>
      </w:r>
      <w:proofErr w:type="spellStart"/>
      <w:r w:rsidRPr="001B30F2">
        <w:rPr>
          <w:rFonts w:ascii="Arial" w:hAnsi="Arial" w:cs="Arial"/>
        </w:rPr>
        <w:t>Immunoresearch</w:t>
      </w:r>
      <w:proofErr w:type="spellEnd"/>
      <w:r w:rsidRPr="001B30F2">
        <w:rPr>
          <w:rFonts w:ascii="Arial" w:hAnsi="Arial" w:cs="Arial"/>
        </w:rPr>
        <w:t xml:space="preserve">), anti-rabbit IgG-Alexa 488-conjugated (dilution: 1:200, A-11008, Invitrogen), anti-rabbit IgG-Cy3-conjugated (dilution: 1:200, Jackson </w:t>
      </w:r>
      <w:proofErr w:type="spellStart"/>
      <w:r w:rsidRPr="001B30F2">
        <w:rPr>
          <w:rFonts w:ascii="Arial" w:hAnsi="Arial" w:cs="Arial"/>
        </w:rPr>
        <w:t>Immunoresearch</w:t>
      </w:r>
      <w:proofErr w:type="spellEnd"/>
      <w:r w:rsidRPr="001B30F2">
        <w:rPr>
          <w:rFonts w:ascii="Arial" w:hAnsi="Arial" w:cs="Arial"/>
        </w:rPr>
        <w:t xml:space="preserve">), anti-rabbit IgG-Cy5-conjugated (dilution: 1:200, Jackson </w:t>
      </w:r>
      <w:proofErr w:type="spellStart"/>
      <w:r w:rsidRPr="001B30F2">
        <w:rPr>
          <w:rFonts w:ascii="Arial" w:hAnsi="Arial" w:cs="Arial"/>
        </w:rPr>
        <w:t>Immunoresearch</w:t>
      </w:r>
      <w:proofErr w:type="spellEnd"/>
      <w:r w:rsidRPr="001B30F2">
        <w:rPr>
          <w:rFonts w:ascii="Arial" w:hAnsi="Arial" w:cs="Arial"/>
        </w:rPr>
        <w:t xml:space="preserve">), anti-goat IgG-Cy3 (dilution: 1:200, Jackson </w:t>
      </w:r>
      <w:proofErr w:type="spellStart"/>
      <w:r w:rsidRPr="001B30F2">
        <w:rPr>
          <w:rFonts w:ascii="Arial" w:hAnsi="Arial" w:cs="Arial"/>
        </w:rPr>
        <w:t>Immunoresearch</w:t>
      </w:r>
      <w:proofErr w:type="spellEnd"/>
      <w:r w:rsidRPr="001B30F2">
        <w:rPr>
          <w:rFonts w:ascii="Arial" w:hAnsi="Arial" w:cs="Arial"/>
        </w:rPr>
        <w:t xml:space="preserve">), anti-goat IgG-Cy5 (dilution: 1:200, A21447, </w:t>
      </w:r>
      <w:r w:rsidRPr="001B30F2">
        <w:rPr>
          <w:rFonts w:ascii="Arial" w:hAnsi="Arial" w:cs="Arial"/>
        </w:rPr>
        <w:lastRenderedPageBreak/>
        <w:t xml:space="preserve">Invitrogen), anti-goat IgG-HRP (dilution: 1:16000, sc-2020, Santa Cruz Biotechnologies), anti-mouse IgG-HRP (dilution: 1:16000, NA931, </w:t>
      </w:r>
      <w:proofErr w:type="spellStart"/>
      <w:r w:rsidRPr="001B30F2">
        <w:rPr>
          <w:rFonts w:ascii="Arial" w:hAnsi="Arial" w:cs="Arial"/>
        </w:rPr>
        <w:t>Amersham</w:t>
      </w:r>
      <w:proofErr w:type="spellEnd"/>
      <w:r w:rsidRPr="001B30F2">
        <w:rPr>
          <w:rFonts w:ascii="Arial" w:hAnsi="Arial" w:cs="Arial"/>
        </w:rPr>
        <w:t xml:space="preserve"> plc), anti-rabbit IgG-HRP (dilution: 1:16000 (Western Blot) and 1:200 (Immunofluorescence), NA934V, </w:t>
      </w:r>
      <w:proofErr w:type="spellStart"/>
      <w:r w:rsidRPr="001B30F2">
        <w:rPr>
          <w:rFonts w:ascii="Arial" w:hAnsi="Arial" w:cs="Arial"/>
        </w:rPr>
        <w:t>Amersham</w:t>
      </w:r>
      <w:proofErr w:type="spellEnd"/>
      <w:r w:rsidRPr="001B30F2">
        <w:rPr>
          <w:rFonts w:ascii="Arial" w:hAnsi="Arial" w:cs="Arial"/>
        </w:rPr>
        <w:t xml:space="preserve"> plc), anti-rat IgG-HRP (dilution: 1:16000, HAF005, R&amp;D systems).</w:t>
      </w:r>
    </w:p>
    <w:p w14:paraId="00B88AD9" w14:textId="77777777" w:rsidR="000F6C3B" w:rsidRPr="001B30F2" w:rsidRDefault="000F6C3B" w:rsidP="000F6C3B">
      <w:pPr>
        <w:spacing w:line="360" w:lineRule="auto"/>
        <w:jc w:val="both"/>
        <w:rPr>
          <w:rFonts w:ascii="Arial" w:hAnsi="Arial" w:cs="Arial"/>
          <w:b/>
        </w:rPr>
      </w:pPr>
      <w:r w:rsidRPr="001B30F2">
        <w:rPr>
          <w:rFonts w:ascii="Arial" w:hAnsi="Arial" w:cs="Arial"/>
          <w:b/>
        </w:rPr>
        <w:t>Nucleotides:</w:t>
      </w:r>
    </w:p>
    <w:p w14:paraId="42B3530A" w14:textId="77777777" w:rsidR="000F6C3B" w:rsidRPr="001B30F2" w:rsidRDefault="000F6C3B" w:rsidP="000F6C3B">
      <w:pPr>
        <w:spacing w:line="360" w:lineRule="auto"/>
        <w:jc w:val="both"/>
        <w:rPr>
          <w:rFonts w:ascii="Arial" w:hAnsi="Arial" w:cs="Arial"/>
        </w:rPr>
      </w:pPr>
      <w:r w:rsidRPr="001B30F2">
        <w:rPr>
          <w:rFonts w:ascii="Arial" w:hAnsi="Arial" w:cs="Arial"/>
        </w:rPr>
        <w:t>For CRISPR/Cas9, the following oligonucleotides were used: 5’-GAAGAUUCGGUCGACUCUAGCGGGUUUUAGAGCUAUGCU-3’, 3’-UCUUCCACGAAGCGUAGUCCAGGGUUUUAGAGCUAUGCU-5’, 5’-CUUUGUCGGCAUAGAGCACGGGGGUUUUAGAGCUAUGCU-3’.</w:t>
      </w:r>
    </w:p>
    <w:p w14:paraId="2DA215E8" w14:textId="272A848B" w:rsidR="001B30F2" w:rsidRDefault="000F6C3B" w:rsidP="000F6C3B">
      <w:pPr>
        <w:spacing w:line="360" w:lineRule="auto"/>
        <w:jc w:val="both"/>
        <w:rPr>
          <w:rFonts w:ascii="Arial" w:eastAsia="Times New Roman" w:hAnsi="Arial" w:cs="Arial"/>
          <w:lang w:eastAsia="de-DE"/>
        </w:rPr>
      </w:pPr>
      <w:r w:rsidRPr="001B30F2">
        <w:rPr>
          <w:rFonts w:ascii="Arial" w:hAnsi="Arial" w:cs="Arial"/>
        </w:rPr>
        <w:t xml:space="preserve">The following primers were used for qPCR analysis (all in 5’-3’ orientation): </w:t>
      </w:r>
      <w:r w:rsidRPr="001B30F2">
        <w:rPr>
          <w:rFonts w:ascii="Arial" w:eastAsia="Times New Roman" w:hAnsi="Arial" w:cs="Arial"/>
          <w:lang w:eastAsia="de-DE"/>
        </w:rPr>
        <w:t xml:space="preserve">GCCCGATCTCGTCTGATCTC (5S_fwd), GCCTACAGCACCCGGTATTC (5S_rev), CTCATCAAGATAATCAGACGGCG (Map1lc3b_fwd), TCCCGAATGTCTCCTGCG (Map1cl3b_rev), ACTACGACCTGTGCAGCG (Sqstm1_fwd), AGCTGTAGGGCAAGGGCG (Sqstm1_rev), TGGATAAGAGAGAGGGAGAGAAG (Hspa5_fwd), CACCACTTCAAAGACACCATTG (Hspa5_rev), </w:t>
      </w:r>
      <w:r w:rsidRPr="001B30F2">
        <w:rPr>
          <w:rFonts w:ascii="Arial" w:eastAsia="Times New Roman" w:hAnsi="Arial" w:cs="Arial"/>
          <w:lang w:eastAsia="de-DE"/>
        </w:rPr>
        <w:lastRenderedPageBreak/>
        <w:t>CCAGGAAACGAAGAGGAAGAA (Ddit3_fwd), TTTGGGATGTGCGTGTGA (Ddit3_rev), GAAAGTTCCAGCGACAGCG (Ccpg1_fwd), ACTGACGATGTGTTGTTTGCG (Ccpg1_rev), GGCGACACAAGAAGCG (Sec62_fwd), ACTCCCTGGTTGTAAATAAAGCG (Sec62_rev), TCTCACTTCCTCTCAAGAGCG (Fam134b_fwd), ATGGCAGCCGTCATGGCG (Fam134b_rev), GAGCAGACTCCCAGTTCTCG (Pink1_fwd), GTCCCACTCCACAAGGATGT (Pink1_rev), ATACCATGAAGGGGATTGCG (</w:t>
      </w:r>
      <w:proofErr w:type="spellStart"/>
      <w:r w:rsidRPr="001B30F2">
        <w:rPr>
          <w:rFonts w:ascii="Arial" w:eastAsia="Times New Roman" w:hAnsi="Arial" w:cs="Arial"/>
          <w:lang w:eastAsia="de-DE"/>
        </w:rPr>
        <w:t>Prkn_fwd</w:t>
      </w:r>
      <w:proofErr w:type="spellEnd"/>
      <w:r w:rsidRPr="001B30F2">
        <w:rPr>
          <w:rFonts w:ascii="Arial" w:eastAsia="Times New Roman" w:hAnsi="Arial" w:cs="Arial"/>
          <w:lang w:eastAsia="de-DE"/>
        </w:rPr>
        <w:t>), AGCGAGCTTGCTCAGCG (</w:t>
      </w:r>
      <w:proofErr w:type="spellStart"/>
      <w:r w:rsidRPr="001B30F2">
        <w:rPr>
          <w:rFonts w:ascii="Arial" w:eastAsia="Times New Roman" w:hAnsi="Arial" w:cs="Arial"/>
          <w:lang w:eastAsia="de-DE"/>
        </w:rPr>
        <w:t>Prkn_rev</w:t>
      </w:r>
      <w:proofErr w:type="spellEnd"/>
      <w:r w:rsidRPr="001B30F2">
        <w:rPr>
          <w:rFonts w:ascii="Arial" w:eastAsia="Times New Roman" w:hAnsi="Arial" w:cs="Arial"/>
          <w:lang w:eastAsia="de-DE"/>
        </w:rPr>
        <w:t>), GGGGAAGAATTGAAAGTGAAGGC (Atg3_fwd), CTCCATCTGTTTACACCGC (Atg3_rev), TATCAGACCACGACGGAGCG (Atg5_fwd), TCTCTCCATCTTCAGGGGCG (Atg5_rev), AAGCTGATGTGCTGGCG (Atg7_fwd), GGAGTAGGAGATCTTGGCG (Atg7_rev), CAGGTCGTTTTTGCCTAGGC (Atg10_fwd), CATTCATCGTTCACTAAAGCG (Atg10_rev), TACTTACCACAGCCCAGGCG (Becn1_fwd), AGAGACACCATCCTGGCG (Becn1_rev), GGGATGCCTTTGTGGAACTA (Becn2_fwd), TGAGCAGGGTCTTCAGAGA (Becn2_rev), CTAGAAACCCCGAAACCAAA (</w:t>
      </w:r>
      <w:proofErr w:type="spellStart"/>
      <w:r w:rsidRPr="001B30F2">
        <w:rPr>
          <w:rFonts w:ascii="Arial" w:eastAsia="Times New Roman" w:hAnsi="Arial" w:cs="Arial"/>
          <w:lang w:eastAsia="de-DE"/>
        </w:rPr>
        <w:t>mtDNA_fwd</w:t>
      </w:r>
      <w:proofErr w:type="spellEnd"/>
      <w:r w:rsidRPr="001B30F2">
        <w:rPr>
          <w:rFonts w:ascii="Arial" w:eastAsia="Times New Roman" w:hAnsi="Arial" w:cs="Arial"/>
          <w:lang w:eastAsia="de-DE"/>
        </w:rPr>
        <w:t>), CCAGCTATCACCAAGCTCGT (</w:t>
      </w:r>
      <w:proofErr w:type="spellStart"/>
      <w:r w:rsidRPr="001B30F2">
        <w:rPr>
          <w:rFonts w:ascii="Arial" w:eastAsia="Times New Roman" w:hAnsi="Arial" w:cs="Arial"/>
          <w:lang w:eastAsia="de-DE"/>
        </w:rPr>
        <w:t>mtDNA_rev</w:t>
      </w:r>
      <w:proofErr w:type="spellEnd"/>
      <w:r w:rsidRPr="001B30F2">
        <w:rPr>
          <w:rFonts w:ascii="Arial" w:eastAsia="Times New Roman" w:hAnsi="Arial" w:cs="Arial"/>
          <w:lang w:eastAsia="de-DE"/>
        </w:rPr>
        <w:t>), ATGGGAAGCCGAACATACTG (</w:t>
      </w:r>
      <w:proofErr w:type="spellStart"/>
      <w:r w:rsidRPr="001B30F2">
        <w:rPr>
          <w:rFonts w:ascii="Arial" w:eastAsia="Times New Roman" w:hAnsi="Arial" w:cs="Arial"/>
          <w:lang w:eastAsia="de-DE"/>
        </w:rPr>
        <w:t>totalDNA_fwd</w:t>
      </w:r>
      <w:proofErr w:type="spellEnd"/>
      <w:r w:rsidRPr="001B30F2">
        <w:rPr>
          <w:rFonts w:ascii="Arial" w:eastAsia="Times New Roman" w:hAnsi="Arial" w:cs="Arial"/>
          <w:lang w:eastAsia="de-DE"/>
        </w:rPr>
        <w:t>), CAGTCTCAGTGGGGGTGAAT (</w:t>
      </w:r>
      <w:proofErr w:type="spellStart"/>
      <w:r w:rsidRPr="001B30F2">
        <w:rPr>
          <w:rFonts w:ascii="Arial" w:eastAsia="Times New Roman" w:hAnsi="Arial" w:cs="Arial"/>
          <w:lang w:eastAsia="de-DE"/>
        </w:rPr>
        <w:t>totalDNA_rev</w:t>
      </w:r>
      <w:proofErr w:type="spellEnd"/>
      <w:r w:rsidRPr="001B30F2">
        <w:rPr>
          <w:rFonts w:ascii="Arial" w:eastAsia="Times New Roman" w:hAnsi="Arial" w:cs="Arial"/>
          <w:lang w:eastAsia="de-DE"/>
        </w:rPr>
        <w:t>).</w:t>
      </w:r>
    </w:p>
    <w:p w14:paraId="086F11B8" w14:textId="77777777" w:rsidR="006B1468" w:rsidRDefault="006B1468" w:rsidP="000F6C3B">
      <w:pPr>
        <w:spacing w:line="360" w:lineRule="auto"/>
        <w:jc w:val="both"/>
        <w:rPr>
          <w:rFonts w:ascii="Arial" w:eastAsia="Times New Roman" w:hAnsi="Arial" w:cs="Arial"/>
          <w:lang w:eastAsia="de-DE"/>
        </w:rPr>
      </w:pPr>
    </w:p>
    <w:p w14:paraId="6B4FEFB5" w14:textId="77777777" w:rsidR="006B1468" w:rsidRPr="001B30F2" w:rsidRDefault="006B1468" w:rsidP="006B1468">
      <w:pPr>
        <w:spacing w:line="360" w:lineRule="auto"/>
        <w:jc w:val="both"/>
        <w:rPr>
          <w:rFonts w:ascii="Arial" w:hAnsi="Arial" w:cs="Arial"/>
          <w:b/>
        </w:rPr>
      </w:pPr>
      <w:proofErr w:type="gramStart"/>
      <w:r w:rsidRPr="001B30F2">
        <w:rPr>
          <w:rFonts w:ascii="Arial" w:hAnsi="Arial" w:cs="Arial"/>
          <w:b/>
        </w:rPr>
        <w:t>mRNA</w:t>
      </w:r>
      <w:proofErr w:type="gramEnd"/>
      <w:r w:rsidRPr="001B30F2">
        <w:rPr>
          <w:rFonts w:ascii="Arial" w:hAnsi="Arial" w:cs="Arial"/>
          <w:b/>
        </w:rPr>
        <w:t xml:space="preserve"> expression analysis</w:t>
      </w:r>
    </w:p>
    <w:p w14:paraId="3C873EAD" w14:textId="73B8753C" w:rsidR="006B1468" w:rsidRPr="006B1468" w:rsidRDefault="006B1468" w:rsidP="000F6C3B">
      <w:pPr>
        <w:spacing w:line="360" w:lineRule="auto"/>
        <w:jc w:val="both"/>
        <w:rPr>
          <w:rFonts w:ascii="Arial" w:hAnsi="Arial" w:cs="Arial"/>
          <w:bCs/>
        </w:rPr>
      </w:pPr>
      <w:r w:rsidRPr="001B30F2">
        <w:rPr>
          <w:rFonts w:ascii="Arial" w:hAnsi="Arial" w:cs="Arial"/>
          <w:bCs/>
        </w:rPr>
        <w:t xml:space="preserve">RNA was extracted from acinar cells by </w:t>
      </w:r>
      <w:proofErr w:type="spellStart"/>
      <w:r w:rsidRPr="001B30F2">
        <w:rPr>
          <w:rFonts w:ascii="Arial" w:hAnsi="Arial" w:cs="Arial"/>
          <w:bCs/>
        </w:rPr>
        <w:t>TRIzol</w:t>
      </w:r>
      <w:proofErr w:type="spellEnd"/>
      <w:r w:rsidRPr="001B30F2">
        <w:rPr>
          <w:rFonts w:ascii="Arial" w:hAnsi="Arial" w:cs="Arial"/>
          <w:bCs/>
        </w:rPr>
        <w:t xml:space="preserve"> (15596026, Invitrogen) according to the manufacturer’s protocol. </w:t>
      </w:r>
      <w:proofErr w:type="gramStart"/>
      <w:r w:rsidRPr="001B30F2">
        <w:rPr>
          <w:rFonts w:ascii="Arial" w:hAnsi="Arial" w:cs="Arial"/>
          <w:bCs/>
        </w:rPr>
        <w:t>cDNA</w:t>
      </w:r>
      <w:proofErr w:type="gramEnd"/>
      <w:r w:rsidRPr="001B30F2">
        <w:rPr>
          <w:rFonts w:ascii="Arial" w:hAnsi="Arial" w:cs="Arial"/>
          <w:bCs/>
        </w:rPr>
        <w:t xml:space="preserve"> was obtained using the High-Capacity cDNA Reverse Transcription Kit (4374966, Applied </w:t>
      </w:r>
      <w:proofErr w:type="spellStart"/>
      <w:r w:rsidRPr="001B30F2">
        <w:rPr>
          <w:rFonts w:ascii="Arial" w:hAnsi="Arial" w:cs="Arial"/>
          <w:bCs/>
        </w:rPr>
        <w:t>Biosystems</w:t>
      </w:r>
      <w:proofErr w:type="spellEnd"/>
      <w:r w:rsidRPr="001B30F2">
        <w:rPr>
          <w:rFonts w:ascii="Arial" w:hAnsi="Arial" w:cs="Arial"/>
          <w:bCs/>
        </w:rPr>
        <w:t xml:space="preserve">) like suggested by the company. The </w:t>
      </w:r>
      <w:proofErr w:type="spellStart"/>
      <w:r w:rsidRPr="001B30F2">
        <w:rPr>
          <w:rFonts w:ascii="Arial" w:hAnsi="Arial" w:cs="Arial"/>
          <w:bCs/>
        </w:rPr>
        <w:t>PowerTrack</w:t>
      </w:r>
      <w:proofErr w:type="spellEnd"/>
      <w:r w:rsidRPr="001B30F2">
        <w:rPr>
          <w:rFonts w:ascii="Arial" w:hAnsi="Arial" w:cs="Arial"/>
          <w:bCs/>
        </w:rPr>
        <w:t xml:space="preserve"> SYBR Green </w:t>
      </w:r>
      <w:proofErr w:type="spellStart"/>
      <w:r w:rsidRPr="001B30F2">
        <w:rPr>
          <w:rFonts w:ascii="Arial" w:hAnsi="Arial" w:cs="Arial"/>
          <w:bCs/>
        </w:rPr>
        <w:t>mastermix</w:t>
      </w:r>
      <w:proofErr w:type="spellEnd"/>
      <w:r w:rsidRPr="001B30F2">
        <w:rPr>
          <w:rFonts w:ascii="Arial" w:hAnsi="Arial" w:cs="Arial"/>
          <w:bCs/>
        </w:rPr>
        <w:t xml:space="preserve"> (A46111, Applied </w:t>
      </w:r>
      <w:proofErr w:type="spellStart"/>
      <w:r w:rsidRPr="001B30F2">
        <w:rPr>
          <w:rFonts w:ascii="Arial" w:hAnsi="Arial" w:cs="Arial"/>
          <w:bCs/>
        </w:rPr>
        <w:t>Biosystems</w:t>
      </w:r>
      <w:proofErr w:type="spellEnd"/>
      <w:r w:rsidRPr="001B30F2">
        <w:rPr>
          <w:rFonts w:ascii="Arial" w:hAnsi="Arial" w:cs="Arial"/>
          <w:bCs/>
        </w:rPr>
        <w:t>) was used for the qPCR analysis.</w:t>
      </w:r>
    </w:p>
    <w:p w14:paraId="3D32DAA7" w14:textId="77777777" w:rsidR="006B1468" w:rsidRPr="001B30F2" w:rsidRDefault="006B1468" w:rsidP="006B1468">
      <w:pPr>
        <w:spacing w:line="360" w:lineRule="auto"/>
        <w:jc w:val="both"/>
        <w:rPr>
          <w:rFonts w:ascii="Arial" w:hAnsi="Arial" w:cs="Arial"/>
          <w:b/>
          <w:bCs/>
        </w:rPr>
      </w:pPr>
      <w:r w:rsidRPr="001B30F2">
        <w:rPr>
          <w:rFonts w:ascii="Arial" w:hAnsi="Arial" w:cs="Arial"/>
          <w:b/>
          <w:bCs/>
        </w:rPr>
        <w:t>Western Blot and immunoprecipitation:</w:t>
      </w:r>
    </w:p>
    <w:p w14:paraId="62FB058B" w14:textId="714BADE8" w:rsidR="006B1468" w:rsidRPr="001B30F2" w:rsidRDefault="006B1468" w:rsidP="006B1468">
      <w:pPr>
        <w:spacing w:line="360" w:lineRule="auto"/>
        <w:jc w:val="both"/>
        <w:rPr>
          <w:rFonts w:ascii="Arial" w:hAnsi="Arial" w:cs="Arial"/>
        </w:rPr>
      </w:pPr>
      <w:r w:rsidRPr="001B30F2">
        <w:rPr>
          <w:rFonts w:ascii="Arial" w:hAnsi="Arial" w:cs="Arial"/>
        </w:rPr>
        <w:t xml:space="preserve">Western Blot and SDS-PAGE were performed as described previously </w:t>
      </w:r>
      <w:r w:rsidR="008D16BA">
        <w:rPr>
          <w:rFonts w:ascii="Arial" w:hAnsi="Arial" w:cs="Arial"/>
        </w:rPr>
        <w:fldChar w:fldCharType="begin"/>
      </w:r>
      <w:r w:rsidR="001760E5">
        <w:rPr>
          <w:rFonts w:ascii="Arial" w:hAnsi="Arial" w:cs="Arial"/>
        </w:rPr>
        <w:instrText xml:space="preserve"> ADDIN ZOTERO_ITEM CSL_CITATION {"citationID":"jOKjWE5Y","properties":{"unsorted":false,"formattedCitation":"(1)","plainCitation":"(1)","noteIndex":0},"citationItems":[{"id":1,"uris":["http://zotero.org/users/local/QflfkDTp/items/P7ZX4UCT"],"itemData":{"id":1,"type":"article-journal","abstract":"Acute pancreatitis is a complex disorder involving both premature intracellular protease activation and inflammatory cell invasion. An initiating event is the intracellular activation of trypsinogen by cathepsin B (CTSB), which can be induced directly via G protein-coupled receptors on acinar cells or through inflammatory cells. Here, we studied CTSB regulation by another lysosomal hydrolase, cathepsin D (CTSD), using mice with a complete (CTSD-/-) or pancreas-specific conditional CTSD knockout (KO) (CTSDf/f/p48Cre/+). We induced acute pancreatitis by repeated caerulein injections and isolated acinar and bone marrow cells for ex vivo studies. Supramaximal caerulein stimulation induced subcellular redistribution of CTSD from the lysosomal to the zymogen-containing subcellular compartment of acinar cells and activation of CTSD, CTSB, and trypsinogen. Of note, the CTSD KO greatly reduced CTSB and trypsinogen activation in acinar cells, and CTSD directly activated CTSB but not trypsinogen in vitro During pancreatitis in pancreas-specific CTSDf/f/p48Cre/+ animals, markers of severity were reduced only at 1 h, whereas in the complete KO, this effect also included the late disease phase (8 h), indicating an important effect of extra-acinar CTSD on course of the disease. CTSD-/- leukocytes exhibited reduced cytokine release after lipopolysaccharide (LPS) stimulation, and CTSD KO also reduced caspase-3 activation and apoptosis in acinar cells stimulated with the intestinal hormone cholecystokinin. In summary, CTSD is expressed in pancreatic acinar and inflammatory cells, undergoes subcellular redistribution and activation during experimental pancreatitis, and regulates disease severity by potently activating CTSB. Its impact is only minimal and transient in the early, acinar cell-dependent phase of pancreatitis and much greater in the later, inflammatory cell-dependent phase of the disease.","container-title":"The Journal of biological chemistry","DOI":"10.1074/jbc.M117.814772","issue":"3","journalAbbreviation":"J Biol Chem","page":"1018-1029","title":"Cathepsin D regulates cathepsin B activation and disease severity predominantly in inflammatory cells during experimental pancreatitis","volume":"293","author":[{"family":"Aghdassi","given":"Ali A."},{"family":"John","given":"Daniel S."},{"family":"Sendler","given":"Matthias"},{"family":"Weiss","given":"F. Ulrich"},{"family":"Reinheckel","given":"Thomas"},{"family":"Mayerle","given":"Julia"},{"family":"Lerch","given":"Markus M."}],"issued":{"date-parts":[["2018",1,1]]}}}],"schema":"https://github.com/citation-style-language/schema/raw/master/csl-citation.json"} </w:instrText>
      </w:r>
      <w:r w:rsidR="008D16BA">
        <w:rPr>
          <w:rFonts w:ascii="Arial" w:hAnsi="Arial" w:cs="Arial"/>
        </w:rPr>
        <w:fldChar w:fldCharType="separate"/>
      </w:r>
      <w:r w:rsidR="001760E5" w:rsidRPr="001760E5">
        <w:rPr>
          <w:rFonts w:ascii="Arial" w:hAnsi="Arial" w:cs="Arial"/>
        </w:rPr>
        <w:t>(1)</w:t>
      </w:r>
      <w:r w:rsidR="008D16BA">
        <w:rPr>
          <w:rFonts w:ascii="Arial" w:hAnsi="Arial" w:cs="Arial"/>
        </w:rPr>
        <w:fldChar w:fldCharType="end"/>
      </w:r>
      <w:sdt>
        <w:sdtPr>
          <w:rPr>
            <w:rFonts w:ascii="Arial" w:hAnsi="Arial" w:cs="Arial"/>
          </w:rPr>
          <w:alias w:val="To edit, see citavi.com/edit"/>
          <w:tag w:val="CitaviPlaceholder#a60d0474-c3a5-4cc0-ae27-4092b9fd1345"/>
          <w:id w:val="-1329675212"/>
          <w:placeholder>
            <w:docPart w:val="2D7AB4CB9C89413E99468F6F5559287D"/>
          </w:placeholder>
        </w:sdtPr>
        <w:sdtEndPr/>
        <w:sdtContent/>
      </w:sdt>
      <w:r w:rsidRPr="001B30F2">
        <w:rPr>
          <w:rFonts w:ascii="Arial" w:hAnsi="Arial" w:cs="Arial"/>
        </w:rPr>
        <w:t xml:space="preserve">. Samples were transferred to a nitrocellulose membrane by using a blotting buffer according to </w:t>
      </w:r>
      <w:proofErr w:type="spellStart"/>
      <w:r w:rsidRPr="001B30F2">
        <w:rPr>
          <w:rFonts w:ascii="Arial" w:hAnsi="Arial" w:cs="Arial"/>
        </w:rPr>
        <w:t>Towbin</w:t>
      </w:r>
      <w:proofErr w:type="spellEnd"/>
      <w:r w:rsidR="008D16BA">
        <w:rPr>
          <w:rFonts w:ascii="Arial" w:hAnsi="Arial" w:cs="Arial"/>
        </w:rPr>
        <w:t xml:space="preserve"> </w:t>
      </w:r>
      <w:r w:rsidR="008D16BA">
        <w:rPr>
          <w:rFonts w:ascii="Arial" w:hAnsi="Arial" w:cs="Arial"/>
        </w:rPr>
        <w:fldChar w:fldCharType="begin"/>
      </w:r>
      <w:r w:rsidR="001760E5">
        <w:rPr>
          <w:rFonts w:ascii="Arial" w:hAnsi="Arial" w:cs="Arial"/>
        </w:rPr>
        <w:instrText xml:space="preserve"> ADDIN ZOTERO_ITEM CSL_CITATION {"citationID":"g6z6w1T7","properties":{"unsorted":false,"formattedCitation":"(2)","plainCitation":"(2)","noteIndex":0},"citationItems":[{"id":257,"uris":["http://zotero.org/users/local/QflfkDTp/items/2FM6XBLF"],"itemData":{"id":257,"type":"article-journal","abstract":"A method has been devised for the electrophoretic transfer of proteins from polyacrylamide gels to nitrocellulose sheets. The method results in quantitative transfer of ribosomal proteins from gels containing urea. For sodium dodecyl sulfate gels, the original band pattern was obtained with no loss of resolution, but the transfer was not quantitative. The method allows detection of proteins by autoradiography and is simpler than conventional procedures. The immobilized proteins were detectable by immunological procedures. All additional binding capacity on the nitrocellulose was blocked with excess protein; then a specific antibody was bound and, finally, a second antibody directed against the first antibody. The second antibody was either radioactively labeled or conjugated to fluorescein or to peroxidase. The specific protein was then detected by either autoradiography, under UV light, or by the peroxidase reaction product, respectively. In the latter case, as little as 100 pg of protein was clearly detectable. It is anticipated that the procedure will be applicable to analysis of a wide variety of proteins with specific reactions or ligands.","container-title":"Proceedings of the National Academy of Sciences of the United States of America","DOI":"10.1073/pnas.76.9.4350","ISSN":"0027-8424","issue":"9","journalAbbreviation":"Proc Natl Acad Sci U S A","page":"4350-4","title":"Electrophoretic transfer of proteins from polyacrylamide gels to nitrocellulose sheets: procedure and some applications","volume":"76","author":[{"family":"Towbin","given":"H."},{"family":"Staehelin","given":"T."},{"family":"Gordon","given":"J."}],"issued":{"date-parts":[["1979",1,1]]}}}],"schema":"https://github.com/citation-style-language/schema/raw/master/csl-citation.json"} </w:instrText>
      </w:r>
      <w:r w:rsidR="008D16BA">
        <w:rPr>
          <w:rFonts w:ascii="Arial" w:hAnsi="Arial" w:cs="Arial"/>
        </w:rPr>
        <w:fldChar w:fldCharType="separate"/>
      </w:r>
      <w:r w:rsidR="001760E5" w:rsidRPr="001760E5">
        <w:rPr>
          <w:rFonts w:ascii="Arial" w:hAnsi="Arial" w:cs="Arial"/>
        </w:rPr>
        <w:t>(2)</w:t>
      </w:r>
      <w:r w:rsidR="008D16BA">
        <w:rPr>
          <w:rFonts w:ascii="Arial" w:hAnsi="Arial" w:cs="Arial"/>
        </w:rPr>
        <w:fldChar w:fldCharType="end"/>
      </w:r>
      <w:sdt>
        <w:sdtPr>
          <w:rPr>
            <w:rFonts w:ascii="Arial" w:hAnsi="Arial" w:cs="Arial"/>
          </w:rPr>
          <w:alias w:val="To edit, see citavi.com/edit"/>
          <w:tag w:val="CitaviPlaceholder#0254a96a-29aa-4f35-8fdc-a6ed8d63ca85"/>
          <w:id w:val="1641609788"/>
          <w:placeholder>
            <w:docPart w:val="2D7AB4CB9C89413E99468F6F5559287D"/>
          </w:placeholder>
        </w:sdtPr>
        <w:sdtEndPr/>
        <w:sdtContent/>
      </w:sdt>
      <w:r w:rsidRPr="001B30F2">
        <w:rPr>
          <w:rFonts w:ascii="Arial" w:hAnsi="Arial" w:cs="Arial"/>
        </w:rPr>
        <w:t xml:space="preserve">. Blocking of the membrane was done using NET buffer (0.15 M sodium chloride, 5 </w:t>
      </w:r>
      <w:proofErr w:type="spellStart"/>
      <w:r w:rsidRPr="001B30F2">
        <w:rPr>
          <w:rFonts w:ascii="Arial" w:hAnsi="Arial" w:cs="Arial"/>
        </w:rPr>
        <w:t>mM</w:t>
      </w:r>
      <w:proofErr w:type="spellEnd"/>
      <w:r w:rsidRPr="001B30F2">
        <w:rPr>
          <w:rFonts w:ascii="Arial" w:hAnsi="Arial" w:cs="Arial"/>
        </w:rPr>
        <w:t xml:space="preserve"> EDTA, 50 </w:t>
      </w:r>
      <w:proofErr w:type="spellStart"/>
      <w:r w:rsidRPr="001B30F2">
        <w:rPr>
          <w:rFonts w:ascii="Arial" w:hAnsi="Arial" w:cs="Arial"/>
        </w:rPr>
        <w:t>mM</w:t>
      </w:r>
      <w:proofErr w:type="spellEnd"/>
      <w:r w:rsidRPr="001B30F2">
        <w:rPr>
          <w:rFonts w:ascii="Arial" w:hAnsi="Arial" w:cs="Arial"/>
        </w:rPr>
        <w:t xml:space="preserve"> </w:t>
      </w:r>
      <w:proofErr w:type="spellStart"/>
      <w:r w:rsidRPr="001B30F2">
        <w:rPr>
          <w:rFonts w:ascii="Arial" w:hAnsi="Arial" w:cs="Arial"/>
        </w:rPr>
        <w:t>Tris</w:t>
      </w:r>
      <w:proofErr w:type="spellEnd"/>
      <w:r w:rsidRPr="001B30F2">
        <w:rPr>
          <w:rFonts w:ascii="Arial" w:hAnsi="Arial" w:cs="Arial"/>
        </w:rPr>
        <w:t xml:space="preserve">-HCL, 0.05% Triton-X100) that contains 0.2% </w:t>
      </w:r>
      <w:proofErr w:type="spellStart"/>
      <w:r w:rsidRPr="001B30F2">
        <w:rPr>
          <w:rFonts w:ascii="Arial" w:hAnsi="Arial" w:cs="Arial"/>
        </w:rPr>
        <w:t>gelatine</w:t>
      </w:r>
      <w:proofErr w:type="spellEnd"/>
      <w:r w:rsidRPr="001B30F2">
        <w:rPr>
          <w:rFonts w:ascii="Arial" w:hAnsi="Arial" w:cs="Arial"/>
        </w:rPr>
        <w:t xml:space="preserve">. The primary antibodies were diluted 1:1000 and the secondary antibodies 1:16000 in the blocking buffer. The membranes were developed by using the Super Signal West </w:t>
      </w:r>
      <w:proofErr w:type="spellStart"/>
      <w:r w:rsidRPr="001B30F2">
        <w:rPr>
          <w:rFonts w:ascii="Arial" w:hAnsi="Arial" w:cs="Arial"/>
        </w:rPr>
        <w:t>Femto</w:t>
      </w:r>
      <w:proofErr w:type="spellEnd"/>
      <w:r w:rsidRPr="001B30F2">
        <w:rPr>
          <w:rFonts w:ascii="Arial" w:hAnsi="Arial" w:cs="Arial"/>
        </w:rPr>
        <w:t xml:space="preserve"> </w:t>
      </w:r>
      <w:proofErr w:type="spellStart"/>
      <w:r w:rsidRPr="001B30F2">
        <w:rPr>
          <w:rFonts w:ascii="Arial" w:hAnsi="Arial" w:cs="Arial"/>
        </w:rPr>
        <w:t>Chemiluminescence</w:t>
      </w:r>
      <w:proofErr w:type="spellEnd"/>
      <w:r w:rsidRPr="001B30F2">
        <w:rPr>
          <w:rFonts w:ascii="Arial" w:hAnsi="Arial" w:cs="Arial"/>
        </w:rPr>
        <w:t xml:space="preserve"> kit or the Super Signal Pico </w:t>
      </w:r>
      <w:proofErr w:type="spellStart"/>
      <w:r w:rsidRPr="001B30F2">
        <w:rPr>
          <w:rFonts w:ascii="Arial" w:hAnsi="Arial" w:cs="Arial"/>
        </w:rPr>
        <w:t>Chemiluminescence</w:t>
      </w:r>
      <w:proofErr w:type="spellEnd"/>
      <w:r w:rsidRPr="001B30F2">
        <w:rPr>
          <w:rFonts w:ascii="Arial" w:hAnsi="Arial" w:cs="Arial"/>
        </w:rPr>
        <w:t xml:space="preserve"> kit (</w:t>
      </w:r>
      <w:proofErr w:type="spellStart"/>
      <w:r w:rsidRPr="001B30F2">
        <w:rPr>
          <w:rFonts w:ascii="Arial" w:hAnsi="Arial" w:cs="Arial"/>
        </w:rPr>
        <w:t>Thermo</w:t>
      </w:r>
      <w:proofErr w:type="spellEnd"/>
      <w:r w:rsidRPr="001B30F2">
        <w:rPr>
          <w:rFonts w:ascii="Arial" w:hAnsi="Arial" w:cs="Arial"/>
        </w:rPr>
        <w:t xml:space="preserve"> Scientific, Waltham, USA). Quantification of bands was performed using Fiji</w:t>
      </w:r>
      <w:r w:rsidR="008D16BA">
        <w:rPr>
          <w:rFonts w:ascii="Arial" w:hAnsi="Arial" w:cs="Arial"/>
        </w:rPr>
        <w:t xml:space="preserve"> </w:t>
      </w:r>
      <w:r w:rsidR="008D16BA">
        <w:rPr>
          <w:rFonts w:ascii="Arial" w:hAnsi="Arial" w:cs="Arial"/>
        </w:rPr>
        <w:fldChar w:fldCharType="begin"/>
      </w:r>
      <w:r w:rsidR="001760E5">
        <w:rPr>
          <w:rFonts w:ascii="Arial" w:hAnsi="Arial" w:cs="Arial"/>
        </w:rPr>
        <w:instrText xml:space="preserve"> ADDIN ZOTERO_ITEM CSL_CITATION {"citationID":"OzpXShUL","properties":{"unsorted":false,"formattedCitation":"(3)","plainCitation":"(3)","noteIndex":0},"citationItems":[{"id":221,"uris":["http://zotero.org/users/local/QflfkDTp/items/JI7GEGVE"],"itemData":{"id":221,"type":"article-journal","abstract":"Fiji is a distribution of the popular open-source software ImageJ focused on biological-image analysis. Fiji uses modern software engineering practices to combine powerful software libraries with a broad range of scripting languages to enable rapid prototyping of image-processing algorithms. Fiji facilitates the transformation of new algorithms into ImageJ plugins that can be shared with end users through an integrated update system. We propose Fiji as a platform for productive collaboration between computer science and biology research communities.","container-title":"Nature methods","DOI":"10.1038/nmeth.2019","issue":"7","journalAbbreviation":"Nat Methods","page":"676-82","title":"Fiji: an open-source platform for biological-image analysis","volume":"9","author":[{"family":"Schindelin","given":"Johannes"},{"family":"Arganda-Carreras","given":"Ignacio"},{"family":"Frise","given":"Erwin"},{"family":"Kaynig","given":"Verena"},{"family":"Longair","given":"Mark"},{"family":"Pietzsch","given":"Tobias"},{"family":"Preibisch","given":"Stephan"},{"family":"Rueden","given":"Curtis"},{"family":"Saalfeld","given":"Stephan"},{"family":"Schmid","given":"Benjamin"},{"family":"Tinevez","given":"Jean-Yves"},{"family":"White","given":"Daniel James"},{"family":"Hartenstein","given":"Volker"},{"family":"Eliceiri","given":"Kevin"},{"family":"Tomancak","given":"Pavel"},{"family":"Cardona","given":"Albert"}],"issued":{"date-parts":[["2012",1,1]]}}}],"schema":"https://github.com/citation-style-language/schema/raw/master/csl-citation.json"} </w:instrText>
      </w:r>
      <w:r w:rsidR="008D16BA">
        <w:rPr>
          <w:rFonts w:ascii="Arial" w:hAnsi="Arial" w:cs="Arial"/>
        </w:rPr>
        <w:fldChar w:fldCharType="separate"/>
      </w:r>
      <w:r w:rsidR="001760E5" w:rsidRPr="001760E5">
        <w:rPr>
          <w:rFonts w:ascii="Arial" w:hAnsi="Arial" w:cs="Arial"/>
        </w:rPr>
        <w:t>(3)</w:t>
      </w:r>
      <w:r w:rsidR="008D16BA">
        <w:rPr>
          <w:rFonts w:ascii="Arial" w:hAnsi="Arial" w:cs="Arial"/>
        </w:rPr>
        <w:fldChar w:fldCharType="end"/>
      </w:r>
      <w:r w:rsidRPr="001B30F2">
        <w:rPr>
          <w:rFonts w:ascii="Arial" w:hAnsi="Arial" w:cs="Arial"/>
        </w:rPr>
        <w:t>.</w:t>
      </w:r>
    </w:p>
    <w:p w14:paraId="53108D45" w14:textId="77777777" w:rsidR="006B1468" w:rsidRPr="001B30F2" w:rsidRDefault="006B1468" w:rsidP="006B1468">
      <w:pPr>
        <w:spacing w:line="360" w:lineRule="auto"/>
        <w:jc w:val="both"/>
        <w:rPr>
          <w:rFonts w:ascii="Arial" w:hAnsi="Arial" w:cs="Arial"/>
        </w:rPr>
      </w:pPr>
      <w:r w:rsidRPr="001B30F2">
        <w:rPr>
          <w:rFonts w:ascii="Arial" w:hAnsi="Arial" w:cs="Arial"/>
        </w:rPr>
        <w:lastRenderedPageBreak/>
        <w:t xml:space="preserve">For immunoprecipitation, </w:t>
      </w:r>
      <w:proofErr w:type="spellStart"/>
      <w:r w:rsidRPr="001B30F2">
        <w:rPr>
          <w:rFonts w:ascii="Arial" w:hAnsi="Arial" w:cs="Arial"/>
        </w:rPr>
        <w:t>rProtein</w:t>
      </w:r>
      <w:proofErr w:type="spellEnd"/>
      <w:r w:rsidRPr="001B30F2">
        <w:rPr>
          <w:rFonts w:ascii="Arial" w:hAnsi="Arial" w:cs="Arial"/>
        </w:rPr>
        <w:t xml:space="preserve"> A </w:t>
      </w:r>
      <w:proofErr w:type="spellStart"/>
      <w:r w:rsidRPr="001B30F2">
        <w:rPr>
          <w:rFonts w:ascii="Arial" w:hAnsi="Arial" w:cs="Arial"/>
        </w:rPr>
        <w:t>Sepharose</w:t>
      </w:r>
      <w:r w:rsidRPr="001B30F2">
        <w:rPr>
          <w:rFonts w:ascii="Arial" w:hAnsi="Arial" w:cs="Arial"/>
          <w:vertAlign w:val="superscript"/>
        </w:rPr>
        <w:t>TM</w:t>
      </w:r>
      <w:proofErr w:type="spellEnd"/>
      <w:r w:rsidRPr="001B30F2">
        <w:rPr>
          <w:rFonts w:ascii="Arial" w:hAnsi="Arial" w:cs="Arial"/>
        </w:rPr>
        <w:t xml:space="preserve"> Fast Flow and Protein G </w:t>
      </w:r>
      <w:proofErr w:type="spellStart"/>
      <w:r w:rsidRPr="001B30F2">
        <w:rPr>
          <w:rFonts w:ascii="Arial" w:hAnsi="Arial" w:cs="Arial"/>
        </w:rPr>
        <w:t>Sepharose</w:t>
      </w:r>
      <w:r w:rsidRPr="001B30F2">
        <w:rPr>
          <w:rFonts w:ascii="Arial" w:hAnsi="Arial" w:cs="Arial"/>
          <w:vertAlign w:val="superscript"/>
        </w:rPr>
        <w:t>TM</w:t>
      </w:r>
      <w:proofErr w:type="spellEnd"/>
      <w:r w:rsidRPr="001B30F2">
        <w:rPr>
          <w:rFonts w:ascii="Arial" w:hAnsi="Arial" w:cs="Arial"/>
        </w:rPr>
        <w:t xml:space="preserve"> Fast Flow (both GE Healthcare, Chicago, USA) were </w:t>
      </w:r>
      <w:proofErr w:type="spellStart"/>
      <w:r w:rsidRPr="001B30F2">
        <w:rPr>
          <w:rFonts w:ascii="Arial" w:hAnsi="Arial" w:cs="Arial"/>
        </w:rPr>
        <w:t>preincubated</w:t>
      </w:r>
      <w:proofErr w:type="spellEnd"/>
      <w:r w:rsidRPr="001B30F2">
        <w:rPr>
          <w:rFonts w:ascii="Arial" w:hAnsi="Arial" w:cs="Arial"/>
        </w:rPr>
        <w:t xml:space="preserve"> with the prey antibody for 1 h at room temperature on a rolling incubator. Thereafter, the beads were washed three times with PBS and incubated with the samples and 10 µl 1 M </w:t>
      </w:r>
      <w:proofErr w:type="spellStart"/>
      <w:r w:rsidRPr="001B30F2">
        <w:rPr>
          <w:rFonts w:ascii="Arial" w:hAnsi="Arial" w:cs="Arial"/>
        </w:rPr>
        <w:t>nafamostat</w:t>
      </w:r>
      <w:proofErr w:type="spellEnd"/>
      <w:r w:rsidRPr="001B30F2">
        <w:rPr>
          <w:rFonts w:ascii="Arial" w:hAnsi="Arial" w:cs="Arial"/>
        </w:rPr>
        <w:t xml:space="preserve">. Samples were incubated at the rolling incubator at 4 °C overnight. On the next day, samples were washed 5 times with PBS. After the last washing step, the pellets were </w:t>
      </w:r>
      <w:proofErr w:type="spellStart"/>
      <w:r w:rsidRPr="001B30F2">
        <w:rPr>
          <w:rFonts w:ascii="Arial" w:hAnsi="Arial" w:cs="Arial"/>
        </w:rPr>
        <w:t>resuspended</w:t>
      </w:r>
      <w:proofErr w:type="spellEnd"/>
      <w:r w:rsidRPr="001B30F2">
        <w:rPr>
          <w:rFonts w:ascii="Arial" w:hAnsi="Arial" w:cs="Arial"/>
        </w:rPr>
        <w:t xml:space="preserve"> in 2x </w:t>
      </w:r>
      <w:proofErr w:type="spellStart"/>
      <w:r w:rsidRPr="001B30F2">
        <w:rPr>
          <w:rFonts w:ascii="Arial" w:hAnsi="Arial" w:cs="Arial"/>
        </w:rPr>
        <w:t>Laemmli</w:t>
      </w:r>
      <w:proofErr w:type="spellEnd"/>
      <w:r w:rsidRPr="001B30F2">
        <w:rPr>
          <w:rFonts w:ascii="Arial" w:hAnsi="Arial" w:cs="Arial"/>
        </w:rPr>
        <w:t xml:space="preserve">-buffer, heated up to 95 °C for 5 min, and directly used for SDS-PAGE and Western Blot. </w:t>
      </w:r>
    </w:p>
    <w:p w14:paraId="726CDFE3" w14:textId="77777777" w:rsidR="008D2F56" w:rsidRPr="001B30F2" w:rsidRDefault="008D2F56" w:rsidP="000F6C3B">
      <w:pPr>
        <w:spacing w:line="360" w:lineRule="auto"/>
        <w:jc w:val="both"/>
        <w:rPr>
          <w:rFonts w:ascii="Arial" w:eastAsia="Times New Roman" w:hAnsi="Arial" w:cs="Arial"/>
          <w:lang w:eastAsia="de-DE"/>
        </w:rPr>
      </w:pPr>
    </w:p>
    <w:p w14:paraId="12C82687" w14:textId="77777777" w:rsidR="000F6C3B" w:rsidRPr="001B30F2" w:rsidRDefault="000F6C3B" w:rsidP="000F6C3B">
      <w:pPr>
        <w:spacing w:line="360" w:lineRule="auto"/>
        <w:jc w:val="both"/>
        <w:rPr>
          <w:rFonts w:ascii="Arial" w:hAnsi="Arial" w:cs="Arial"/>
          <w:b/>
        </w:rPr>
      </w:pPr>
      <w:r w:rsidRPr="001B30F2">
        <w:rPr>
          <w:rFonts w:ascii="Arial" w:hAnsi="Arial" w:cs="Arial"/>
          <w:b/>
        </w:rPr>
        <w:t>Human sample collection</w:t>
      </w:r>
    </w:p>
    <w:p w14:paraId="55C63B96" w14:textId="48EA7051" w:rsidR="006B1468" w:rsidRDefault="000F6C3B" w:rsidP="000F6C3B">
      <w:pPr>
        <w:spacing w:line="360" w:lineRule="auto"/>
        <w:jc w:val="both"/>
        <w:rPr>
          <w:rFonts w:ascii="Arial" w:hAnsi="Arial" w:cs="Arial"/>
        </w:rPr>
      </w:pPr>
      <w:r w:rsidRPr="001B30F2">
        <w:rPr>
          <w:rFonts w:ascii="Arial" w:hAnsi="Arial" w:cs="Arial"/>
        </w:rPr>
        <w:t>EDTA blood samples from chronic pancreatitis patients were collected at the university medicine Greifswald after approval of institutional review board (III UV 05/06). Control blood was drawn from healthy volunteers of the Study of Health in Pomerania (SHIP), a population-based study in northeastern Germany</w:t>
      </w:r>
      <w:r w:rsidR="008D16BA">
        <w:rPr>
          <w:rFonts w:ascii="Arial" w:hAnsi="Arial" w:cs="Arial"/>
        </w:rPr>
        <w:t xml:space="preserve"> </w:t>
      </w:r>
      <w:r w:rsidR="008D16BA">
        <w:rPr>
          <w:rFonts w:ascii="Arial" w:hAnsi="Arial" w:cs="Arial"/>
        </w:rPr>
        <w:fldChar w:fldCharType="begin"/>
      </w:r>
      <w:r w:rsidR="001760E5">
        <w:rPr>
          <w:rFonts w:ascii="Arial" w:hAnsi="Arial" w:cs="Arial"/>
        </w:rPr>
        <w:instrText xml:space="preserve"> ADDIN ZOTERO_ITEM CSL_CITATION {"citationID":"Lz1sKMpd","properties":{"unsorted":false,"formattedCitation":"(4)","plainCitation":"(4)","noteIndex":0},"citationItems":[{"id":709,"uris":["http://zotero.org/users/local/QflfkDTp/items/YMXTAHU8"],"itemData":{"id":709,"type":"article-journal","container-title":"International Journal of Epidemiology","DOI":"10.1093/ije/dyp394","ISSN":"0300-5771, 1464-3685","issue":"2","journalAbbreviation":"International Journal of Epidemiology","language":"en","page":"294-307","source":"DOI.org (Crossref)","title":"Cohort Profile: The Study of Health in Pomerania","title-short":"Cohort Profile","volume":"40","author":[{"family":"Volzke","given":"H."},{"family":"Alte","given":"D."},{"family":"Schmidt","given":"C. O."},{"family":"Radke","given":"D."},{"family":"Lorbeer","given":"R."},{"family":"Friedrich","given":"N."},{"family":"Aumann","given":"N."},{"family":"Lau","given":"K."},{"family":"Piontek","given":"M."},{"family":"Born","given":"G."},{"family":"Havemann","given":"C."},{"family":"Ittermann","given":"T."},{"family":"Schipf","given":"S."},{"family":"Haring","given":"R."},{"family":"Baumeister","given":"S. E."},{"family":"Wallaschofski","given":"H."},{"family":"Nauck","given":"M."},{"family":"Frick","given":"S."},{"family":"Arnold","given":"A."},{"family":"Junger","given":"M."},{"family":"Mayerle","given":"J."},{"family":"Kraft","given":"M."},{"family":"Lerch","given":"M. M."},{"family":"Dorr","given":"M."},{"family":"Reffelmann","given":"T."},{"family":"Empen","given":"K."},{"family":"Felix","given":"S. B."},{"family":"Obst","given":"A."},{"family":"Koch","given":"B."},{"family":"Glaser","given":"S."},{"family":"Ewert","given":"R."},{"family":"Fietze","given":"I."},{"family":"Penzel","given":"T."},{"family":"Doren","given":"M."},{"family":"Rathmann","given":"W."},{"family":"Haerting","given":"J."},{"family":"Hannemann","given":"M."},{"family":"Ropcke","given":"J."},{"family":"Schminke","given":"U."},{"family":"Jurgens","given":"C."},{"family":"Tost","given":"F."},{"family":"Rettig","given":"R."},{"family":"Kors","given":"J. A."},{"family":"Ungerer","given":"S."},{"family":"Hegenscheid","given":"K."},{"family":"Kuhn","given":"J.-P."},{"family":"Kuhn","given":"J."},{"family":"Hosten","given":"N."},{"family":"Puls","given":"R."},{"family":"Henke","given":"J."},{"family":"Gloger","given":"O."},{"family":"Teumer","given":"A."},{"family":"Homuth","given":"G."},{"family":"Volker","given":"U."},{"family":"Schwahn","given":"C."},{"family":"Holtfreter","given":"B."},{"family":"Polzer","given":"I."},{"family":"Kohlmann","given":"T."},{"family":"Grabe","given":"H. J."},{"family":"Rosskopf","given":"D."},{"family":"Kroemer","given":"H. K."},{"family":"Kocher","given":"T."},{"family":"Biffar","given":"R."},{"family":"John","given":"U."},{"family":"Hoffmann","given":"W."}],"issued":{"date-parts":[["2011",4,1]]}}}],"schema":"https://github.com/citation-style-language/schema/raw/master/csl-citation.json"} </w:instrText>
      </w:r>
      <w:r w:rsidR="008D16BA">
        <w:rPr>
          <w:rFonts w:ascii="Arial" w:hAnsi="Arial" w:cs="Arial"/>
        </w:rPr>
        <w:fldChar w:fldCharType="separate"/>
      </w:r>
      <w:r w:rsidR="001760E5" w:rsidRPr="001760E5">
        <w:rPr>
          <w:rFonts w:ascii="Arial" w:hAnsi="Arial" w:cs="Arial"/>
        </w:rPr>
        <w:t>(4)</w:t>
      </w:r>
      <w:r w:rsidR="008D16BA">
        <w:rPr>
          <w:rFonts w:ascii="Arial" w:hAnsi="Arial" w:cs="Arial"/>
        </w:rPr>
        <w:fldChar w:fldCharType="end"/>
      </w:r>
      <w:r w:rsidRPr="001B30F2">
        <w:rPr>
          <w:rFonts w:ascii="Arial" w:hAnsi="Arial" w:cs="Arial"/>
        </w:rPr>
        <w:t xml:space="preserve">. The presented SHIP groups were sub-cohorts of the SHIP-TREND cohort, in which 4420 participants were examined between 2008 and 2012 (BB 39/08). All blood donors gave written and informed consent. Human </w:t>
      </w:r>
      <w:r w:rsidRPr="001B30F2">
        <w:rPr>
          <w:rFonts w:ascii="Arial" w:hAnsi="Arial" w:cs="Arial"/>
        </w:rPr>
        <w:lastRenderedPageBreak/>
        <w:t xml:space="preserve">chronic pancreatitis tissues were collected in the context of the </w:t>
      </w:r>
      <w:proofErr w:type="spellStart"/>
      <w:r w:rsidRPr="001B30F2">
        <w:rPr>
          <w:rFonts w:ascii="Arial" w:hAnsi="Arial" w:cs="Arial"/>
        </w:rPr>
        <w:t>ChroPac</w:t>
      </w:r>
      <w:proofErr w:type="spellEnd"/>
      <w:r w:rsidRPr="001B30F2">
        <w:rPr>
          <w:rFonts w:ascii="Arial" w:hAnsi="Arial" w:cs="Arial"/>
        </w:rPr>
        <w:t xml:space="preserve"> trial (ISRCTN38973832). The </w:t>
      </w:r>
      <w:r w:rsidRPr="001B30F2">
        <w:rPr>
          <w:rFonts w:ascii="Arial" w:hAnsi="Arial" w:cs="Arial"/>
          <w:i/>
        </w:rPr>
        <w:t>Cln8</w:t>
      </w:r>
      <w:r w:rsidRPr="001B30F2">
        <w:rPr>
          <w:rFonts w:ascii="Arial" w:hAnsi="Arial" w:cs="Arial"/>
        </w:rPr>
        <w:t xml:space="preserve"> gene was analyzed by whole genome sequencing of the human blood samples (</w:t>
      </w:r>
      <w:proofErr w:type="spellStart"/>
      <w:r w:rsidRPr="001B30F2">
        <w:rPr>
          <w:rFonts w:ascii="Arial" w:hAnsi="Arial" w:cs="Arial"/>
        </w:rPr>
        <w:t>Centogene</w:t>
      </w:r>
      <w:proofErr w:type="spellEnd"/>
      <w:r w:rsidRPr="001B30F2">
        <w:rPr>
          <w:rFonts w:ascii="Arial" w:hAnsi="Arial" w:cs="Arial"/>
        </w:rPr>
        <w:t>, Rostock, Germany). The prediction of the functional effect of the SNPs was performed using PolyPhen-2</w:t>
      </w:r>
      <w:r w:rsidR="008D16BA">
        <w:rPr>
          <w:rFonts w:ascii="Arial" w:hAnsi="Arial" w:cs="Arial"/>
        </w:rPr>
        <w:t xml:space="preserve"> </w:t>
      </w:r>
      <w:r w:rsidR="008D16BA">
        <w:rPr>
          <w:rFonts w:ascii="Arial" w:hAnsi="Arial" w:cs="Arial"/>
        </w:rPr>
        <w:fldChar w:fldCharType="begin"/>
      </w:r>
      <w:r w:rsidR="001760E5">
        <w:rPr>
          <w:rFonts w:ascii="Arial" w:hAnsi="Arial" w:cs="Arial"/>
        </w:rPr>
        <w:instrText xml:space="preserve"> ADDIN ZOTERO_ITEM CSL_CITATION {"citationID":"YtsgJ4do","properties":{"unsorted":false,"formattedCitation":"(5)","plainCitation":"(5)","noteIndex":0},"citationItems":[{"id":703,"uris":["http://zotero.org/users/local/QflfkDTp/items/C2P64Q65"],"itemData":{"id":703,"type":"article-journal","container-title":"Nature Methods","DOI":"10.1038/nmeth0410-248","ISSN":"1548-7091, 1548-7105","issue":"4","journalAbbreviation":"Nat Methods","language":"en","license":"http://www.springer.com/tdm","page":"248-249","source":"DOI.org (Crossref)","title":"A method and server for predicting damaging missense mutations","volume":"7","author":[{"family":"Adzhubei","given":"Ivan A"},{"family":"Schmidt","given":"Steffen"},{"family":"Peshkin","given":"Leonid"},{"family":"Ramensky","given":"Vasily E"},{"family":"Gerasimova","given":"Anna"},{"family":"Bork","given":"Peer"},{"family":"Kondrashov","given":"Alexey S"},{"family":"Sunyaev","given":"Shamil R"}],"issued":{"date-parts":[["2010",4]]}}}],"schema":"https://github.com/citation-style-language/schema/raw/master/csl-citation.json"} </w:instrText>
      </w:r>
      <w:r w:rsidR="008D16BA">
        <w:rPr>
          <w:rFonts w:ascii="Arial" w:hAnsi="Arial" w:cs="Arial"/>
        </w:rPr>
        <w:fldChar w:fldCharType="separate"/>
      </w:r>
      <w:r w:rsidR="001760E5" w:rsidRPr="001760E5">
        <w:rPr>
          <w:rFonts w:ascii="Arial" w:hAnsi="Arial" w:cs="Arial"/>
        </w:rPr>
        <w:t>(5)</w:t>
      </w:r>
      <w:r w:rsidR="008D16BA">
        <w:rPr>
          <w:rFonts w:ascii="Arial" w:hAnsi="Arial" w:cs="Arial"/>
        </w:rPr>
        <w:fldChar w:fldCharType="end"/>
      </w:r>
      <w:r w:rsidRPr="001B30F2">
        <w:rPr>
          <w:rFonts w:ascii="Arial" w:hAnsi="Arial" w:cs="Arial"/>
        </w:rPr>
        <w:t xml:space="preserve">. </w:t>
      </w:r>
      <w:r w:rsidRPr="001B30F2">
        <w:rPr>
          <w:rFonts w:ascii="Arial" w:hAnsi="Arial" w:cs="Arial"/>
        </w:rPr>
        <w:tab/>
      </w:r>
    </w:p>
    <w:p w14:paraId="30E8CA87" w14:textId="77777777" w:rsidR="006B1468" w:rsidRPr="001B30F2" w:rsidRDefault="006B1468" w:rsidP="006B1468">
      <w:pPr>
        <w:spacing w:line="360" w:lineRule="auto"/>
        <w:jc w:val="both"/>
        <w:rPr>
          <w:rFonts w:ascii="Arial" w:hAnsi="Arial" w:cs="Arial"/>
          <w:b/>
          <w:bCs/>
        </w:rPr>
      </w:pPr>
      <w:r w:rsidRPr="001B30F2">
        <w:rPr>
          <w:rFonts w:ascii="Arial" w:hAnsi="Arial" w:cs="Arial"/>
          <w:b/>
          <w:bCs/>
        </w:rPr>
        <w:t>Statistics:</w:t>
      </w:r>
    </w:p>
    <w:p w14:paraId="58BFFD7A" w14:textId="77777777" w:rsidR="008D16BA" w:rsidRDefault="006B1468" w:rsidP="006B1468">
      <w:pPr>
        <w:spacing w:line="360" w:lineRule="auto"/>
        <w:jc w:val="both"/>
        <w:rPr>
          <w:rFonts w:ascii="Arial" w:hAnsi="Arial" w:cs="Arial"/>
        </w:rPr>
      </w:pPr>
      <w:r w:rsidRPr="001B30F2">
        <w:rPr>
          <w:rFonts w:ascii="Arial" w:hAnsi="Arial" w:cs="Arial"/>
        </w:rPr>
        <w:t xml:space="preserve">All statistical analyses were performed using </w:t>
      </w:r>
      <w:proofErr w:type="spellStart"/>
      <w:r w:rsidRPr="001B30F2">
        <w:rPr>
          <w:rFonts w:ascii="Arial" w:hAnsi="Arial" w:cs="Arial"/>
        </w:rPr>
        <w:t>GraphPad</w:t>
      </w:r>
      <w:proofErr w:type="spellEnd"/>
      <w:r w:rsidRPr="001B30F2">
        <w:rPr>
          <w:rFonts w:ascii="Arial" w:hAnsi="Arial" w:cs="Arial"/>
        </w:rPr>
        <w:t xml:space="preserve"> Prism (</w:t>
      </w:r>
      <w:proofErr w:type="spellStart"/>
      <w:r w:rsidRPr="001B30F2">
        <w:rPr>
          <w:rFonts w:ascii="Arial" w:hAnsi="Arial" w:cs="Arial"/>
        </w:rPr>
        <w:t>GraphPad</w:t>
      </w:r>
      <w:proofErr w:type="spellEnd"/>
      <w:r w:rsidRPr="001B30F2">
        <w:rPr>
          <w:rFonts w:ascii="Arial" w:hAnsi="Arial" w:cs="Arial"/>
        </w:rPr>
        <w:t xml:space="preserve"> Software, Boston, USA, </w:t>
      </w:r>
      <w:proofErr w:type="gramStart"/>
      <w:r w:rsidRPr="001B30F2">
        <w:rPr>
          <w:rFonts w:ascii="Arial" w:hAnsi="Arial" w:cs="Arial"/>
        </w:rPr>
        <w:t>RRID</w:t>
      </w:r>
      <w:proofErr w:type="gramEnd"/>
      <w:r w:rsidRPr="001B30F2">
        <w:rPr>
          <w:rFonts w:ascii="Arial" w:hAnsi="Arial" w:cs="Arial"/>
        </w:rPr>
        <w:t xml:space="preserve">: SCR_002798). The data were presented as mean +/- standard error. Normal distribution of results was tested with the Shapiro-Wilk test. For statistical analysis between two groups of normally distributed data, the unpaired Student’s </w:t>
      </w:r>
      <w:r w:rsidRPr="001B30F2">
        <w:rPr>
          <w:rFonts w:ascii="Arial" w:hAnsi="Arial" w:cs="Arial"/>
          <w:i/>
        </w:rPr>
        <w:t>t-test</w:t>
      </w:r>
      <w:r w:rsidRPr="001B30F2">
        <w:rPr>
          <w:rFonts w:ascii="Arial" w:hAnsi="Arial" w:cs="Arial"/>
        </w:rPr>
        <w:t xml:space="preserve">, and of non-normally distributed data or low sample numbers, the Mann-Whitney test was performed. For testing of statistical difference between more than two groups, the ordinary one-way ANOVA with Tukey’s multiple comparisons test was used for normally distributed data and the </w:t>
      </w:r>
      <w:proofErr w:type="spellStart"/>
      <w:r w:rsidRPr="001B30F2">
        <w:rPr>
          <w:rFonts w:ascii="Arial" w:hAnsi="Arial" w:cs="Arial"/>
        </w:rPr>
        <w:t>Kruskal</w:t>
      </w:r>
      <w:proofErr w:type="spellEnd"/>
      <w:r w:rsidRPr="001B30F2">
        <w:rPr>
          <w:rFonts w:ascii="Arial" w:hAnsi="Arial" w:cs="Arial"/>
        </w:rPr>
        <w:t>-Wallis test with Dunn’s multiple comparisons test for non-normally distributed data. Differences were considered statistically different at a level of p &lt; 0.05.</w:t>
      </w:r>
      <w:r>
        <w:rPr>
          <w:rFonts w:ascii="Arial" w:hAnsi="Arial" w:cs="Arial"/>
        </w:rPr>
        <w:tab/>
      </w:r>
    </w:p>
    <w:p w14:paraId="439619D6" w14:textId="77777777" w:rsidR="008D16BA" w:rsidRDefault="008D16BA" w:rsidP="006B1468">
      <w:pPr>
        <w:spacing w:line="360" w:lineRule="auto"/>
        <w:jc w:val="both"/>
        <w:rPr>
          <w:rFonts w:ascii="Arial" w:hAnsi="Arial" w:cs="Arial"/>
        </w:rPr>
      </w:pPr>
    </w:p>
    <w:p w14:paraId="752E2C19" w14:textId="7A80B61A" w:rsidR="008D16BA" w:rsidRPr="001760E5" w:rsidRDefault="008D16BA" w:rsidP="006B1468">
      <w:pPr>
        <w:spacing w:line="360" w:lineRule="auto"/>
        <w:jc w:val="both"/>
        <w:rPr>
          <w:rFonts w:ascii="Arial" w:hAnsi="Arial" w:cs="Arial"/>
          <w:b/>
          <w:bCs/>
          <w:lang w:val="de-DE"/>
        </w:rPr>
      </w:pPr>
      <w:r w:rsidRPr="001760E5">
        <w:rPr>
          <w:rFonts w:ascii="Arial" w:hAnsi="Arial" w:cs="Arial"/>
          <w:b/>
          <w:bCs/>
          <w:lang w:val="de-DE"/>
        </w:rPr>
        <w:lastRenderedPageBreak/>
        <w:t>References</w:t>
      </w:r>
      <w:r w:rsidR="001760E5" w:rsidRPr="001760E5">
        <w:rPr>
          <w:rFonts w:ascii="Arial" w:hAnsi="Arial" w:cs="Arial"/>
          <w:b/>
          <w:bCs/>
          <w:lang w:val="de-DE"/>
        </w:rPr>
        <w:t>:</w:t>
      </w:r>
    </w:p>
    <w:p w14:paraId="7C31F28B" w14:textId="77777777" w:rsidR="001760E5" w:rsidRPr="001760E5" w:rsidRDefault="008D16BA" w:rsidP="001760E5">
      <w:pPr>
        <w:pStyle w:val="Literaturverzeichnis"/>
      </w:pPr>
      <w:r>
        <w:fldChar w:fldCharType="begin"/>
      </w:r>
      <w:r w:rsidR="001760E5">
        <w:rPr>
          <w:lang w:val="de-DE"/>
        </w:rPr>
        <w:instrText xml:space="preserve"> ADDIN ZOTERO_BIBL {"uncited":[],"omitted":[],"custom":[]} CSL_BIBLIOGRAPHY </w:instrText>
      </w:r>
      <w:r>
        <w:fldChar w:fldCharType="separate"/>
      </w:r>
      <w:r w:rsidR="001760E5" w:rsidRPr="001760E5">
        <w:rPr>
          <w:lang w:val="de-DE"/>
        </w:rPr>
        <w:t>1.</w:t>
      </w:r>
      <w:r w:rsidR="001760E5" w:rsidRPr="001760E5">
        <w:rPr>
          <w:lang w:val="de-DE"/>
        </w:rPr>
        <w:tab/>
        <w:t xml:space="preserve">Aghdassi AA, John DS, Sendler M, Weiss FU, Reinheckel T, Mayerle J, et al. </w:t>
      </w:r>
      <w:r w:rsidR="001760E5" w:rsidRPr="001760E5">
        <w:t>Cathepsin D regulates cathepsin B activation and disease severity predominantly in inflammatory cells during experimental pancreatitis. J Biol Chem. 2018 Jan 1;293(3):1018–29. doi:10.1074/jbc.M117.814772</w:t>
      </w:r>
    </w:p>
    <w:p w14:paraId="2332C525" w14:textId="77777777" w:rsidR="001760E5" w:rsidRPr="001760E5" w:rsidRDefault="001760E5" w:rsidP="001760E5">
      <w:pPr>
        <w:pStyle w:val="Literaturverzeichnis"/>
      </w:pPr>
      <w:r w:rsidRPr="001760E5">
        <w:t>2.</w:t>
      </w:r>
      <w:r w:rsidRPr="001760E5">
        <w:tab/>
        <w:t>Towbin H, Staehelin T, Gordon J. Electrophoretic transfer of proteins from polyacrylamide gels to nitrocellulose sheets: procedure and some applications. Proc Natl Acad Sci U S A. 1979 Jan 1;76(9):4350–4. doi:10.1073/pnas.76.9.4350</w:t>
      </w:r>
    </w:p>
    <w:p w14:paraId="6DC1DFA6" w14:textId="77777777" w:rsidR="001760E5" w:rsidRPr="001760E5" w:rsidRDefault="001760E5" w:rsidP="001760E5">
      <w:pPr>
        <w:pStyle w:val="Literaturverzeichnis"/>
      </w:pPr>
      <w:r w:rsidRPr="001760E5">
        <w:t>3.</w:t>
      </w:r>
      <w:r w:rsidRPr="001760E5">
        <w:tab/>
        <w:t>Schindelin J, Arganda-Carreras I, Frise E, Kaynig V, Longair M, Pietzsch T, et al. Fiji: an open-source platform for biological-image analysis. Nat Methods. 2012 Jan 1;9(7):676–82. doi:10.1038/nmeth.2019</w:t>
      </w:r>
    </w:p>
    <w:p w14:paraId="41ADE0E2" w14:textId="77777777" w:rsidR="001760E5" w:rsidRPr="001760E5" w:rsidRDefault="001760E5" w:rsidP="001760E5">
      <w:pPr>
        <w:pStyle w:val="Literaturverzeichnis"/>
      </w:pPr>
      <w:r w:rsidRPr="001760E5">
        <w:t>4.</w:t>
      </w:r>
      <w:r w:rsidRPr="001760E5">
        <w:tab/>
        <w:t>Volzke H, Alte D, Schmidt CO, Radke D, Lorbeer R, Friedrich N, et al. Cohort Profile: The Study of Health in Pomerania. International Journal of Epidemiology. 2011 Apr 1;40(2):294–307. doi:10.1093/ije/dyp394</w:t>
      </w:r>
    </w:p>
    <w:p w14:paraId="4699286D" w14:textId="77777777" w:rsidR="001760E5" w:rsidRPr="001760E5" w:rsidRDefault="001760E5" w:rsidP="001760E5">
      <w:pPr>
        <w:pStyle w:val="Literaturverzeichnis"/>
      </w:pPr>
      <w:r w:rsidRPr="001760E5">
        <w:t>5.</w:t>
      </w:r>
      <w:r w:rsidRPr="001760E5">
        <w:tab/>
        <w:t>Adzhubei IA, Schmidt S, Peshkin L, Ramensky VE, Gerasimova A, Bork P, et al. A method and server for predicting damaging missense mutations. Nat Methods. 2010 Apr;7(4):248–9. doi:10.1038/nmeth0410-248</w:t>
      </w:r>
    </w:p>
    <w:p w14:paraId="237AC2BD" w14:textId="2107460B" w:rsidR="000F6C3B" w:rsidRPr="001B30F2" w:rsidRDefault="008D16BA" w:rsidP="001760E5">
      <w:pPr>
        <w:spacing w:line="240" w:lineRule="auto"/>
        <w:jc w:val="both"/>
        <w:rPr>
          <w:rFonts w:ascii="Arial" w:hAnsi="Arial" w:cs="Arial"/>
        </w:rPr>
      </w:pPr>
      <w:r>
        <w:rPr>
          <w:rFonts w:ascii="Arial" w:hAnsi="Arial" w:cs="Arial"/>
        </w:rPr>
        <w:fldChar w:fldCharType="end"/>
      </w:r>
      <w:r w:rsidR="000F6C3B" w:rsidRPr="001B30F2">
        <w:rPr>
          <w:rFonts w:ascii="Arial" w:hAnsi="Arial" w:cs="Arial"/>
        </w:rPr>
        <w:br/>
      </w:r>
    </w:p>
    <w:p w14:paraId="6F4CC8AC" w14:textId="0429261F" w:rsidR="00313191" w:rsidRDefault="00313191">
      <w:r>
        <w:br w:type="page"/>
      </w:r>
    </w:p>
    <w:p w14:paraId="39A8276A" w14:textId="3A55F3C0" w:rsidR="000F6C3B" w:rsidRPr="001B30F2" w:rsidRDefault="00313191">
      <w:r>
        <w:rPr>
          <w:noProof/>
          <w:lang w:val="de-DE" w:eastAsia="de-DE"/>
        </w:rPr>
        <w:lastRenderedPageBreak/>
        <w:drawing>
          <wp:inline distT="0" distB="0" distL="0" distR="0" wp14:anchorId="0E74E385" wp14:editId="34BD63C1">
            <wp:extent cx="5972810" cy="4410014"/>
            <wp:effectExtent l="0" t="0" r="0" b="0"/>
            <wp:docPr id="28875039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72810" cy="4410014"/>
                    </a:xfrm>
                    <a:prstGeom prst="rect">
                      <a:avLst/>
                    </a:prstGeom>
                    <a:noFill/>
                  </pic:spPr>
                </pic:pic>
              </a:graphicData>
            </a:graphic>
          </wp:inline>
        </w:drawing>
      </w:r>
    </w:p>
    <w:p w14:paraId="708CABDA" w14:textId="284D84C9" w:rsidR="00053282" w:rsidRPr="001B30F2" w:rsidRDefault="00BB3274" w:rsidP="00053282">
      <w:pPr>
        <w:spacing w:after="0" w:line="360" w:lineRule="auto"/>
        <w:jc w:val="both"/>
        <w:rPr>
          <w:rFonts w:ascii="Arial" w:eastAsia="+mn-ea" w:hAnsi="Arial" w:cs="Arial"/>
          <w:kern w:val="24"/>
          <w:szCs w:val="20"/>
        </w:rPr>
      </w:pPr>
      <w:r>
        <w:rPr>
          <w:rFonts w:ascii="Arial" w:eastAsia="+mn-ea" w:hAnsi="Arial" w:cs="Arial"/>
          <w:b/>
          <w:kern w:val="24"/>
          <w:szCs w:val="20"/>
        </w:rPr>
        <w:t>Fig</w:t>
      </w:r>
      <w:r w:rsidR="00420CD8">
        <w:rPr>
          <w:rFonts w:ascii="Arial" w:eastAsia="+mn-ea" w:hAnsi="Arial" w:cs="Arial"/>
          <w:b/>
          <w:kern w:val="24"/>
          <w:szCs w:val="20"/>
        </w:rPr>
        <w:t>.</w:t>
      </w:r>
      <w:r>
        <w:rPr>
          <w:rFonts w:ascii="Arial" w:eastAsia="+mn-ea" w:hAnsi="Arial" w:cs="Arial"/>
          <w:b/>
          <w:kern w:val="24"/>
          <w:szCs w:val="20"/>
        </w:rPr>
        <w:t xml:space="preserve"> S</w:t>
      </w:r>
      <w:r w:rsidR="00053282" w:rsidRPr="001B30F2">
        <w:rPr>
          <w:rFonts w:ascii="Arial" w:eastAsia="+mn-ea" w:hAnsi="Arial" w:cs="Arial"/>
          <w:b/>
          <w:kern w:val="24"/>
          <w:szCs w:val="20"/>
        </w:rPr>
        <w:t xml:space="preserve">1: </w:t>
      </w:r>
      <w:r w:rsidR="00053282" w:rsidRPr="001B30F2">
        <w:rPr>
          <w:rFonts w:ascii="Arial" w:eastAsia="+mn-ea" w:hAnsi="Arial" w:cs="Arial"/>
          <w:kern w:val="24"/>
          <w:szCs w:val="20"/>
        </w:rPr>
        <w:t xml:space="preserve">Characterization of the pancreas and liver of CLN8-deficient mice. </w:t>
      </w:r>
      <w:r w:rsidR="00053282" w:rsidRPr="001B30F2">
        <w:rPr>
          <w:rFonts w:ascii="Arial" w:eastAsia="+mn-ea" w:hAnsi="Arial" w:cs="Arial"/>
          <w:b/>
          <w:bCs/>
          <w:kern w:val="24"/>
          <w:szCs w:val="20"/>
        </w:rPr>
        <w:t xml:space="preserve">a: </w:t>
      </w:r>
      <w:r w:rsidR="00053282" w:rsidRPr="001B30F2">
        <w:rPr>
          <w:rFonts w:ascii="Arial" w:eastAsia="+mn-ea" w:hAnsi="Arial" w:cs="Arial"/>
          <w:kern w:val="24"/>
          <w:szCs w:val="20"/>
        </w:rPr>
        <w:t>Immunoblot analysis of pancreas homogenates of unstimulated CLN8-competent wild type mice (WT) and CLN8-deficient mice (CLN8</w:t>
      </w:r>
      <w:r w:rsidR="00053282" w:rsidRPr="001B30F2">
        <w:rPr>
          <w:rFonts w:ascii="Arial" w:hAnsi="Arial" w:cs="Arial"/>
          <w:vertAlign w:val="superscript"/>
        </w:rPr>
        <w:t>-/-</w:t>
      </w:r>
      <w:r w:rsidR="00053282" w:rsidRPr="001B30F2">
        <w:rPr>
          <w:rFonts w:ascii="Arial" w:eastAsia="+mn-ea" w:hAnsi="Arial" w:cs="Arial"/>
          <w:kern w:val="24"/>
          <w:szCs w:val="20"/>
        </w:rPr>
        <w:t xml:space="preserve">) showed no differences in trypsin, </w:t>
      </w:r>
      <w:proofErr w:type="spellStart"/>
      <w:r w:rsidR="00053282" w:rsidRPr="001B30F2">
        <w:rPr>
          <w:rFonts w:ascii="Arial" w:eastAsia="+mn-ea" w:hAnsi="Arial" w:cs="Arial"/>
          <w:kern w:val="24"/>
          <w:szCs w:val="20"/>
        </w:rPr>
        <w:t>cathepsin</w:t>
      </w:r>
      <w:proofErr w:type="spellEnd"/>
      <w:r w:rsidR="00053282" w:rsidRPr="001B30F2">
        <w:rPr>
          <w:rFonts w:ascii="Arial" w:eastAsia="+mn-ea" w:hAnsi="Arial" w:cs="Arial"/>
          <w:kern w:val="24"/>
          <w:szCs w:val="20"/>
        </w:rPr>
        <w:t xml:space="preserve"> B (CTSB), </w:t>
      </w:r>
      <w:proofErr w:type="spellStart"/>
      <w:r w:rsidR="00053282" w:rsidRPr="001B30F2">
        <w:rPr>
          <w:rFonts w:ascii="Arial" w:eastAsia="+mn-ea" w:hAnsi="Arial" w:cs="Arial"/>
          <w:kern w:val="24"/>
          <w:szCs w:val="20"/>
        </w:rPr>
        <w:t>cathepsin</w:t>
      </w:r>
      <w:proofErr w:type="spellEnd"/>
      <w:r w:rsidR="00053282" w:rsidRPr="001B30F2">
        <w:rPr>
          <w:rFonts w:ascii="Arial" w:eastAsia="+mn-ea" w:hAnsi="Arial" w:cs="Arial"/>
          <w:kern w:val="24"/>
          <w:szCs w:val="20"/>
        </w:rPr>
        <w:t xml:space="preserve"> D (CTSD), and LIMP-II expression despite absence of CLN8. </w:t>
      </w:r>
      <w:r w:rsidR="00053282" w:rsidRPr="001B30F2">
        <w:rPr>
          <w:rFonts w:ascii="Arial" w:eastAsia="+mn-ea" w:hAnsi="Arial" w:cs="Arial"/>
          <w:b/>
          <w:kern w:val="24"/>
          <w:szCs w:val="20"/>
        </w:rPr>
        <w:t>b.</w:t>
      </w:r>
      <w:r w:rsidR="00053282" w:rsidRPr="001B30F2">
        <w:rPr>
          <w:rFonts w:ascii="Arial" w:eastAsia="+mn-ea" w:hAnsi="Arial" w:cs="Arial"/>
          <w:kern w:val="24"/>
          <w:szCs w:val="20"/>
        </w:rPr>
        <w:t xml:space="preserve"> Immunoblot analysis of liver homogenates of WT and CLN8-deficient mice showed no differences in CTSB and CTSD expression. </w:t>
      </w:r>
      <w:proofErr w:type="gramStart"/>
      <w:r w:rsidR="00053282" w:rsidRPr="001B30F2">
        <w:rPr>
          <w:rFonts w:ascii="Arial" w:eastAsia="+mn-ea" w:hAnsi="Arial" w:cs="Arial"/>
          <w:b/>
          <w:bCs/>
          <w:kern w:val="24"/>
          <w:szCs w:val="20"/>
        </w:rPr>
        <w:t>c</w:t>
      </w:r>
      <w:proofErr w:type="gramEnd"/>
      <w:r w:rsidR="00053282" w:rsidRPr="001B30F2">
        <w:rPr>
          <w:rFonts w:ascii="Arial" w:eastAsia="+mn-ea" w:hAnsi="Arial" w:cs="Arial"/>
          <w:b/>
          <w:bCs/>
          <w:kern w:val="24"/>
          <w:szCs w:val="20"/>
        </w:rPr>
        <w:t xml:space="preserve">: </w:t>
      </w:r>
      <w:proofErr w:type="spellStart"/>
      <w:r w:rsidR="00053282" w:rsidRPr="001B30F2">
        <w:rPr>
          <w:rFonts w:ascii="Arial" w:eastAsia="+mn-ea" w:hAnsi="Arial" w:cs="Arial"/>
          <w:kern w:val="24"/>
          <w:szCs w:val="20"/>
        </w:rPr>
        <w:t>Immunohistochemical</w:t>
      </w:r>
      <w:proofErr w:type="spellEnd"/>
      <w:r w:rsidR="00053282" w:rsidRPr="001B30F2">
        <w:rPr>
          <w:rFonts w:ascii="Arial" w:eastAsia="+mn-ea" w:hAnsi="Arial" w:cs="Arial"/>
          <w:kern w:val="24"/>
          <w:szCs w:val="20"/>
        </w:rPr>
        <w:t xml:space="preserve"> staining in paraffin-embedded slides of pancreatic tissue confirmed CLN8 knockout in CLN8-deficient mice. Gross histology was normal. </w:t>
      </w:r>
      <w:proofErr w:type="gramStart"/>
      <w:r w:rsidR="00053282" w:rsidRPr="001B30F2">
        <w:rPr>
          <w:rFonts w:ascii="Arial" w:eastAsia="+mn-ea" w:hAnsi="Arial" w:cs="Arial"/>
          <w:b/>
          <w:bCs/>
          <w:kern w:val="24"/>
          <w:szCs w:val="20"/>
        </w:rPr>
        <w:t>d</w:t>
      </w:r>
      <w:proofErr w:type="gramEnd"/>
      <w:r w:rsidR="00053282" w:rsidRPr="001B30F2">
        <w:rPr>
          <w:rFonts w:ascii="Arial" w:eastAsia="+mn-ea" w:hAnsi="Arial" w:cs="Arial"/>
          <w:b/>
          <w:bCs/>
          <w:kern w:val="24"/>
          <w:szCs w:val="20"/>
        </w:rPr>
        <w:t xml:space="preserve">: </w:t>
      </w:r>
      <w:r w:rsidR="00053282" w:rsidRPr="001B30F2">
        <w:rPr>
          <w:rFonts w:ascii="Arial" w:eastAsia="+mn-ea" w:hAnsi="Arial" w:cs="Arial"/>
          <w:bCs/>
          <w:kern w:val="24"/>
          <w:szCs w:val="20"/>
        </w:rPr>
        <w:t>CTSB, lipase and amyl</w:t>
      </w:r>
      <w:r w:rsidR="00053282" w:rsidRPr="001B30F2">
        <w:rPr>
          <w:rFonts w:ascii="Arial" w:eastAsia="+mn-ea" w:hAnsi="Arial" w:cs="Arial"/>
          <w:bCs/>
          <w:kern w:val="24"/>
          <w:szCs w:val="20"/>
        </w:rPr>
        <w:lastRenderedPageBreak/>
        <w:t>ase activity as well as total</w:t>
      </w:r>
      <w:r w:rsidR="00053282" w:rsidRPr="001B30F2">
        <w:rPr>
          <w:rFonts w:ascii="Arial" w:eastAsia="+mn-ea" w:hAnsi="Arial" w:cs="Arial"/>
          <w:b/>
          <w:bCs/>
          <w:kern w:val="24"/>
          <w:szCs w:val="20"/>
        </w:rPr>
        <w:t xml:space="preserve"> </w:t>
      </w:r>
      <w:r w:rsidR="00053282" w:rsidRPr="001B30F2">
        <w:rPr>
          <w:rFonts w:ascii="Arial" w:eastAsia="+mn-ea" w:hAnsi="Arial" w:cs="Arial"/>
          <w:kern w:val="24"/>
          <w:szCs w:val="20"/>
        </w:rPr>
        <w:t xml:space="preserve">trypsin activity after </w:t>
      </w:r>
      <w:proofErr w:type="spellStart"/>
      <w:r w:rsidR="00053282" w:rsidRPr="001B30F2">
        <w:rPr>
          <w:rFonts w:ascii="Arial" w:eastAsia="+mn-ea" w:hAnsi="Arial" w:cs="Arial"/>
          <w:kern w:val="24"/>
          <w:szCs w:val="20"/>
        </w:rPr>
        <w:t>enterokinase</w:t>
      </w:r>
      <w:proofErr w:type="spellEnd"/>
      <w:r w:rsidR="00053282" w:rsidRPr="001B30F2">
        <w:rPr>
          <w:rFonts w:ascii="Arial" w:eastAsia="+mn-ea" w:hAnsi="Arial" w:cs="Arial"/>
          <w:kern w:val="24"/>
          <w:szCs w:val="20"/>
        </w:rPr>
        <w:t xml:space="preserve"> incubation in pancreas homogenates displayed no differences despite CLN8 knockout. At least six animals were used for these experiments and the measurements were performed in triplicates. Values are mean +/- SEM. * denotes p &lt; 0.05</w:t>
      </w:r>
    </w:p>
    <w:p w14:paraId="5FA9BD49" w14:textId="60A8B4C9" w:rsidR="00313191" w:rsidRDefault="00313191">
      <w:pPr>
        <w:rPr>
          <w:rFonts w:ascii="Arial" w:eastAsia="+mn-ea" w:hAnsi="Arial" w:cs="Arial"/>
          <w:b/>
          <w:kern w:val="24"/>
          <w:szCs w:val="20"/>
        </w:rPr>
      </w:pPr>
      <w:r>
        <w:rPr>
          <w:rFonts w:ascii="Arial" w:eastAsia="+mn-ea" w:hAnsi="Arial" w:cs="Arial"/>
          <w:b/>
          <w:kern w:val="24"/>
          <w:szCs w:val="20"/>
        </w:rPr>
        <w:br w:type="page"/>
      </w:r>
    </w:p>
    <w:p w14:paraId="432C5C69" w14:textId="68C1EB3C" w:rsidR="00053282" w:rsidRPr="001B30F2" w:rsidRDefault="00313191" w:rsidP="00053282">
      <w:pPr>
        <w:spacing w:after="0" w:line="360" w:lineRule="auto"/>
        <w:jc w:val="both"/>
        <w:rPr>
          <w:rFonts w:ascii="Arial" w:eastAsia="+mn-ea" w:hAnsi="Arial" w:cs="Arial"/>
          <w:b/>
          <w:kern w:val="24"/>
          <w:szCs w:val="20"/>
        </w:rPr>
      </w:pPr>
      <w:r>
        <w:rPr>
          <w:rFonts w:ascii="Arial" w:eastAsia="+mn-ea" w:hAnsi="Arial" w:cs="Arial"/>
          <w:b/>
          <w:noProof/>
          <w:color w:val="EE0000"/>
          <w:kern w:val="24"/>
          <w:szCs w:val="20"/>
          <w:lang w:val="de-DE" w:eastAsia="de-DE"/>
        </w:rPr>
        <w:lastRenderedPageBreak/>
        <w:drawing>
          <wp:inline distT="0" distB="0" distL="0" distR="0" wp14:anchorId="726A58CD" wp14:editId="74DDA1E9">
            <wp:extent cx="3225165" cy="1908175"/>
            <wp:effectExtent l="0" t="0" r="0" b="0"/>
            <wp:docPr id="153281215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5165" cy="1908175"/>
                    </a:xfrm>
                    <a:prstGeom prst="rect">
                      <a:avLst/>
                    </a:prstGeom>
                    <a:noFill/>
                  </pic:spPr>
                </pic:pic>
              </a:graphicData>
            </a:graphic>
          </wp:inline>
        </w:drawing>
      </w:r>
    </w:p>
    <w:p w14:paraId="0DCF735D" w14:textId="185AF6FA" w:rsidR="00313191" w:rsidRDefault="00BB3274" w:rsidP="00053282">
      <w:pPr>
        <w:spacing w:after="0" w:line="360" w:lineRule="auto"/>
        <w:jc w:val="both"/>
        <w:rPr>
          <w:rFonts w:ascii="Arial" w:eastAsia="+mn-ea" w:hAnsi="Arial" w:cs="Arial"/>
          <w:kern w:val="24"/>
          <w:szCs w:val="20"/>
        </w:rPr>
      </w:pPr>
      <w:r>
        <w:rPr>
          <w:rFonts w:ascii="Arial" w:eastAsia="+mn-ea" w:hAnsi="Arial" w:cs="Arial"/>
          <w:b/>
          <w:kern w:val="24"/>
          <w:szCs w:val="20"/>
        </w:rPr>
        <w:t>Fig</w:t>
      </w:r>
      <w:r w:rsidR="00420CD8">
        <w:rPr>
          <w:rFonts w:ascii="Arial" w:eastAsia="+mn-ea" w:hAnsi="Arial" w:cs="Arial"/>
          <w:b/>
          <w:kern w:val="24"/>
          <w:szCs w:val="20"/>
        </w:rPr>
        <w:t>.</w:t>
      </w:r>
      <w:r>
        <w:rPr>
          <w:rFonts w:ascii="Arial" w:eastAsia="+mn-ea" w:hAnsi="Arial" w:cs="Arial"/>
          <w:b/>
          <w:kern w:val="24"/>
          <w:szCs w:val="20"/>
        </w:rPr>
        <w:t xml:space="preserve"> S</w:t>
      </w:r>
      <w:r w:rsidR="00053282" w:rsidRPr="001B30F2">
        <w:rPr>
          <w:rFonts w:ascii="Arial" w:eastAsia="+mn-ea" w:hAnsi="Arial" w:cs="Arial"/>
          <w:b/>
          <w:kern w:val="24"/>
          <w:szCs w:val="20"/>
        </w:rPr>
        <w:t xml:space="preserve">2: </w:t>
      </w:r>
      <w:proofErr w:type="spellStart"/>
      <w:r w:rsidR="00053282" w:rsidRPr="001B30F2">
        <w:rPr>
          <w:rFonts w:ascii="Arial" w:eastAsia="+mn-ea" w:hAnsi="Arial" w:cs="Arial"/>
          <w:kern w:val="24"/>
          <w:szCs w:val="20"/>
        </w:rPr>
        <w:t>Tunel</w:t>
      </w:r>
      <w:proofErr w:type="spellEnd"/>
      <w:r w:rsidR="00053282" w:rsidRPr="001B30F2">
        <w:rPr>
          <w:rFonts w:ascii="Arial" w:eastAsia="+mn-ea" w:hAnsi="Arial" w:cs="Arial"/>
          <w:kern w:val="24"/>
          <w:szCs w:val="20"/>
        </w:rPr>
        <w:t xml:space="preserve"> staining of paraffin-embedded pancreatic tissues of WT and CLN8-deficient mice at 0 h and 8 h acute pancreatitis followed by quantification showed an increased number of apoptotic cells at 8 h acute pancreatitis in the CLN8</w:t>
      </w:r>
      <w:r w:rsidR="00053282" w:rsidRPr="001B30F2">
        <w:rPr>
          <w:rFonts w:ascii="Arial" w:eastAsia="+mn-ea" w:hAnsi="Arial" w:cs="Arial"/>
          <w:kern w:val="24"/>
          <w:szCs w:val="20"/>
          <w:vertAlign w:val="superscript"/>
        </w:rPr>
        <w:t>-/-</w:t>
      </w:r>
      <w:r w:rsidR="00053282" w:rsidRPr="001B30F2">
        <w:rPr>
          <w:rFonts w:ascii="Arial" w:eastAsia="+mn-ea" w:hAnsi="Arial" w:cs="Arial"/>
          <w:kern w:val="24"/>
          <w:szCs w:val="20"/>
        </w:rPr>
        <w:t xml:space="preserve"> mice. Six animals were used for this experiment. Values are mean +/- SEM. * denotes p &lt; 0.05.</w:t>
      </w:r>
    </w:p>
    <w:p w14:paraId="3EA8A819" w14:textId="77777777" w:rsidR="00313191" w:rsidRDefault="00313191">
      <w:pPr>
        <w:rPr>
          <w:rFonts w:ascii="Arial" w:eastAsia="+mn-ea" w:hAnsi="Arial" w:cs="Arial"/>
          <w:kern w:val="24"/>
          <w:szCs w:val="20"/>
        </w:rPr>
      </w:pPr>
      <w:r>
        <w:rPr>
          <w:rFonts w:ascii="Arial" w:eastAsia="+mn-ea" w:hAnsi="Arial" w:cs="Arial"/>
          <w:kern w:val="24"/>
          <w:szCs w:val="20"/>
        </w:rPr>
        <w:br w:type="page"/>
      </w:r>
    </w:p>
    <w:p w14:paraId="6A896217" w14:textId="5702D402" w:rsidR="00053282" w:rsidRPr="001B30F2" w:rsidRDefault="00313191" w:rsidP="00053282">
      <w:pPr>
        <w:spacing w:after="0" w:line="360" w:lineRule="auto"/>
        <w:jc w:val="both"/>
        <w:rPr>
          <w:rFonts w:ascii="Arial" w:eastAsia="+mn-ea" w:hAnsi="Arial" w:cs="Arial"/>
          <w:b/>
          <w:kern w:val="24"/>
          <w:szCs w:val="20"/>
        </w:rPr>
      </w:pPr>
      <w:r>
        <w:rPr>
          <w:rFonts w:ascii="Arial" w:eastAsia="+mn-ea" w:hAnsi="Arial" w:cs="Arial"/>
          <w:b/>
          <w:noProof/>
          <w:color w:val="EE0000"/>
          <w:kern w:val="24"/>
          <w:szCs w:val="20"/>
          <w:lang w:val="de-DE" w:eastAsia="de-DE"/>
        </w:rPr>
        <w:lastRenderedPageBreak/>
        <w:drawing>
          <wp:inline distT="0" distB="0" distL="0" distR="0" wp14:anchorId="228C355B" wp14:editId="442C6769">
            <wp:extent cx="5972810" cy="5138822"/>
            <wp:effectExtent l="0" t="0" r="8890" b="0"/>
            <wp:docPr id="155160215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72810" cy="5138822"/>
                    </a:xfrm>
                    <a:prstGeom prst="rect">
                      <a:avLst/>
                    </a:prstGeom>
                    <a:noFill/>
                  </pic:spPr>
                </pic:pic>
              </a:graphicData>
            </a:graphic>
          </wp:inline>
        </w:drawing>
      </w:r>
    </w:p>
    <w:p w14:paraId="122E5C66" w14:textId="0833E4A5" w:rsidR="00313191" w:rsidRDefault="00BB3274" w:rsidP="00053282">
      <w:pPr>
        <w:spacing w:after="0" w:line="360" w:lineRule="auto"/>
        <w:jc w:val="both"/>
        <w:rPr>
          <w:rFonts w:ascii="Arial" w:eastAsia="+mn-ea" w:hAnsi="Arial" w:cs="Arial"/>
          <w:kern w:val="24"/>
          <w:szCs w:val="20"/>
        </w:rPr>
      </w:pPr>
      <w:r>
        <w:rPr>
          <w:rFonts w:ascii="Arial" w:eastAsia="+mn-ea" w:hAnsi="Arial" w:cs="Arial"/>
          <w:b/>
          <w:kern w:val="24"/>
          <w:szCs w:val="20"/>
        </w:rPr>
        <w:t>Fig</w:t>
      </w:r>
      <w:r w:rsidR="00420CD8">
        <w:rPr>
          <w:rFonts w:ascii="Arial" w:eastAsia="+mn-ea" w:hAnsi="Arial" w:cs="Arial"/>
          <w:b/>
          <w:kern w:val="24"/>
          <w:szCs w:val="20"/>
        </w:rPr>
        <w:t>.</w:t>
      </w:r>
      <w:r>
        <w:rPr>
          <w:rFonts w:ascii="Arial" w:eastAsia="+mn-ea" w:hAnsi="Arial" w:cs="Arial"/>
          <w:b/>
          <w:kern w:val="24"/>
          <w:szCs w:val="20"/>
        </w:rPr>
        <w:t xml:space="preserve"> S</w:t>
      </w:r>
      <w:r w:rsidR="00053282" w:rsidRPr="001B30F2">
        <w:rPr>
          <w:rFonts w:ascii="Arial" w:eastAsia="+mn-ea" w:hAnsi="Arial" w:cs="Arial"/>
          <w:b/>
          <w:kern w:val="24"/>
          <w:szCs w:val="20"/>
        </w:rPr>
        <w:t xml:space="preserve">3: </w:t>
      </w:r>
      <w:r w:rsidR="00053282" w:rsidRPr="001B30F2">
        <w:rPr>
          <w:rFonts w:ascii="Arial" w:eastAsia="+mn-ea" w:hAnsi="Arial" w:cs="Arial"/>
          <w:bCs/>
          <w:kern w:val="24"/>
          <w:szCs w:val="20"/>
        </w:rPr>
        <w:t xml:space="preserve">Analysis of </w:t>
      </w:r>
      <w:r w:rsidR="00053282" w:rsidRPr="001B30F2">
        <w:rPr>
          <w:rFonts w:ascii="Arial" w:eastAsia="+mn-ea" w:hAnsi="Arial" w:cs="Arial"/>
          <w:kern w:val="24"/>
          <w:szCs w:val="20"/>
        </w:rPr>
        <w:t xml:space="preserve">mRNA expression by qPCR of acinar cells, illustrated a significantly upregulated expression of the autophagy-related genes </w:t>
      </w:r>
      <w:r w:rsidR="00053282" w:rsidRPr="001B30F2">
        <w:rPr>
          <w:rFonts w:ascii="Arial" w:eastAsia="+mn-ea" w:hAnsi="Arial" w:cs="Arial"/>
          <w:i/>
          <w:kern w:val="24"/>
          <w:szCs w:val="20"/>
        </w:rPr>
        <w:t xml:space="preserve">Atg3, Atg5, Atg7, Atg10, Becn1, </w:t>
      </w:r>
      <w:r w:rsidR="00053282" w:rsidRPr="001B30F2">
        <w:rPr>
          <w:rFonts w:ascii="Arial" w:eastAsia="+mn-ea" w:hAnsi="Arial" w:cs="Arial"/>
          <w:kern w:val="24"/>
          <w:szCs w:val="20"/>
        </w:rPr>
        <w:t xml:space="preserve">and </w:t>
      </w:r>
      <w:r w:rsidR="00053282" w:rsidRPr="001B30F2">
        <w:rPr>
          <w:rFonts w:ascii="Arial" w:eastAsia="+mn-ea" w:hAnsi="Arial" w:cs="Arial"/>
          <w:i/>
          <w:kern w:val="24"/>
          <w:szCs w:val="20"/>
        </w:rPr>
        <w:t>Becn2</w:t>
      </w:r>
      <w:r w:rsidR="00053282" w:rsidRPr="001B30F2">
        <w:rPr>
          <w:rFonts w:ascii="Arial" w:eastAsia="+mn-ea" w:hAnsi="Arial" w:cs="Arial"/>
          <w:kern w:val="24"/>
          <w:szCs w:val="20"/>
        </w:rPr>
        <w:t xml:space="preserve"> in CLN8-deficient acinar cells (CLN8</w:t>
      </w:r>
      <w:r w:rsidR="00053282" w:rsidRPr="001B30F2">
        <w:rPr>
          <w:rFonts w:ascii="Arial" w:eastAsia="+mn-ea" w:hAnsi="Arial" w:cs="Arial"/>
          <w:kern w:val="24"/>
          <w:szCs w:val="20"/>
          <w:vertAlign w:val="superscript"/>
        </w:rPr>
        <w:t>-/-</w:t>
      </w:r>
      <w:r w:rsidR="00053282" w:rsidRPr="001B30F2">
        <w:rPr>
          <w:rFonts w:ascii="Arial" w:eastAsia="+mn-ea" w:hAnsi="Arial" w:cs="Arial"/>
          <w:kern w:val="24"/>
          <w:szCs w:val="20"/>
        </w:rPr>
        <w:t xml:space="preserve">) compared to WT. Similar results were obtained for the </w:t>
      </w:r>
      <w:proofErr w:type="spellStart"/>
      <w:r w:rsidR="00053282" w:rsidRPr="001B30F2">
        <w:rPr>
          <w:rFonts w:ascii="Arial" w:eastAsia="+mn-ea" w:hAnsi="Arial" w:cs="Arial"/>
          <w:kern w:val="24"/>
          <w:szCs w:val="20"/>
        </w:rPr>
        <w:t>mitophagy</w:t>
      </w:r>
      <w:proofErr w:type="spellEnd"/>
      <w:r w:rsidR="00053282" w:rsidRPr="001B30F2">
        <w:rPr>
          <w:rFonts w:ascii="Arial" w:eastAsia="+mn-ea" w:hAnsi="Arial" w:cs="Arial"/>
          <w:kern w:val="24"/>
          <w:szCs w:val="20"/>
        </w:rPr>
        <w:t xml:space="preserve">-related genes </w:t>
      </w:r>
      <w:r w:rsidR="00053282" w:rsidRPr="001B30F2">
        <w:rPr>
          <w:rFonts w:ascii="Arial" w:eastAsia="+mn-ea" w:hAnsi="Arial" w:cs="Arial"/>
          <w:i/>
          <w:kern w:val="24"/>
          <w:szCs w:val="20"/>
        </w:rPr>
        <w:t xml:space="preserve">Pink1 </w:t>
      </w:r>
      <w:r w:rsidR="00053282" w:rsidRPr="001B30F2">
        <w:rPr>
          <w:rFonts w:ascii="Arial" w:eastAsia="+mn-ea" w:hAnsi="Arial" w:cs="Arial"/>
          <w:kern w:val="24"/>
          <w:szCs w:val="20"/>
        </w:rPr>
        <w:t xml:space="preserve">and </w:t>
      </w:r>
      <w:proofErr w:type="spellStart"/>
      <w:r w:rsidR="00053282" w:rsidRPr="001B30F2">
        <w:rPr>
          <w:rFonts w:ascii="Arial" w:eastAsia="+mn-ea" w:hAnsi="Arial" w:cs="Arial"/>
          <w:i/>
          <w:kern w:val="24"/>
          <w:szCs w:val="20"/>
        </w:rPr>
        <w:t>Prkn</w:t>
      </w:r>
      <w:proofErr w:type="spellEnd"/>
      <w:r w:rsidR="00053282" w:rsidRPr="001B30F2">
        <w:rPr>
          <w:rFonts w:ascii="Arial" w:eastAsia="+mn-ea" w:hAnsi="Arial" w:cs="Arial"/>
          <w:iCs/>
          <w:kern w:val="24"/>
          <w:szCs w:val="20"/>
        </w:rPr>
        <w:t>.</w:t>
      </w:r>
      <w:r w:rsidR="00053282" w:rsidRPr="001B30F2">
        <w:rPr>
          <w:rFonts w:ascii="Arial" w:eastAsia="+mn-ea" w:hAnsi="Arial" w:cs="Arial"/>
          <w:kern w:val="24"/>
          <w:szCs w:val="20"/>
        </w:rPr>
        <w:t xml:space="preserve"> Addition of </w:t>
      </w:r>
      <w:proofErr w:type="spellStart"/>
      <w:r w:rsidR="00053282" w:rsidRPr="001B30F2">
        <w:rPr>
          <w:rFonts w:ascii="Arial" w:eastAsia="+mn-ea" w:hAnsi="Arial" w:cs="Arial"/>
          <w:kern w:val="24"/>
          <w:szCs w:val="20"/>
        </w:rPr>
        <w:t>morin</w:t>
      </w:r>
      <w:proofErr w:type="spellEnd"/>
      <w:r w:rsidR="00053282" w:rsidRPr="001B30F2">
        <w:rPr>
          <w:rFonts w:ascii="Arial" w:eastAsia="+mn-ea" w:hAnsi="Arial" w:cs="Arial"/>
          <w:kern w:val="24"/>
          <w:szCs w:val="20"/>
        </w:rPr>
        <w:t xml:space="preserve"> markedly reduced the mRNA expression in CLN8-deficient cells. This reduction was much stronger than in wild types. Six animals were used for each experiment and measurements were performed in triplicates. Values are mean +/- SEM. * denotes p &lt; 0.05.</w:t>
      </w:r>
    </w:p>
    <w:p w14:paraId="5601EE44" w14:textId="77777777" w:rsidR="00313191" w:rsidRDefault="00313191">
      <w:pPr>
        <w:rPr>
          <w:rFonts w:ascii="Arial" w:eastAsia="+mn-ea" w:hAnsi="Arial" w:cs="Arial"/>
          <w:kern w:val="24"/>
          <w:szCs w:val="20"/>
        </w:rPr>
      </w:pPr>
      <w:r>
        <w:rPr>
          <w:rFonts w:ascii="Arial" w:eastAsia="+mn-ea" w:hAnsi="Arial" w:cs="Arial"/>
          <w:kern w:val="24"/>
          <w:szCs w:val="20"/>
        </w:rPr>
        <w:lastRenderedPageBreak/>
        <w:br w:type="page"/>
      </w:r>
    </w:p>
    <w:p w14:paraId="560D50F1" w14:textId="66124DE7" w:rsidR="00053282" w:rsidRPr="001B30F2" w:rsidRDefault="00313191" w:rsidP="00053282">
      <w:pPr>
        <w:spacing w:after="0" w:line="360" w:lineRule="auto"/>
        <w:jc w:val="both"/>
        <w:rPr>
          <w:rFonts w:ascii="Arial" w:eastAsia="+mn-ea" w:hAnsi="Arial" w:cs="Arial"/>
          <w:kern w:val="24"/>
          <w:szCs w:val="20"/>
        </w:rPr>
      </w:pPr>
      <w:r>
        <w:rPr>
          <w:rFonts w:ascii="Arial" w:eastAsia="+mn-ea" w:hAnsi="Arial" w:cs="Arial"/>
          <w:noProof/>
          <w:color w:val="EE0000"/>
          <w:kern w:val="24"/>
          <w:szCs w:val="20"/>
          <w:lang w:val="de-DE" w:eastAsia="de-DE"/>
        </w:rPr>
        <w:lastRenderedPageBreak/>
        <w:drawing>
          <wp:inline distT="0" distB="0" distL="0" distR="0" wp14:anchorId="67439518" wp14:editId="24B72D58">
            <wp:extent cx="4290482" cy="5692140"/>
            <wp:effectExtent l="0" t="0" r="0" b="0"/>
            <wp:docPr id="83092808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19673" cy="5730867"/>
                    </a:xfrm>
                    <a:prstGeom prst="rect">
                      <a:avLst/>
                    </a:prstGeom>
                    <a:noFill/>
                  </pic:spPr>
                </pic:pic>
              </a:graphicData>
            </a:graphic>
          </wp:inline>
        </w:drawing>
      </w:r>
    </w:p>
    <w:p w14:paraId="179B80CF" w14:textId="6DC05715" w:rsidR="00053282" w:rsidRPr="001B30F2" w:rsidRDefault="00BB3274" w:rsidP="00053282">
      <w:pPr>
        <w:spacing w:after="0" w:line="360" w:lineRule="auto"/>
        <w:jc w:val="both"/>
        <w:rPr>
          <w:rFonts w:ascii="Arial" w:eastAsia="+mn-ea" w:hAnsi="Arial" w:cs="Arial"/>
          <w:b/>
          <w:kern w:val="24"/>
          <w:szCs w:val="20"/>
        </w:rPr>
      </w:pPr>
      <w:r>
        <w:rPr>
          <w:rFonts w:ascii="Arial" w:eastAsia="+mn-ea" w:hAnsi="Arial" w:cs="Arial"/>
          <w:b/>
          <w:kern w:val="24"/>
          <w:szCs w:val="20"/>
        </w:rPr>
        <w:t>Fig</w:t>
      </w:r>
      <w:r w:rsidR="00420CD8">
        <w:rPr>
          <w:rFonts w:ascii="Arial" w:eastAsia="+mn-ea" w:hAnsi="Arial" w:cs="Arial"/>
          <w:b/>
          <w:kern w:val="24"/>
          <w:szCs w:val="20"/>
        </w:rPr>
        <w:t>.</w:t>
      </w:r>
      <w:r>
        <w:rPr>
          <w:rFonts w:ascii="Arial" w:eastAsia="+mn-ea" w:hAnsi="Arial" w:cs="Arial"/>
          <w:b/>
          <w:kern w:val="24"/>
          <w:szCs w:val="20"/>
        </w:rPr>
        <w:t xml:space="preserve"> S</w:t>
      </w:r>
      <w:r w:rsidR="00053282" w:rsidRPr="001B30F2">
        <w:rPr>
          <w:rFonts w:ascii="Arial" w:eastAsia="+mn-ea" w:hAnsi="Arial" w:cs="Arial"/>
          <w:b/>
          <w:kern w:val="24"/>
          <w:szCs w:val="20"/>
        </w:rPr>
        <w:t xml:space="preserve">4: </w:t>
      </w:r>
      <w:r w:rsidR="00161764">
        <w:rPr>
          <w:rFonts w:ascii="Arial" w:eastAsia="+mn-ea" w:hAnsi="Arial" w:cs="Arial"/>
          <w:bCs/>
          <w:kern w:val="24"/>
          <w:szCs w:val="20"/>
        </w:rPr>
        <w:t>Morphological and mRNA expression analysis of CLN8</w:t>
      </w:r>
      <w:r w:rsidR="00161764">
        <w:rPr>
          <w:rFonts w:ascii="Arial" w:eastAsia="+mn-ea" w:hAnsi="Arial" w:cs="Arial"/>
          <w:bCs/>
          <w:kern w:val="24"/>
          <w:szCs w:val="20"/>
          <w:vertAlign w:val="superscript"/>
        </w:rPr>
        <w:t>-/-</w:t>
      </w:r>
      <w:r w:rsidR="00161764">
        <w:rPr>
          <w:rFonts w:ascii="Arial" w:eastAsia="+mn-ea" w:hAnsi="Arial" w:cs="Arial"/>
          <w:bCs/>
          <w:kern w:val="24"/>
          <w:szCs w:val="20"/>
        </w:rPr>
        <w:t xml:space="preserve"> 266-6 cells. </w:t>
      </w:r>
      <w:proofErr w:type="gramStart"/>
      <w:r w:rsidR="00053282" w:rsidRPr="001B30F2">
        <w:rPr>
          <w:rFonts w:ascii="Arial" w:eastAsia="+mn-ea" w:hAnsi="Arial" w:cs="Arial"/>
          <w:b/>
          <w:kern w:val="24"/>
          <w:szCs w:val="20"/>
        </w:rPr>
        <w:t>a</w:t>
      </w:r>
      <w:proofErr w:type="gramEnd"/>
      <w:r w:rsidR="00053282" w:rsidRPr="001B30F2">
        <w:rPr>
          <w:rFonts w:ascii="Arial" w:eastAsia="+mn-ea" w:hAnsi="Arial" w:cs="Arial"/>
          <w:b/>
          <w:kern w:val="24"/>
          <w:szCs w:val="20"/>
        </w:rPr>
        <w:t xml:space="preserve">: </w:t>
      </w:r>
      <w:r w:rsidR="00053282" w:rsidRPr="001B30F2">
        <w:rPr>
          <w:rFonts w:ascii="Arial" w:eastAsia="+mn-ea" w:hAnsi="Arial" w:cs="Arial"/>
          <w:kern w:val="24"/>
          <w:szCs w:val="20"/>
        </w:rPr>
        <w:t xml:space="preserve">CLN8-deficient cell clones 266-6 </w:t>
      </w:r>
      <w:r w:rsidR="00053282" w:rsidRPr="001B30F2">
        <w:rPr>
          <w:rFonts w:ascii="Arial" w:eastAsia="+mn-ea" w:hAnsi="Arial" w:cs="Arial"/>
          <w:kern w:val="24"/>
          <w:szCs w:val="20"/>
          <w:lang w:val="el-GR"/>
        </w:rPr>
        <w:t>Δ</w:t>
      </w:r>
      <w:r w:rsidR="00053282" w:rsidRPr="001B30F2">
        <w:rPr>
          <w:rFonts w:ascii="Arial" w:eastAsia="+mn-ea" w:hAnsi="Arial" w:cs="Arial"/>
          <w:kern w:val="24"/>
          <w:szCs w:val="20"/>
        </w:rPr>
        <w:t xml:space="preserve">CLN8 1 and </w:t>
      </w:r>
      <w:r w:rsidR="00053282" w:rsidRPr="001B30F2">
        <w:rPr>
          <w:rFonts w:ascii="Arial" w:eastAsia="+mn-ea" w:hAnsi="Arial" w:cs="Arial"/>
          <w:kern w:val="24"/>
          <w:szCs w:val="20"/>
          <w:lang w:val="el-GR"/>
        </w:rPr>
        <w:t>Δ</w:t>
      </w:r>
      <w:r w:rsidR="00053282" w:rsidRPr="001B30F2">
        <w:rPr>
          <w:rFonts w:ascii="Arial" w:eastAsia="+mn-ea" w:hAnsi="Arial" w:cs="Arial"/>
          <w:kern w:val="24"/>
          <w:szCs w:val="20"/>
        </w:rPr>
        <w:t>CLN8 2 generated by CRISPR/Cas9 were characterized by an abnormal cellular morphology and a more clustered proliferation.</w:t>
      </w:r>
      <w:r w:rsidR="00053282" w:rsidRPr="001B30F2">
        <w:rPr>
          <w:rFonts w:ascii="Arial" w:eastAsia="+mn-ea" w:hAnsi="Arial" w:cs="Arial"/>
          <w:b/>
          <w:bCs/>
          <w:kern w:val="24"/>
          <w:szCs w:val="20"/>
        </w:rPr>
        <w:t xml:space="preserve"> </w:t>
      </w:r>
      <w:proofErr w:type="gramStart"/>
      <w:r w:rsidR="00053282" w:rsidRPr="001B30F2">
        <w:rPr>
          <w:rFonts w:ascii="Arial" w:eastAsia="+mn-ea" w:hAnsi="Arial" w:cs="Arial"/>
          <w:b/>
          <w:bCs/>
          <w:kern w:val="24"/>
          <w:szCs w:val="20"/>
        </w:rPr>
        <w:t>b</w:t>
      </w:r>
      <w:proofErr w:type="gramEnd"/>
      <w:r w:rsidR="00053282" w:rsidRPr="001B30F2">
        <w:rPr>
          <w:rFonts w:ascii="Arial" w:eastAsia="+mn-ea" w:hAnsi="Arial" w:cs="Arial"/>
          <w:b/>
          <w:bCs/>
          <w:kern w:val="24"/>
          <w:szCs w:val="20"/>
        </w:rPr>
        <w:t xml:space="preserve">: </w:t>
      </w:r>
      <w:r w:rsidR="00053282" w:rsidRPr="001B30F2">
        <w:rPr>
          <w:rFonts w:ascii="Arial" w:eastAsia="+mn-ea" w:hAnsi="Arial" w:cs="Arial"/>
          <w:kern w:val="24"/>
          <w:szCs w:val="20"/>
        </w:rPr>
        <w:t xml:space="preserve">Quantification of CCK-8 intensities as a marker of cell proliferation showed a clearly lower proliferation in CLN8-deficient cell clones at 72 h after dispersion of cells. While control cells responded with a significant decrease in cell proliferation upon CCK-stimulation, no </w:t>
      </w:r>
      <w:r w:rsidR="00053282" w:rsidRPr="001B30F2">
        <w:rPr>
          <w:rFonts w:ascii="Arial" w:eastAsia="+mn-ea" w:hAnsi="Arial" w:cs="Arial"/>
          <w:kern w:val="24"/>
          <w:szCs w:val="20"/>
        </w:rPr>
        <w:lastRenderedPageBreak/>
        <w:t xml:space="preserve">significant differences were noted for the CLN8-deleted clones. Equal numbers of cells were seeded. </w:t>
      </w:r>
      <w:r w:rsidR="00053282" w:rsidRPr="001B30F2">
        <w:rPr>
          <w:rFonts w:ascii="Arial" w:eastAsia="+mn-ea" w:hAnsi="Arial" w:cs="Arial"/>
          <w:b/>
          <w:kern w:val="24"/>
          <w:szCs w:val="20"/>
        </w:rPr>
        <w:t xml:space="preserve">c. </w:t>
      </w:r>
      <w:r w:rsidR="00053282" w:rsidRPr="001B30F2">
        <w:rPr>
          <w:rFonts w:ascii="Arial" w:eastAsia="+mn-ea" w:hAnsi="Arial" w:cs="Arial"/>
          <w:kern w:val="24"/>
          <w:szCs w:val="20"/>
        </w:rPr>
        <w:t xml:space="preserve">The mRNA expression of the </w:t>
      </w:r>
      <w:r w:rsidR="00053282" w:rsidRPr="001B30F2">
        <w:rPr>
          <w:rFonts w:ascii="Arial" w:eastAsia="+mn-ea" w:hAnsi="Arial" w:cs="Arial"/>
          <w:i/>
          <w:kern w:val="24"/>
          <w:szCs w:val="20"/>
        </w:rPr>
        <w:t xml:space="preserve">Map1lc3b, Sqstm1, Hspa5, Ddit3, </w:t>
      </w:r>
      <w:r w:rsidR="00053282" w:rsidRPr="001B30F2">
        <w:rPr>
          <w:rFonts w:ascii="Arial" w:eastAsia="+mn-ea" w:hAnsi="Arial" w:cs="Arial"/>
          <w:kern w:val="24"/>
          <w:szCs w:val="20"/>
        </w:rPr>
        <w:t xml:space="preserve">and </w:t>
      </w:r>
      <w:r w:rsidR="00053282" w:rsidRPr="001B30F2">
        <w:rPr>
          <w:rFonts w:ascii="Arial" w:eastAsia="+mn-ea" w:hAnsi="Arial" w:cs="Arial"/>
          <w:i/>
          <w:kern w:val="24"/>
          <w:szCs w:val="20"/>
        </w:rPr>
        <w:t>Fam134b</w:t>
      </w:r>
      <w:r w:rsidR="00053282" w:rsidRPr="001B30F2">
        <w:rPr>
          <w:rFonts w:ascii="Arial" w:eastAsia="+mn-ea" w:hAnsi="Arial" w:cs="Arial"/>
          <w:kern w:val="24"/>
          <w:szCs w:val="20"/>
        </w:rPr>
        <w:t xml:space="preserve"> genes were significantly upregulated in CLN8-deficient cells compared to controls.</w:t>
      </w:r>
      <w:r w:rsidR="00053282" w:rsidRPr="001B30F2">
        <w:rPr>
          <w:rFonts w:ascii="Arial" w:eastAsia="+mn-ea" w:hAnsi="Arial" w:cs="Arial"/>
          <w:b/>
          <w:kern w:val="24"/>
          <w:szCs w:val="20"/>
        </w:rPr>
        <w:t xml:space="preserve"> </w:t>
      </w:r>
      <w:r w:rsidR="00053282" w:rsidRPr="001B30F2">
        <w:rPr>
          <w:rFonts w:ascii="Arial" w:eastAsia="+mn-ea" w:hAnsi="Arial" w:cs="Arial"/>
          <w:kern w:val="24"/>
          <w:szCs w:val="20"/>
        </w:rPr>
        <w:t>The values represent the results of at least four independent experiments and the measurements were performed in duplicates. Values are mean +/- SEM. * denotes p &lt; 0.05.</w:t>
      </w:r>
    </w:p>
    <w:p w14:paraId="519C0C3B" w14:textId="2009BA62" w:rsidR="00053282" w:rsidRPr="001B30F2" w:rsidRDefault="00313191" w:rsidP="00053282">
      <w:pPr>
        <w:spacing w:after="0" w:line="360" w:lineRule="auto"/>
        <w:jc w:val="both"/>
        <w:rPr>
          <w:rFonts w:ascii="Arial" w:eastAsia="+mn-ea" w:hAnsi="Arial" w:cs="Arial"/>
          <w:kern w:val="24"/>
          <w:szCs w:val="20"/>
        </w:rPr>
      </w:pPr>
      <w:r>
        <w:rPr>
          <w:rFonts w:ascii="Arial" w:eastAsia="+mn-ea" w:hAnsi="Arial" w:cs="Arial"/>
          <w:noProof/>
          <w:color w:val="EE0000"/>
          <w:kern w:val="24"/>
          <w:szCs w:val="20"/>
          <w:lang w:val="de-DE" w:eastAsia="de-DE"/>
        </w:rPr>
        <w:drawing>
          <wp:inline distT="0" distB="0" distL="0" distR="0" wp14:anchorId="303FF5FA" wp14:editId="20CC5063">
            <wp:extent cx="5907405" cy="3432175"/>
            <wp:effectExtent l="0" t="0" r="0" b="0"/>
            <wp:docPr id="168458982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7405" cy="3432175"/>
                    </a:xfrm>
                    <a:prstGeom prst="rect">
                      <a:avLst/>
                    </a:prstGeom>
                    <a:noFill/>
                  </pic:spPr>
                </pic:pic>
              </a:graphicData>
            </a:graphic>
          </wp:inline>
        </w:drawing>
      </w:r>
    </w:p>
    <w:p w14:paraId="6A8E07F3" w14:textId="02CBC640" w:rsidR="00053282" w:rsidRPr="001B30F2" w:rsidRDefault="00BB3274" w:rsidP="00053282">
      <w:pPr>
        <w:spacing w:after="0" w:line="360" w:lineRule="auto"/>
        <w:jc w:val="both"/>
        <w:rPr>
          <w:rFonts w:ascii="Arial" w:eastAsia="+mn-ea" w:hAnsi="Arial" w:cs="Arial"/>
          <w:kern w:val="24"/>
          <w:szCs w:val="20"/>
        </w:rPr>
      </w:pPr>
      <w:r>
        <w:rPr>
          <w:rFonts w:ascii="Arial" w:eastAsia="+mn-ea" w:hAnsi="Arial" w:cs="Arial"/>
          <w:b/>
          <w:kern w:val="24"/>
          <w:szCs w:val="20"/>
        </w:rPr>
        <w:t>Fig</w:t>
      </w:r>
      <w:r w:rsidR="00420CD8">
        <w:rPr>
          <w:rFonts w:ascii="Arial" w:eastAsia="+mn-ea" w:hAnsi="Arial" w:cs="Arial"/>
          <w:b/>
          <w:kern w:val="24"/>
          <w:szCs w:val="20"/>
        </w:rPr>
        <w:t>.</w:t>
      </w:r>
      <w:r>
        <w:rPr>
          <w:rFonts w:ascii="Arial" w:eastAsia="+mn-ea" w:hAnsi="Arial" w:cs="Arial"/>
          <w:b/>
          <w:kern w:val="24"/>
          <w:szCs w:val="20"/>
        </w:rPr>
        <w:t xml:space="preserve"> S</w:t>
      </w:r>
      <w:r w:rsidR="00053282" w:rsidRPr="001B30F2">
        <w:rPr>
          <w:rFonts w:ascii="Arial" w:eastAsia="+mn-ea" w:hAnsi="Arial" w:cs="Arial"/>
          <w:b/>
          <w:kern w:val="24"/>
          <w:szCs w:val="20"/>
        </w:rPr>
        <w:t xml:space="preserve">5: </w:t>
      </w:r>
      <w:r w:rsidR="00403744">
        <w:rPr>
          <w:rFonts w:ascii="Arial" w:eastAsia="+mn-ea" w:hAnsi="Arial" w:cs="Arial"/>
          <w:bCs/>
          <w:kern w:val="24"/>
          <w:szCs w:val="20"/>
        </w:rPr>
        <w:t xml:space="preserve">Analysis of CLN8 expression and mutations in humans. </w:t>
      </w:r>
      <w:r w:rsidR="00053282" w:rsidRPr="001B30F2">
        <w:rPr>
          <w:rFonts w:ascii="Arial" w:eastAsia="+mn-ea" w:hAnsi="Arial" w:cs="Arial"/>
          <w:b/>
          <w:kern w:val="24"/>
          <w:szCs w:val="20"/>
        </w:rPr>
        <w:t xml:space="preserve">a. </w:t>
      </w:r>
      <w:r w:rsidR="00053282" w:rsidRPr="001B30F2">
        <w:rPr>
          <w:rFonts w:ascii="Arial" w:eastAsia="+mn-ea" w:hAnsi="Arial" w:cs="Arial"/>
          <w:bCs/>
          <w:kern w:val="24"/>
          <w:szCs w:val="20"/>
        </w:rPr>
        <w:t xml:space="preserve">CLN8 is expressed in the human pancreas. Chronic pancreatitis tissues were labelled for CLN8 (red). Co-labeling for CHOP (cyan) indicated presence of ER-stress in human chronic pancreatitis. </w:t>
      </w:r>
      <w:r w:rsidR="00053282" w:rsidRPr="001B30F2">
        <w:rPr>
          <w:rFonts w:ascii="Arial" w:eastAsia="+mn-ea" w:hAnsi="Arial" w:cs="Arial"/>
          <w:kern w:val="24"/>
          <w:szCs w:val="20"/>
        </w:rPr>
        <w:t xml:space="preserve">Representative images from immunofluorescence staining of six patients with chronic pancreatitis. </w:t>
      </w:r>
      <w:r w:rsidR="00053282" w:rsidRPr="001B30F2">
        <w:rPr>
          <w:rFonts w:ascii="Arial" w:eastAsia="+mn-ea" w:hAnsi="Arial" w:cs="Arial"/>
          <w:b/>
          <w:kern w:val="24"/>
          <w:szCs w:val="20"/>
        </w:rPr>
        <w:t xml:space="preserve">b. </w:t>
      </w:r>
      <w:r w:rsidR="00053282" w:rsidRPr="001B30F2">
        <w:rPr>
          <w:rFonts w:ascii="Arial" w:eastAsia="+mn-ea" w:hAnsi="Arial" w:cs="Arial"/>
          <w:bCs/>
          <w:kern w:val="24"/>
          <w:szCs w:val="20"/>
        </w:rPr>
        <w:t xml:space="preserve">Whole genome sequencing of the </w:t>
      </w:r>
      <w:r w:rsidR="00053282" w:rsidRPr="001B30F2">
        <w:rPr>
          <w:rFonts w:ascii="Arial" w:eastAsia="+mn-ea" w:hAnsi="Arial" w:cs="Arial"/>
          <w:bCs/>
          <w:i/>
          <w:iCs/>
          <w:kern w:val="24"/>
          <w:szCs w:val="20"/>
        </w:rPr>
        <w:lastRenderedPageBreak/>
        <w:t>Cln8</w:t>
      </w:r>
      <w:r w:rsidR="00053282" w:rsidRPr="001B30F2">
        <w:rPr>
          <w:rFonts w:ascii="Arial" w:eastAsia="+mn-ea" w:hAnsi="Arial" w:cs="Arial"/>
          <w:bCs/>
          <w:kern w:val="24"/>
          <w:szCs w:val="20"/>
        </w:rPr>
        <w:t xml:space="preserve"> gene </w:t>
      </w:r>
      <w:r w:rsidR="00053282" w:rsidRPr="001B30F2">
        <w:rPr>
          <w:rFonts w:ascii="Arial" w:eastAsia="+mn-ea" w:hAnsi="Arial" w:cs="Arial"/>
          <w:kern w:val="24"/>
          <w:szCs w:val="20"/>
        </w:rPr>
        <w:t xml:space="preserve">in two cohorts of a population-based study (Study of Health in Pomerania, SHIP cohort 1 and 2) and in patients with alcoholic chronic pancreatitis (ACP), idiopathic chronic pancreatitis (ICP), and recurrent acute pancreatitis (RAP) identified three single nucleotide polymorphisms (SNPs) in the </w:t>
      </w:r>
      <w:r w:rsidR="00053282" w:rsidRPr="001B30F2">
        <w:rPr>
          <w:rFonts w:ascii="Arial" w:eastAsia="+mn-ea" w:hAnsi="Arial" w:cs="Arial"/>
          <w:i/>
          <w:kern w:val="24"/>
          <w:szCs w:val="20"/>
        </w:rPr>
        <w:t>Cln8</w:t>
      </w:r>
      <w:r w:rsidR="00053282" w:rsidRPr="001B30F2">
        <w:rPr>
          <w:rFonts w:ascii="Arial" w:eastAsia="+mn-ea" w:hAnsi="Arial" w:cs="Arial"/>
          <w:kern w:val="24"/>
          <w:szCs w:val="20"/>
        </w:rPr>
        <w:t xml:space="preserve"> gene. All variants were found in the SHIP cohorts. No variants were found in patients with ACP, ICP, and RAP. Two SNPs (p.Thr111=; p.Val236=) were coding for the same amino acid and were therefore silent. The SNP p.Asn125Ser was a missense mutation and led to an amino acid exchange. The functional effects of each variant were assessed by PolyPhen-2 software and were classified as benign. </w:t>
      </w:r>
    </w:p>
    <w:p w14:paraId="4658F56F" w14:textId="77777777" w:rsidR="00053282" w:rsidRPr="001B30F2" w:rsidRDefault="00053282"/>
    <w:sectPr w:rsidR="00053282" w:rsidRPr="001B30F2">
      <w:pgSz w:w="12240" w:h="15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activeWritingStyle w:appName="MSWord" w:lang="de-DE" w:vendorID="64" w:dllVersion="131078" w:nlCheck="1" w:checkStyle="0"/>
  <w:activeWritingStyle w:appName="MSWord" w:lang="en-US" w:vendorID="64" w:dllVersion="131078" w:nlCheck="1" w:checkStyle="1"/>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C3B"/>
    <w:rsid w:val="00050F61"/>
    <w:rsid w:val="00053282"/>
    <w:rsid w:val="000720E8"/>
    <w:rsid w:val="0007472B"/>
    <w:rsid w:val="000B7AC2"/>
    <w:rsid w:val="000F6C3B"/>
    <w:rsid w:val="00161764"/>
    <w:rsid w:val="001760E5"/>
    <w:rsid w:val="001B30F2"/>
    <w:rsid w:val="0020001A"/>
    <w:rsid w:val="00246A07"/>
    <w:rsid w:val="002B07AF"/>
    <w:rsid w:val="00313191"/>
    <w:rsid w:val="00343FBB"/>
    <w:rsid w:val="00356BA1"/>
    <w:rsid w:val="00403744"/>
    <w:rsid w:val="004173D7"/>
    <w:rsid w:val="004178A8"/>
    <w:rsid w:val="00420CD8"/>
    <w:rsid w:val="005F0F46"/>
    <w:rsid w:val="005F5007"/>
    <w:rsid w:val="0066275B"/>
    <w:rsid w:val="006B1468"/>
    <w:rsid w:val="00812CB4"/>
    <w:rsid w:val="008B76BE"/>
    <w:rsid w:val="008D16BA"/>
    <w:rsid w:val="008D2F56"/>
    <w:rsid w:val="008D356B"/>
    <w:rsid w:val="008E2443"/>
    <w:rsid w:val="008F75AE"/>
    <w:rsid w:val="00A01A7C"/>
    <w:rsid w:val="00B76187"/>
    <w:rsid w:val="00BB3274"/>
    <w:rsid w:val="00BF7510"/>
    <w:rsid w:val="00C33402"/>
    <w:rsid w:val="00C97A4C"/>
    <w:rsid w:val="00CB709A"/>
    <w:rsid w:val="00D6222E"/>
    <w:rsid w:val="00D9291B"/>
    <w:rsid w:val="00E05E0C"/>
    <w:rsid w:val="00E454C9"/>
    <w:rsid w:val="00E84649"/>
    <w:rsid w:val="00F300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C1F603"/>
  <w15:chartTrackingRefBased/>
  <w15:docId w15:val="{3814B12E-E348-416D-B788-5885662F1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0F6C3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0F6C3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0F6C3B"/>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0F6C3B"/>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0F6C3B"/>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0F6C3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F6C3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F6C3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F6C3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F6C3B"/>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0F6C3B"/>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0F6C3B"/>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0F6C3B"/>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0F6C3B"/>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0F6C3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F6C3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F6C3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F6C3B"/>
    <w:rPr>
      <w:rFonts w:eastAsiaTheme="majorEastAsia" w:cstheme="majorBidi"/>
      <w:color w:val="272727" w:themeColor="text1" w:themeTint="D8"/>
    </w:rPr>
  </w:style>
  <w:style w:type="paragraph" w:styleId="Titel">
    <w:name w:val="Title"/>
    <w:basedOn w:val="Standard"/>
    <w:next w:val="Standard"/>
    <w:link w:val="TitelZchn"/>
    <w:uiPriority w:val="10"/>
    <w:qFormat/>
    <w:rsid w:val="000F6C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F6C3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F6C3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F6C3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F6C3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F6C3B"/>
    <w:rPr>
      <w:i/>
      <w:iCs/>
      <w:color w:val="404040" w:themeColor="text1" w:themeTint="BF"/>
    </w:rPr>
  </w:style>
  <w:style w:type="paragraph" w:styleId="Listenabsatz">
    <w:name w:val="List Paragraph"/>
    <w:basedOn w:val="Standard"/>
    <w:uiPriority w:val="34"/>
    <w:qFormat/>
    <w:rsid w:val="000F6C3B"/>
    <w:pPr>
      <w:ind w:left="720"/>
      <w:contextualSpacing/>
    </w:pPr>
  </w:style>
  <w:style w:type="character" w:styleId="IntensiveHervorhebung">
    <w:name w:val="Intense Emphasis"/>
    <w:basedOn w:val="Absatz-Standardschriftart"/>
    <w:uiPriority w:val="21"/>
    <w:qFormat/>
    <w:rsid w:val="000F6C3B"/>
    <w:rPr>
      <w:i/>
      <w:iCs/>
      <w:color w:val="2E74B5" w:themeColor="accent1" w:themeShade="BF"/>
    </w:rPr>
  </w:style>
  <w:style w:type="paragraph" w:styleId="IntensivesZitat">
    <w:name w:val="Intense Quote"/>
    <w:basedOn w:val="Standard"/>
    <w:next w:val="Standard"/>
    <w:link w:val="IntensivesZitatZchn"/>
    <w:uiPriority w:val="30"/>
    <w:qFormat/>
    <w:rsid w:val="000F6C3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0F6C3B"/>
    <w:rPr>
      <w:i/>
      <w:iCs/>
      <w:color w:val="2E74B5" w:themeColor="accent1" w:themeShade="BF"/>
    </w:rPr>
  </w:style>
  <w:style w:type="character" w:styleId="IntensiverVerweis">
    <w:name w:val="Intense Reference"/>
    <w:basedOn w:val="Absatz-Standardschriftart"/>
    <w:uiPriority w:val="32"/>
    <w:qFormat/>
    <w:rsid w:val="000F6C3B"/>
    <w:rPr>
      <w:b/>
      <w:bCs/>
      <w:smallCaps/>
      <w:color w:val="2E74B5" w:themeColor="accent1" w:themeShade="BF"/>
      <w:spacing w:val="5"/>
    </w:rPr>
  </w:style>
  <w:style w:type="character" w:styleId="Kommentarzeichen">
    <w:name w:val="annotation reference"/>
    <w:basedOn w:val="Absatz-Standardschriftart"/>
    <w:uiPriority w:val="99"/>
    <w:semiHidden/>
    <w:unhideWhenUsed/>
    <w:rsid w:val="000F6C3B"/>
    <w:rPr>
      <w:sz w:val="16"/>
      <w:szCs w:val="16"/>
    </w:rPr>
  </w:style>
  <w:style w:type="paragraph" w:styleId="Kommentartext">
    <w:name w:val="annotation text"/>
    <w:basedOn w:val="Standard"/>
    <w:link w:val="KommentartextZchn"/>
    <w:uiPriority w:val="99"/>
    <w:unhideWhenUsed/>
    <w:rsid w:val="000720E8"/>
    <w:pPr>
      <w:spacing w:line="240" w:lineRule="auto"/>
    </w:pPr>
    <w:rPr>
      <w:kern w:val="0"/>
      <w:sz w:val="20"/>
      <w:szCs w:val="20"/>
      <w:lang w:val="de-DE"/>
      <w14:ligatures w14:val="none"/>
    </w:rPr>
  </w:style>
  <w:style w:type="character" w:customStyle="1" w:styleId="KommentartextZchn">
    <w:name w:val="Kommentartext Zchn"/>
    <w:basedOn w:val="Absatz-Standardschriftart"/>
    <w:link w:val="Kommentartext"/>
    <w:uiPriority w:val="99"/>
    <w:rsid w:val="000720E8"/>
    <w:rPr>
      <w:kern w:val="0"/>
      <w:sz w:val="20"/>
      <w:szCs w:val="20"/>
      <w:lang w:val="de-DE"/>
      <w14:ligatures w14:val="none"/>
    </w:rPr>
  </w:style>
  <w:style w:type="paragraph" w:styleId="Literaturverzeichnis">
    <w:name w:val="Bibliography"/>
    <w:basedOn w:val="Standard"/>
    <w:next w:val="Standard"/>
    <w:uiPriority w:val="37"/>
    <w:unhideWhenUsed/>
    <w:rsid w:val="008D16BA"/>
    <w:pPr>
      <w:tabs>
        <w:tab w:val="left" w:pos="264"/>
      </w:tabs>
      <w:spacing w:after="240" w:line="24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glossaryDocument" Target="glossary/document.xml"/><Relationship Id="rId4" Type="http://schemas.openxmlformats.org/officeDocument/2006/relationships/image" Target="media/image1.png"/><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D7AB4CB9C89413E99468F6F5559287D"/>
        <w:category>
          <w:name w:val="Allgemein"/>
          <w:gallery w:val="placeholder"/>
        </w:category>
        <w:types>
          <w:type w:val="bbPlcHdr"/>
        </w:types>
        <w:behaviors>
          <w:behavior w:val="content"/>
        </w:behaviors>
        <w:guid w:val="{272EE6D8-912B-4C63-81B8-AED461A62637}"/>
      </w:docPartPr>
      <w:docPartBody>
        <w:p w:rsidR="00D062FF" w:rsidRDefault="00A47921" w:rsidP="00A47921">
          <w:pPr>
            <w:pStyle w:val="2D7AB4CB9C89413E99468F6F5559287D"/>
          </w:pPr>
          <w:r w:rsidRPr="001F6781">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7DF"/>
    <w:rsid w:val="00065797"/>
    <w:rsid w:val="0007472B"/>
    <w:rsid w:val="000B208A"/>
    <w:rsid w:val="000B7AC2"/>
    <w:rsid w:val="00123683"/>
    <w:rsid w:val="00200256"/>
    <w:rsid w:val="0020075E"/>
    <w:rsid w:val="0028783B"/>
    <w:rsid w:val="002958B7"/>
    <w:rsid w:val="002B07AF"/>
    <w:rsid w:val="00356BA1"/>
    <w:rsid w:val="004173D7"/>
    <w:rsid w:val="004178A8"/>
    <w:rsid w:val="004935A3"/>
    <w:rsid w:val="00714E23"/>
    <w:rsid w:val="007C3584"/>
    <w:rsid w:val="007F682F"/>
    <w:rsid w:val="00812CB4"/>
    <w:rsid w:val="00876ADC"/>
    <w:rsid w:val="008D356B"/>
    <w:rsid w:val="00A323B3"/>
    <w:rsid w:val="00A47921"/>
    <w:rsid w:val="00A6504B"/>
    <w:rsid w:val="00BF7510"/>
    <w:rsid w:val="00C97A4C"/>
    <w:rsid w:val="00CB709A"/>
    <w:rsid w:val="00D062FF"/>
    <w:rsid w:val="00D6222E"/>
    <w:rsid w:val="00E317DF"/>
    <w:rsid w:val="00E84649"/>
    <w:rsid w:val="00EC54A9"/>
    <w:rsid w:val="00F03A1E"/>
    <w:rsid w:val="00F671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47921"/>
    <w:rPr>
      <w:color w:val="808080"/>
    </w:rPr>
  </w:style>
  <w:style w:type="paragraph" w:customStyle="1" w:styleId="2D7AB4CB9C89413E99468F6F5559287D">
    <w:name w:val="2D7AB4CB9C89413E99468F6F5559287D"/>
    <w:rsid w:val="00A479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3579</Words>
  <Characters>22554</Characters>
  <Application>Microsoft Office Word</Application>
  <DocSecurity>4</DocSecurity>
  <Lines>187</Lines>
  <Paragraphs>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Lukas Zierke</dc:creator>
  <cp:keywords/>
  <dc:description/>
  <cp:lastModifiedBy>Aghdassi, Ali</cp:lastModifiedBy>
  <cp:revision>2</cp:revision>
  <dcterms:created xsi:type="dcterms:W3CDTF">2026-06-02T12:25:00Z</dcterms:created>
  <dcterms:modified xsi:type="dcterms:W3CDTF">2026-06-02T12:25:00Z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zotero-version="9.0.3"&gt;&lt;session id="0QrWfUBl"/&gt;&lt;style id="http://www.zotero.org/styles/nlm-citation-sequence" locale="en-US" hasBibliography="1" bibliographyStyleHasBeenSet="1"/&gt;&lt;prefs&gt;&lt;pref name="fieldType" value="Field"/&gt;&lt;/prefs&gt;&lt;</vt:lpwstr>
  </property>
  <property fmtid="{D5CDD505-2E9C-101B-9397-08002B2CF9AE}" pid="3" name="ZOTERO_PREF_2">
    <vt:lpwstr>/data&gt;</vt:lpwstr>
  </property>
</Properties>
</file>