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98" w:rsidRDefault="00F5688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36"/>
          <w:szCs w:val="56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/>
          <w:spacing w:val="-10"/>
          <w:kern w:val="28"/>
          <w:sz w:val="36"/>
          <w:szCs w:val="56"/>
          <w:lang w:val="en-CA"/>
          <w14:ligatures w14:val="none"/>
        </w:rPr>
        <w:t>Supplementary Figures</w:t>
      </w:r>
    </w:p>
    <w:p w:rsidR="00944898" w:rsidRDefault="00F56888">
      <w:pPr>
        <w:spacing w:line="360" w:lineRule="auto"/>
        <w:jc w:val="center"/>
        <w:rPr>
          <w:rFonts w:eastAsiaTheme="majorEastAsia" w:cstheme="majorBidi"/>
          <w:b/>
          <w:spacing w:val="-10"/>
          <w:kern w:val="28"/>
          <w:sz w:val="36"/>
          <w:szCs w:val="56"/>
          <w:lang w:val="en-US"/>
        </w:rPr>
      </w:pPr>
      <w:r>
        <w:rPr>
          <w:rFonts w:eastAsiaTheme="majorEastAsia" w:cstheme="majorBidi"/>
          <w:b/>
          <w:spacing w:val="-10"/>
          <w:kern w:val="28"/>
          <w:sz w:val="36"/>
          <w:szCs w:val="56"/>
          <w:lang w:val="en-US"/>
        </w:rPr>
        <w:t>Targeted neuronal reprogramming rescues memory and neural synchrony in Alzheimer’s disease</w:t>
      </w:r>
    </w:p>
    <w:p w:rsidR="00944898" w:rsidRDefault="00F56888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lang w:val="en-US"/>
        </w:rPr>
        <w:t>Marcos Galán-Ganga</w:t>
      </w:r>
      <w:r>
        <w:rPr>
          <w:vertAlign w:val="superscript"/>
          <w:lang w:val="en-US"/>
        </w:rPr>
        <w:t>1,2,3,</w:t>
      </w:r>
      <w:r>
        <w:rPr>
          <w:rFonts w:cs="Times New Roman"/>
          <w:vertAlign w:val="superscript"/>
          <w:lang w:val="en-US"/>
        </w:rPr>
        <w:t xml:space="preserve"> †</w:t>
      </w:r>
      <w:r>
        <w:rPr>
          <w:lang w:val="en-US"/>
        </w:rPr>
        <w:t>, Irene Rodríguez-Navarro</w:t>
      </w:r>
      <w:r>
        <w:rPr>
          <w:vertAlign w:val="superscript"/>
          <w:lang w:val="en-US"/>
        </w:rPr>
        <w:t>1,2,3,†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Sofía</w:t>
      </w:r>
      <w:proofErr w:type="spellEnd"/>
      <w:r>
        <w:rPr>
          <w:lang w:val="en-US"/>
        </w:rPr>
        <w:t xml:space="preserve"> Zaballa</w:t>
      </w:r>
      <w:r>
        <w:rPr>
          <w:vertAlign w:val="superscript"/>
          <w:lang w:val="en-US"/>
        </w:rPr>
        <w:t>1,2,3,</w:t>
      </w:r>
      <w:r>
        <w:rPr>
          <w:rFonts w:cs="Times New Roman"/>
          <w:vertAlign w:val="superscript"/>
          <w:lang w:val="en-US"/>
        </w:rPr>
        <w:t xml:space="preserve"> †</w:t>
      </w:r>
      <w:r>
        <w:rPr>
          <w:lang w:val="en-US"/>
        </w:rPr>
        <w:t xml:space="preserve">, Alba </w:t>
      </w:r>
      <w:r>
        <w:rPr>
          <w:lang w:val="en-US"/>
        </w:rPr>
        <w:t>Ramón-Lainez</w:t>
      </w:r>
      <w:r>
        <w:rPr>
          <w:vertAlign w:val="superscript"/>
          <w:lang w:val="en-US"/>
        </w:rPr>
        <w:t>1,2,3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Nerea</w:t>
      </w:r>
      <w:proofErr w:type="spellEnd"/>
      <w:r>
        <w:rPr>
          <w:lang w:val="en-US"/>
        </w:rPr>
        <w:t xml:space="preserve"> Gómez-Rivada</w:t>
      </w:r>
      <w:r>
        <w:rPr>
          <w:vertAlign w:val="superscript"/>
          <w:lang w:val="en-US"/>
        </w:rPr>
        <w:t>1,2,3</w:t>
      </w:r>
      <w:r>
        <w:rPr>
          <w:lang w:val="en-US"/>
        </w:rPr>
        <w:t>, Christian Peters</w:t>
      </w:r>
      <w:r>
        <w:rPr>
          <w:vertAlign w:val="superscript"/>
          <w:lang w:val="en-US"/>
        </w:rPr>
        <w:t>4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Joaquín</w:t>
      </w:r>
      <w:proofErr w:type="spellEnd"/>
      <w:r>
        <w:rPr>
          <w:lang w:val="en-US"/>
        </w:rPr>
        <w:t xml:space="preserve"> Fernández-Irigoyen</w:t>
      </w:r>
      <w:r>
        <w:rPr>
          <w:vertAlign w:val="superscript"/>
          <w:lang w:val="en-US"/>
        </w:rPr>
        <w:t>5</w:t>
      </w:r>
      <w:r>
        <w:rPr>
          <w:lang w:val="en-US"/>
        </w:rPr>
        <w:t>, Enrique Santamaría</w:t>
      </w:r>
      <w:r>
        <w:rPr>
          <w:vertAlign w:val="superscript"/>
          <w:lang w:val="en-US"/>
        </w:rPr>
        <w:t>5</w:t>
      </w:r>
      <w:r>
        <w:rPr>
          <w:lang w:val="en-US"/>
        </w:rPr>
        <w:t xml:space="preserve">, M. </w:t>
      </w:r>
      <w:proofErr w:type="spellStart"/>
      <w:r>
        <w:rPr>
          <w:lang w:val="en-US"/>
        </w:rPr>
        <w:t>Ángeles</w:t>
      </w:r>
      <w:proofErr w:type="spellEnd"/>
      <w:r>
        <w:rPr>
          <w:lang w:val="en-US"/>
        </w:rPr>
        <w:t xml:space="preserve"> Rabadán</w:t>
      </w:r>
      <w:r>
        <w:rPr>
          <w:vertAlign w:val="superscript"/>
          <w:lang w:val="en-US"/>
        </w:rPr>
        <w:t>6</w:t>
      </w:r>
      <w:r>
        <w:rPr>
          <w:lang w:val="en-US"/>
        </w:rPr>
        <w:t>, Jordi Alberch</w:t>
      </w:r>
      <w:r>
        <w:rPr>
          <w:vertAlign w:val="superscript"/>
          <w:lang w:val="en-US"/>
        </w:rPr>
        <w:t>1,2,3,7</w:t>
      </w:r>
      <w:bookmarkStart w:id="0" w:name="_GoBack"/>
      <w:bookmarkEnd w:id="0"/>
      <w:r>
        <w:rPr>
          <w:lang w:val="en-US"/>
        </w:rPr>
        <w:t>, Manuel J Rodríguez</w:t>
      </w:r>
      <w:r>
        <w:rPr>
          <w:vertAlign w:val="superscript"/>
          <w:lang w:val="en-US"/>
        </w:rPr>
        <w:t>1,2,3</w:t>
      </w:r>
      <w:r>
        <w:rPr>
          <w:lang w:val="en-US"/>
        </w:rPr>
        <w:t>, Daniel del Toro</w:t>
      </w:r>
      <w:r>
        <w:rPr>
          <w:vertAlign w:val="superscript"/>
          <w:lang w:val="en-US"/>
        </w:rPr>
        <w:t xml:space="preserve">1,2,3,7,* </w:t>
      </w:r>
      <w:r>
        <w:rPr>
          <w:lang w:val="en-US"/>
        </w:rPr>
        <w:t>and Albert Giralt</w:t>
      </w:r>
      <w:r>
        <w:rPr>
          <w:vertAlign w:val="superscript"/>
          <w:lang w:val="en-US"/>
        </w:rPr>
        <w:t>1,2,3,7,*</w:t>
      </w:r>
    </w:p>
    <w:p w:rsidR="00944898" w:rsidRDefault="00F56888">
      <w:pPr>
        <w:spacing w:after="120" w:line="240" w:lineRule="auto"/>
        <w:rPr>
          <w:b/>
          <w:lang w:val="en-US"/>
        </w:rPr>
      </w:pPr>
      <w:r>
        <w:rPr>
          <w:rFonts w:cs="Times New Roman"/>
          <w:b/>
          <w:vertAlign w:val="superscript"/>
          <w:lang w:val="en-US"/>
        </w:rPr>
        <w:t>†</w:t>
      </w:r>
      <w:r>
        <w:rPr>
          <w:b/>
          <w:lang w:val="en-US"/>
        </w:rPr>
        <w:t xml:space="preserve">These authors contributed equally to this work. </w:t>
      </w:r>
    </w:p>
    <w:p w:rsidR="00944898" w:rsidRDefault="00F56888">
      <w:pPr>
        <w:spacing w:after="120" w:line="240" w:lineRule="auto"/>
        <w:rPr>
          <w:b/>
          <w:lang w:val="en-US"/>
        </w:rPr>
      </w:pPr>
      <w:r>
        <w:rPr>
          <w:rFonts w:cs="Times New Roman"/>
          <w:b/>
          <w:vertAlign w:val="superscript"/>
          <w:lang w:val="en-US"/>
        </w:rPr>
        <w:t>*</w:t>
      </w:r>
      <w:r>
        <w:rPr>
          <w:b/>
          <w:lang w:val="en-US"/>
        </w:rPr>
        <w:t>These senior authors contributed eq</w:t>
      </w:r>
      <w:r>
        <w:rPr>
          <w:b/>
          <w:lang w:val="en-US"/>
        </w:rPr>
        <w:t xml:space="preserve">ually to this work and they are co-corresponding authors. </w:t>
      </w:r>
    </w:p>
    <w:p w:rsidR="00944898" w:rsidRDefault="00944898">
      <w:pPr>
        <w:spacing w:line="360" w:lineRule="auto"/>
        <w:rPr>
          <w:b/>
          <w:bCs/>
          <w:lang w:val="en-US"/>
        </w:rPr>
      </w:pPr>
    </w:p>
    <w:p w:rsidR="00944898" w:rsidRDefault="00F56888">
      <w:pPr>
        <w:spacing w:after="0" w:line="360" w:lineRule="auto"/>
        <w:rPr>
          <w:b/>
          <w:bCs/>
        </w:rPr>
      </w:pPr>
      <w:proofErr w:type="spellStart"/>
      <w:r>
        <w:rPr>
          <w:b/>
          <w:bCs/>
        </w:rPr>
        <w:t>Author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affiliations</w:t>
      </w:r>
      <w:proofErr w:type="spellEnd"/>
      <w:r>
        <w:rPr>
          <w:b/>
          <w:bCs/>
        </w:rPr>
        <w:t>:</w:t>
      </w:r>
    </w:p>
    <w:p w:rsidR="00944898" w:rsidRDefault="00F56888">
      <w:pPr>
        <w:spacing w:after="0" w:line="240" w:lineRule="auto"/>
      </w:pPr>
      <w:r>
        <w:t xml:space="preserve">1 </w:t>
      </w:r>
      <w:proofErr w:type="spellStart"/>
      <w:r>
        <w:t>Departament</w:t>
      </w:r>
      <w:proofErr w:type="spellEnd"/>
      <w:r>
        <w:t xml:space="preserve"> de Biomedicina, </w:t>
      </w:r>
      <w:proofErr w:type="spellStart"/>
      <w:r>
        <w:t>Facultat</w:t>
      </w:r>
      <w:proofErr w:type="spellEnd"/>
      <w:r>
        <w:t xml:space="preserve"> de Medicina, </w:t>
      </w:r>
      <w:proofErr w:type="spellStart"/>
      <w:r>
        <w:t>Institut</w:t>
      </w:r>
      <w:proofErr w:type="spellEnd"/>
      <w:r>
        <w:t xml:space="preserve"> de </w:t>
      </w:r>
      <w:proofErr w:type="spellStart"/>
      <w:r>
        <w:t>Neurociències</w:t>
      </w:r>
      <w:proofErr w:type="spellEnd"/>
      <w:r>
        <w:t xml:space="preserve">, </w:t>
      </w:r>
      <w:proofErr w:type="spellStart"/>
      <w:r>
        <w:t>Universitat</w:t>
      </w:r>
      <w:proofErr w:type="spellEnd"/>
      <w:r>
        <w:t xml:space="preserve"> de Barcelona, 08036 Barcelona, </w:t>
      </w:r>
      <w:proofErr w:type="spellStart"/>
      <w:r>
        <w:t>Spain</w:t>
      </w:r>
      <w:proofErr w:type="spellEnd"/>
      <w:r>
        <w:t>.</w:t>
      </w:r>
    </w:p>
    <w:p w:rsidR="00944898" w:rsidRDefault="00F56888">
      <w:pPr>
        <w:spacing w:after="0" w:line="240" w:lineRule="auto"/>
      </w:pPr>
      <w:r>
        <w:t xml:space="preserve">2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d'Investigacions</w:t>
      </w:r>
      <w:proofErr w:type="spellEnd"/>
      <w:r>
        <w:t xml:space="preserve"> </w:t>
      </w:r>
      <w:proofErr w:type="spellStart"/>
      <w:r>
        <w:t>Biomèdiques</w:t>
      </w:r>
      <w:proofErr w:type="spellEnd"/>
      <w:r>
        <w:t xml:space="preserve"> </w:t>
      </w:r>
      <w:proofErr w:type="spellStart"/>
      <w:r>
        <w:t>August</w:t>
      </w:r>
      <w:proofErr w:type="spellEnd"/>
      <w:r>
        <w:t xml:space="preserve"> Pi i </w:t>
      </w:r>
      <w:proofErr w:type="spellStart"/>
      <w:r>
        <w:t>Sunyer</w:t>
      </w:r>
      <w:proofErr w:type="spellEnd"/>
      <w:r>
        <w:t xml:space="preserve"> (IDIBAPS), 08036 Barcelona, </w:t>
      </w:r>
      <w:proofErr w:type="spellStart"/>
      <w:r>
        <w:t>Spain</w:t>
      </w:r>
      <w:proofErr w:type="spellEnd"/>
      <w:r>
        <w:t>.</w:t>
      </w:r>
    </w:p>
    <w:p w:rsidR="00944898" w:rsidRDefault="00F56888">
      <w:pPr>
        <w:spacing w:after="0" w:line="240" w:lineRule="auto"/>
      </w:pPr>
      <w:r>
        <w:t xml:space="preserve">3 Centro de Investigación Biomédica en Red sobre Enfermedades Neurodegenerativas (CIBERNED), 28031 Madrid, </w:t>
      </w:r>
      <w:proofErr w:type="spellStart"/>
      <w:r>
        <w:t>Spain</w:t>
      </w:r>
      <w:proofErr w:type="spellEnd"/>
      <w:r>
        <w:t xml:space="preserve">. </w:t>
      </w:r>
    </w:p>
    <w:p w:rsidR="00944898" w:rsidRDefault="00F56888">
      <w:pPr>
        <w:spacing w:after="0" w:line="240" w:lineRule="auto"/>
        <w:rPr>
          <w:rFonts w:eastAsia="Calibri"/>
          <w:szCs w:val="24"/>
          <w:lang w:val="en-US"/>
        </w:rPr>
      </w:pPr>
      <w:proofErr w:type="gramStart"/>
      <w:r>
        <w:rPr>
          <w:lang w:val="en-US"/>
        </w:rPr>
        <w:t xml:space="preserve">4 </w:t>
      </w:r>
      <w:r>
        <w:rPr>
          <w:rFonts w:eastAsia="Calibri"/>
          <w:szCs w:val="24"/>
          <w:lang w:val="en-GB"/>
        </w:rPr>
        <w:t>Department of Molecules–</w:t>
      </w:r>
      <w:proofErr w:type="spellStart"/>
      <w:r>
        <w:rPr>
          <w:rFonts w:eastAsia="Calibri"/>
          <w:szCs w:val="24"/>
          <w:lang w:val="en-GB"/>
        </w:rPr>
        <w:t>Signaling</w:t>
      </w:r>
      <w:proofErr w:type="spellEnd"/>
      <w:r>
        <w:rPr>
          <w:rFonts w:eastAsia="Calibri"/>
          <w:szCs w:val="24"/>
          <w:lang w:val="en-GB"/>
        </w:rPr>
        <w:t>–Development, Max-Planck Institute for Biological Intellig</w:t>
      </w:r>
      <w:r>
        <w:rPr>
          <w:rFonts w:eastAsia="Calibri"/>
          <w:szCs w:val="24"/>
          <w:lang w:val="en-GB"/>
        </w:rPr>
        <w:t xml:space="preserve">ence, 82152 </w:t>
      </w:r>
      <w:proofErr w:type="spellStart"/>
      <w:r>
        <w:rPr>
          <w:rFonts w:eastAsia="Calibri"/>
          <w:szCs w:val="24"/>
          <w:lang w:val="en-GB"/>
        </w:rPr>
        <w:t>Martinsried</w:t>
      </w:r>
      <w:proofErr w:type="spellEnd"/>
      <w:r>
        <w:rPr>
          <w:rFonts w:eastAsia="Calibri"/>
          <w:szCs w:val="24"/>
          <w:lang w:val="en-GB"/>
        </w:rPr>
        <w:t>, Germany.</w:t>
      </w:r>
      <w:proofErr w:type="gramEnd"/>
    </w:p>
    <w:p w:rsidR="00944898" w:rsidRDefault="00F56888">
      <w:pPr>
        <w:spacing w:after="0" w:line="240" w:lineRule="auto"/>
      </w:pPr>
      <w:r>
        <w:t xml:space="preserve">5 </w:t>
      </w:r>
      <w:proofErr w:type="spellStart"/>
      <w:r>
        <w:t>Proteomics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, </w:t>
      </w:r>
      <w:proofErr w:type="spellStart"/>
      <w:r>
        <w:t>Navarrabiomed</w:t>
      </w:r>
      <w:proofErr w:type="spellEnd"/>
      <w:r>
        <w:t xml:space="preserve">, Hospital Universitario de Navarra (HUN), Universidad Pública de Navarra UPNA, </w:t>
      </w:r>
      <w:proofErr w:type="spellStart"/>
      <w:r>
        <w:t>IdiSNA</w:t>
      </w:r>
      <w:proofErr w:type="spellEnd"/>
      <w:r>
        <w:t xml:space="preserve">, 31008, Pamplona, </w:t>
      </w:r>
      <w:proofErr w:type="spellStart"/>
      <w:r>
        <w:t>Spain</w:t>
      </w:r>
      <w:proofErr w:type="spellEnd"/>
      <w:r>
        <w:t>.</w:t>
      </w:r>
    </w:p>
    <w:p w:rsidR="00944898" w:rsidRDefault="00F56888">
      <w:pPr>
        <w:spacing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6 </w:t>
      </w:r>
      <w:proofErr w:type="spellStart"/>
      <w:r>
        <w:rPr>
          <w:lang w:val="en-US"/>
        </w:rPr>
        <w:t>ZeClinics</w:t>
      </w:r>
      <w:proofErr w:type="spellEnd"/>
      <w:r>
        <w:rPr>
          <w:lang w:val="en-US"/>
        </w:rPr>
        <w:t xml:space="preserve"> SL. and </w:t>
      </w:r>
      <w:proofErr w:type="spellStart"/>
      <w:r>
        <w:rPr>
          <w:lang w:val="en-US"/>
        </w:rPr>
        <w:t>ZeNeuroid</w:t>
      </w:r>
      <w:proofErr w:type="spellEnd"/>
      <w:r>
        <w:rPr>
          <w:lang w:val="en-US"/>
        </w:rPr>
        <w:t xml:space="preserve"> SL., Barcelona, Spain.</w:t>
      </w:r>
      <w:proofErr w:type="gramEnd"/>
    </w:p>
    <w:p w:rsidR="00944898" w:rsidRDefault="00F56888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lang w:val="en-US"/>
        </w:rPr>
        <w:t xml:space="preserve">7 </w:t>
      </w:r>
      <w:proofErr w:type="gramStart"/>
      <w:r>
        <w:rPr>
          <w:lang w:val="en-US"/>
        </w:rPr>
        <w:t>Production</w:t>
      </w:r>
      <w:proofErr w:type="gramEnd"/>
      <w:r>
        <w:rPr>
          <w:lang w:val="en-US"/>
        </w:rPr>
        <w:t xml:space="preserve"> and Vali</w:t>
      </w:r>
      <w:r>
        <w:rPr>
          <w:lang w:val="en-US"/>
        </w:rPr>
        <w:t>dation Centre of Advanced Therapies (</w:t>
      </w:r>
      <w:proofErr w:type="spellStart"/>
      <w:r>
        <w:rPr>
          <w:lang w:val="en-US"/>
        </w:rPr>
        <w:t>Creatio</w:t>
      </w:r>
      <w:proofErr w:type="spellEnd"/>
      <w:r>
        <w:rPr>
          <w:lang w:val="en-US"/>
        </w:rPr>
        <w:t>), Faculty of Medicine and Health Science, University of Barcelona, 08036 Barcelona, Spain.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</w:p>
    <w:p w:rsidR="00944898" w:rsidRDefault="00944898">
      <w:pPr>
        <w:spacing w:line="360" w:lineRule="auto"/>
        <w:rPr>
          <w:lang w:val="en-US"/>
        </w:rPr>
      </w:pPr>
    </w:p>
    <w:p w:rsidR="00944898" w:rsidRDefault="00F56888">
      <w:pPr>
        <w:spacing w:after="0" w:line="240" w:lineRule="auto"/>
        <w:rPr>
          <w:lang w:val="en-US"/>
        </w:rPr>
      </w:pPr>
      <w:r>
        <w:rPr>
          <w:lang w:val="en-US"/>
        </w:rPr>
        <w:lastRenderedPageBreak/>
        <w:t>Correspondence to: Albert Giralt. ORCID: 0000-0001-5334-0963.</w:t>
      </w:r>
    </w:p>
    <w:p w:rsidR="00944898" w:rsidRDefault="00F56888">
      <w:pPr>
        <w:spacing w:after="0" w:line="240" w:lineRule="auto"/>
        <w:rPr>
          <w:lang w:val="en-US"/>
        </w:rPr>
      </w:pPr>
      <w:r>
        <w:rPr>
          <w:lang w:val="en-US"/>
        </w:rPr>
        <w:t xml:space="preserve">Full address: Department of Biomedical Sciences. </w:t>
      </w:r>
      <w:proofErr w:type="gramStart"/>
      <w:r>
        <w:rPr>
          <w:lang w:val="en-US"/>
        </w:rPr>
        <w:t>Medical</w:t>
      </w:r>
      <w:r>
        <w:rPr>
          <w:lang w:val="en-US"/>
        </w:rPr>
        <w:t xml:space="preserve"> School, University of Barcelona.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Casanova 143, 08036, Barcelona (Spain).</w:t>
      </w:r>
      <w:proofErr w:type="gramEnd"/>
    </w:p>
    <w:p w:rsidR="00944898" w:rsidRDefault="00F56888">
      <w:pPr>
        <w:spacing w:after="0" w:line="240" w:lineRule="auto"/>
        <w:rPr>
          <w:lang w:val="en-US"/>
        </w:rPr>
      </w:pPr>
      <w:r>
        <w:rPr>
          <w:lang w:val="en-US"/>
        </w:rPr>
        <w:t xml:space="preserve">E-mail: </w:t>
      </w:r>
      <w:hyperlink r:id="rId7">
        <w:r>
          <w:rPr>
            <w:rStyle w:val="Hyperlink"/>
            <w:lang w:val="en-US"/>
          </w:rPr>
          <w:t>albertgiralt@ub.edu</w:t>
        </w:r>
      </w:hyperlink>
    </w:p>
    <w:p w:rsidR="00944898" w:rsidRDefault="00F56888">
      <w:pPr>
        <w:spacing w:after="0" w:line="240" w:lineRule="auto"/>
      </w:pPr>
      <w:r>
        <w:rPr>
          <w:lang w:val="en-US"/>
        </w:rPr>
        <w:t xml:space="preserve">Correspondence may also be addressed to: Daniel </w:t>
      </w:r>
      <w:proofErr w:type="gramStart"/>
      <w:r>
        <w:rPr>
          <w:lang w:val="en-US"/>
        </w:rPr>
        <w:t>del</w:t>
      </w:r>
      <w:proofErr w:type="gramEnd"/>
      <w:r>
        <w:rPr>
          <w:lang w:val="en-US"/>
        </w:rPr>
        <w:t xml:space="preserve"> Toro. </w:t>
      </w:r>
      <w:r>
        <w:t>ORCID: 0000-0002-7416-2155.</w:t>
      </w:r>
    </w:p>
    <w:p w:rsidR="00944898" w:rsidRDefault="00F56888">
      <w:pPr>
        <w:spacing w:after="0" w:line="240" w:lineRule="auto"/>
        <w:rPr>
          <w:lang w:val="en-US"/>
        </w:rPr>
      </w:pPr>
      <w:r>
        <w:rPr>
          <w:lang w:val="en-US"/>
        </w:rPr>
        <w:t xml:space="preserve">E-mail: </w:t>
      </w:r>
      <w:hyperlink r:id="rId8">
        <w:r>
          <w:rPr>
            <w:rStyle w:val="Hyperlink"/>
            <w:lang w:val="en-US"/>
          </w:rPr>
          <w:t>danieldeltoro@ub.edu</w:t>
        </w:r>
      </w:hyperlink>
    </w:p>
    <w:p w:rsidR="00944898" w:rsidRDefault="00F56888">
      <w:pPr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48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48"/>
          <w:lang w:val="en-CA"/>
          <w14:ligatures w14:val="none"/>
        </w:rPr>
        <w:br w:type="page"/>
      </w:r>
    </w:p>
    <w:p w:rsidR="00944898" w:rsidRDefault="00F568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48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spacing w:val="-10"/>
          <w:kern w:val="28"/>
          <w:sz w:val="28"/>
          <w:szCs w:val="48"/>
          <w:lang w:val="en-PH" w:eastAsia="en-PH"/>
          <w14:ligatures w14:val="none"/>
        </w:rPr>
        <w:lastRenderedPageBreak/>
        <w:drawing>
          <wp:inline distT="0" distB="0" distL="0" distR="0">
            <wp:extent cx="5262245" cy="5722620"/>
            <wp:effectExtent l="0" t="0" r="0" b="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tg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1" r="8279" b="27448"/>
                    <a:stretch>
                      <a:fillRect/>
                    </a:stretch>
                  </pic:blipFill>
                  <pic:spPr>
                    <a:xfrm>
                      <a:off x="0" y="0"/>
                      <a:ext cx="5267330" cy="572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98" w:rsidRDefault="00F56888">
      <w:pPr>
        <w:spacing w:line="360" w:lineRule="auto"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48"/>
          <w:lang w:val="en-CA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Supplementary figure 1.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Generation and viability of the i4F-P301S mouse line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 Mouse survival in terms of genotype and biological sex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 as well as Mendelian distribution by sex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b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were</w:t>
      </w:r>
      <w:proofErr w:type="gram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both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assessed in the i4F mouse line. Mouse survival in terms of genotype and biological sex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as well as Mendelian distribution by sex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were both assessed in the P301S mouse line. To generate the double heterozygous i4F-P301S mouse line we crossed homozygo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us i4F mice with heterozygous P301S mice. We then assessed Mendelian distribution by sex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and survival rates across lifespan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 in this new generated line of double mutant the i4F-P301S mice. For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we monitored 103 mice and for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we monitored 169 mice.</w:t>
      </w:r>
      <w:r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48"/>
          <w:lang w:val="en-CA"/>
          <w14:ligatures w14:val="none"/>
        </w:rPr>
        <w:br w:type="page"/>
      </w:r>
    </w:p>
    <w:p w:rsidR="00944898" w:rsidRDefault="009448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48"/>
          <w:lang w:val="en-CA"/>
          <w14:ligatures w14:val="none"/>
        </w:rPr>
      </w:pPr>
    </w:p>
    <w:p w:rsidR="00944898" w:rsidRDefault="00F5688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48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spacing w:val="-10"/>
          <w:kern w:val="28"/>
          <w:sz w:val="28"/>
          <w:szCs w:val="48"/>
          <w:lang w:val="en-PH" w:eastAsia="en-PH"/>
          <w14:ligatures w14:val="none"/>
        </w:rPr>
        <w:drawing>
          <wp:inline distT="0" distB="0" distL="0" distR="0">
            <wp:extent cx="5072380" cy="4079240"/>
            <wp:effectExtent l="0" t="0" r="0" b="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705" cy="4098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898" w:rsidRDefault="00944898">
      <w:pPr>
        <w:spacing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</w:pPr>
    </w:p>
    <w:p w:rsidR="00944898" w:rsidRDefault="00F5688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Supplementary figure 2.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KLF4 protein expression in reprogrammed mice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</w:t>
      </w:r>
      <w:proofErr w:type="gram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Expression and distribution of KLF4 in i4F+Veh, i4F+Dox, i4F-P301S+Veh and i4F-P301S+Dox mice.</w:t>
      </w:r>
      <w:proofErr w:type="gram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Scale bar, 500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 Representative photomicrographs from dorsal CA1 showing KLF4 nucle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ar expression and localization in mice treated with Dox (lower row) but not in mice treated with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Veh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(upper row). Scale bar, 60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</w:t>
      </w:r>
    </w:p>
    <w:p w:rsidR="00944898" w:rsidRDefault="00F56888">
      <w:pP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br w:type="page"/>
      </w:r>
    </w:p>
    <w:p w:rsidR="00944898" w:rsidRDefault="00F56888">
      <w:pP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lang w:val="en-PH" w:eastAsia="en-PH"/>
          <w14:ligatures w14:val="none"/>
        </w:rPr>
        <w:lastRenderedPageBreak/>
        <w:drawing>
          <wp:inline distT="0" distB="0" distL="0" distR="0">
            <wp:extent cx="5336540" cy="7853680"/>
            <wp:effectExtent l="0" t="0" r="0" b="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tg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6" r="7323"/>
                    <a:stretch>
                      <a:fillRect/>
                    </a:stretch>
                  </pic:blipFill>
                  <pic:spPr>
                    <a:xfrm>
                      <a:off x="0" y="0"/>
                      <a:ext cx="5342289" cy="786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98" w:rsidRDefault="00F5688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Supplementary Figure 3.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Regional specificity and safety of the intermittent and partial reprogramming strategy.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Expression and distribution of pAAV8[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TetOn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]-TRE&gt;ZsGreen1-rev(SYN1&gt;tTS:T2A:rtTA) were examined in the brains shown in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Fig.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lastRenderedPageBreak/>
        <w:t>2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, where the vector was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stereotaxically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delivered to the hippocampus and maintained for 6 months (from 12 to 36 weeks of age). Coronal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mosaics of fixed brains from i4F-Veh, i4F-Dox, i4F-P301S+Veh, and i4F-P301S-Dox mice (n = 6 per group) were stained with DAPI (blue) and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ZsGreen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(green). No detectable recombination was observed in vehicle-treated groups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).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ZsGreen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integrated optical de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nsity (IOD) was quantified in i4F-Dox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b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,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and i4F-P301S+Dox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,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mice across four brain regions (hippocampus (HIP), striatum (STR), cortex (CTX), and thalamus (THL)) to assess potential leakiness and vector spread following doxycycline administration.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Scale bar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: 2000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 H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igh specificity of expression was confirmed in the hippocampus of doxycycline‑treated mice (Student's t-test, t = 2.363, </w:t>
      </w:r>
      <w:proofErr w:type="spellStart"/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df</w:t>
      </w:r>
      <w:proofErr w:type="spellEnd"/>
      <w:proofErr w:type="gram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= 9, P = 0.042).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 Immunostaining for NANOG (red),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ZsGreen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(green), and PYK2 in the hippocampus was performe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d to test whether transduced and partially reprogrammed neurons (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ZsGreen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+) exhibited signs of dedifferentiation (NANOG) or loss of mature neuronal identity (Pyk2). Transduced neurons retained mature neuronal features. Scale bar: 25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Immunostaining f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or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NeuN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(white) and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ZsGreen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(green) evaluated whether partial reprogramming affected neuronal maturity or density. Principal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hippocampal</w:t>
      </w:r>
      <w:proofErr w:type="gram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neurons maintained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NeuN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expression. Scale bar: 25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g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NeuN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-positive cell density from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was quantified in hippoca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mpi from all four groups (n = 6–7 mice/group). No differences in neuronal density were detected (</w:t>
      </w:r>
      <w:bookmarkStart w:id="1" w:name="OLE_LINK1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Two-way ANOVA,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4"/>
          <w:vertAlign w:val="subscript"/>
          <w:lang w:val="en-CA"/>
          <w14:ligatures w14:val="none"/>
        </w:rPr>
        <w:t>(</w:t>
      </w:r>
      <w:proofErr w:type="gramEnd"/>
      <w:r>
        <w:rPr>
          <w:rFonts w:ascii="Times New Roman" w:eastAsia="Calibri" w:hAnsi="Times New Roman" w:cs="Times New Roman"/>
          <w:kern w:val="0"/>
          <w:sz w:val="24"/>
          <w:vertAlign w:val="subscript"/>
          <w:lang w:val="en-CA"/>
          <w14:ligatures w14:val="none"/>
        </w:rPr>
        <w:t>1,21)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= 0.4623; P = 0.5040</w:t>
      </w:r>
      <w:bookmarkEnd w:id="1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).</w:t>
      </w:r>
    </w:p>
    <w:p w:rsidR="00944898" w:rsidRDefault="00F56888">
      <w:pP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br w:type="page"/>
      </w:r>
    </w:p>
    <w:p w:rsidR="00944898" w:rsidRDefault="00F56888">
      <w:pPr>
        <w:spacing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</w:pPr>
      <w:r>
        <w:rPr>
          <w:rFonts w:ascii="Times New Roman" w:eastAsia="Calibri" w:hAnsi="Times New Roman" w:cs="Times New Roman"/>
          <w:b/>
          <w:noProof/>
          <w:kern w:val="0"/>
          <w:sz w:val="24"/>
          <w:lang w:val="en-PH" w:eastAsia="en-PH"/>
          <w14:ligatures w14:val="none"/>
        </w:rPr>
        <w:lastRenderedPageBreak/>
        <w:drawing>
          <wp:inline distT="0" distB="0" distL="0" distR="0">
            <wp:extent cx="5055235" cy="7134860"/>
            <wp:effectExtent l="0" t="0" r="0" b="8890"/>
            <wp:docPr id="9" name="Imat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tg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7" r="7167" b="8572"/>
                    <a:stretch>
                      <a:fillRect/>
                    </a:stretch>
                  </pic:blipFill>
                  <pic:spPr>
                    <a:xfrm>
                      <a:off x="0" y="0"/>
                      <a:ext cx="5059094" cy="714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98" w:rsidRDefault="00F5688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Supplementary Figure 4.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Hippocampal cellular specificity of the intermittent and partial reprogramming strategy.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Expression and distribution of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pAAV8[</w:t>
      </w:r>
      <w:proofErr w:type="spellStart"/>
      <w:proofErr w:type="gram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TetOn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]-TRE&gt;ZsGreen1-rev(SYN1&gt;tTS:T2A:rtTA) were examined at a cellular level in the hippocampus of i4F-Veh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, i4F-Dox, i4F-P301S+Veh, and i4F-P301S-Dox mice after 5 months treatment (from 12 to 36 weeks of age) with Doxycycline or vehicle. Sections from males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and females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b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 were stained for different cell types (in red) namely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lastRenderedPageBreak/>
        <w:t xml:space="preserve">GFAP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(astrocyte marker), IBA1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(microglial marker) and OLIG2 (oligodendroglia marker). </w:t>
      </w:r>
      <w:proofErr w:type="spellStart"/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ZsGreen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(green) labeled transduced and reprogrammed cells.</w:t>
      </w:r>
      <w:proofErr w:type="gram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No detectable co-staining with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ZsGreen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and any of the aforementioned markers was observed. Scale bars: 25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</w:t>
      </w:r>
    </w:p>
    <w:p w:rsidR="00944898" w:rsidRDefault="0094489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</w:p>
    <w:p w:rsidR="00944898" w:rsidRDefault="00F56888">
      <w:pP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br w:type="page"/>
      </w:r>
    </w:p>
    <w:p w:rsidR="00944898" w:rsidRDefault="00F56888">
      <w:pPr>
        <w:spacing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</w:pPr>
      <w:r>
        <w:rPr>
          <w:rFonts w:ascii="Times New Roman" w:eastAsia="Calibri" w:hAnsi="Times New Roman" w:cs="Times New Roman"/>
          <w:b/>
          <w:noProof/>
          <w:kern w:val="0"/>
          <w:sz w:val="24"/>
          <w:lang w:val="en-PH" w:eastAsia="en-PH"/>
          <w14:ligatures w14:val="none"/>
        </w:rPr>
        <w:lastRenderedPageBreak/>
        <w:drawing>
          <wp:inline distT="0" distB="0" distL="0" distR="0">
            <wp:extent cx="5191760" cy="7402830"/>
            <wp:effectExtent l="0" t="0" r="8890" b="7620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tg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6" r="7822" b="10267"/>
                    <a:stretch>
                      <a:fillRect/>
                    </a:stretch>
                  </pic:blipFill>
                  <pic:spPr>
                    <a:xfrm>
                      <a:off x="0" y="0"/>
                      <a:ext cx="5197394" cy="741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98" w:rsidRDefault="00F5688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Supplementary Figure 5.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Ch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aracterization of </w:t>
      </w:r>
      <w:proofErr w:type="spell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astroglial</w:t>
      </w:r>
      <w:proofErr w:type="spell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and microglial function.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Hippocampal sections from the brains analyzed in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Figs. 3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and 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were examined for additional potential alterations in glial cell states and functions.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 Representative images showing GFAP (turquoise),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an astrocytic marker, co‑stained with TNFα (pink), a pro‑inflammatory marker, in the CA1 region of i4F‑Veh, i4F‑Dox, i4F‑P301S+Veh, 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lastRenderedPageBreak/>
        <w:t xml:space="preserve">and i4F‑P301S‑Dox mice after 5 months of doxycycline or vehicle treatment (12–36 weeks of age). Scale bar: 60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.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b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Densit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ometric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quantification of TNFα immunofluorescence from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), expressed as integrated optical density (IOD). A significant effect was detected (Two‑way ANOVA,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4"/>
          <w:vertAlign w:val="subscript"/>
          <w:lang w:val="en-CA"/>
          <w14:ligatures w14:val="none"/>
        </w:rPr>
        <w:t>(</w:t>
      </w:r>
      <w:proofErr w:type="gramEnd"/>
      <w:r>
        <w:rPr>
          <w:rFonts w:ascii="Times New Roman" w:eastAsia="Calibri" w:hAnsi="Times New Roman" w:cs="Times New Roman"/>
          <w:kern w:val="0"/>
          <w:sz w:val="24"/>
          <w:vertAlign w:val="subscript"/>
          <w:lang w:val="en-CA"/>
          <w14:ligatures w14:val="none"/>
        </w:rPr>
        <w:t>1,27)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= 6.363, P = 0.0179). A total of 7–8 mice per group (2 slices per mouse) were analyzed.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Representative images showing IBA1 (red), a microglial marker, co‑stained with CD68 (pink), an indicator of microglial phagocytic activity, in the CA1 region across the same four groups after 5 months of treatment. Scale bar: 15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μm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. (d)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Densitometric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quan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tification of CD68 immunofluorescence normalized to the number of IBA1‑positive cells. A significant effect was observed (Two‑way ANOVA,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4"/>
          <w:vertAlign w:val="subscript"/>
          <w:lang w:val="en-CA"/>
          <w14:ligatures w14:val="none"/>
        </w:rPr>
        <w:t>(</w:t>
      </w:r>
      <w:proofErr w:type="gramEnd"/>
      <w:r>
        <w:rPr>
          <w:rFonts w:ascii="Times New Roman" w:eastAsia="Calibri" w:hAnsi="Times New Roman" w:cs="Times New Roman"/>
          <w:kern w:val="0"/>
          <w:sz w:val="24"/>
          <w:vertAlign w:val="subscript"/>
          <w:lang w:val="en-CA"/>
          <w14:ligatures w14:val="none"/>
        </w:rPr>
        <w:t>1,24)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= 9.735; P = 0.0047). A total of 6–8 mice per group (2 slices per mouse) were analyzed.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e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 Differentially expr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essed proteins associated with disease‑associated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astroglia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(DAA) and disease‑associated microglia (DAM) were identified from the mass spectrometry dataset (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Supplementary Table 1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). Only major proteins detected in our mass spectrometry analysis and classifi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>ed as DAA or DAM are shown.</w:t>
      </w:r>
    </w:p>
    <w:p w:rsidR="00944898" w:rsidRDefault="00F56888">
      <w:pP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br w:type="page"/>
      </w:r>
    </w:p>
    <w:p w:rsidR="00944898" w:rsidRDefault="00F56888">
      <w:pPr>
        <w:rPr>
          <w:lang w:val="en-CA"/>
        </w:rPr>
      </w:pPr>
      <w:r>
        <w:rPr>
          <w:noProof/>
          <w:lang w:val="en-PH" w:eastAsia="en-PH"/>
        </w:rPr>
        <w:lastRenderedPageBreak/>
        <w:drawing>
          <wp:inline distT="0" distB="0" distL="0" distR="0">
            <wp:extent cx="5368290" cy="3055620"/>
            <wp:effectExtent l="0" t="0" r="0" b="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tg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710" cy="3072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898" w:rsidRDefault="00944898">
      <w:pPr>
        <w:spacing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</w:pPr>
    </w:p>
    <w:p w:rsidR="00944898" w:rsidRDefault="00F5688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Supplementary figure 6.</w:t>
      </w:r>
      <w:proofErr w:type="gramEnd"/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 xml:space="preserve"> Lists of synaptic differentially expressed proteins in reprogrammed mice.</w:t>
      </w:r>
      <w:r>
        <w:rPr>
          <w:rFonts w:ascii="Times New Roman" w:eastAsia="Calibri" w:hAnsi="Times New Roman" w:cs="Times New Roman"/>
          <w:kern w:val="0"/>
          <w:sz w:val="24"/>
          <w:lang w:val="en-CA"/>
          <w14:ligatures w14:val="none"/>
        </w:rPr>
        <w:t xml:space="preserve"> Differentially expressed proteins using the KEGG 2021 Human database in two comparisons, i4F+Veh vs i4F-P301S+Veh (upper panel) and i4F+Veh vs i4F-P301S+Dox (lower panel)</w:t>
      </w:r>
      <w:r>
        <w:rPr>
          <w:rFonts w:ascii="Times New Roman" w:eastAsia="Calibri" w:hAnsi="Times New Roman" w:cs="Times New Roman"/>
          <w:b/>
          <w:kern w:val="0"/>
          <w:sz w:val="24"/>
          <w:lang w:val="en-CA"/>
          <w14:ligatures w14:val="none"/>
        </w:rPr>
        <w:t>.</w:t>
      </w:r>
    </w:p>
    <w:p w:rsidR="00944898" w:rsidRDefault="00944898">
      <w:pPr>
        <w:rPr>
          <w:lang w:val="en-CA"/>
        </w:rPr>
      </w:pPr>
    </w:p>
    <w:p w:rsidR="00944898" w:rsidRDefault="00944898">
      <w:pPr>
        <w:rPr>
          <w:lang w:val="en-CA"/>
        </w:rPr>
      </w:pPr>
    </w:p>
    <w:sectPr w:rsidR="009448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898" w:rsidRDefault="00F56888">
      <w:pPr>
        <w:spacing w:line="240" w:lineRule="auto"/>
      </w:pPr>
      <w:r>
        <w:separator/>
      </w:r>
    </w:p>
  </w:endnote>
  <w:endnote w:type="continuationSeparator" w:id="0">
    <w:p w:rsidR="00944898" w:rsidRDefault="00F56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Microsoft YaHei"/>
    <w:charset w:val="86"/>
    <w:family w:val="swiss"/>
    <w:pitch w:val="default"/>
    <w:sig w:usb0="00000000" w:usb1="00000000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  <w:font w:name="DengXian Light">
    <w:altName w:val="等线 Light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898" w:rsidRDefault="00F56888">
      <w:pPr>
        <w:spacing w:after="0"/>
      </w:pPr>
      <w:r>
        <w:separator/>
      </w:r>
    </w:p>
  </w:footnote>
  <w:footnote w:type="continuationSeparator" w:id="0">
    <w:p w:rsidR="00944898" w:rsidRDefault="00F568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D7"/>
    <w:rsid w:val="000351F0"/>
    <w:rsid w:val="00081573"/>
    <w:rsid w:val="000B5200"/>
    <w:rsid w:val="001014B0"/>
    <w:rsid w:val="00115976"/>
    <w:rsid w:val="00125553"/>
    <w:rsid w:val="001838DA"/>
    <w:rsid w:val="001A1C51"/>
    <w:rsid w:val="001C4C98"/>
    <w:rsid w:val="002B7EAC"/>
    <w:rsid w:val="002D1279"/>
    <w:rsid w:val="00336748"/>
    <w:rsid w:val="003E7FE6"/>
    <w:rsid w:val="004C66BB"/>
    <w:rsid w:val="004D76BD"/>
    <w:rsid w:val="004F6B94"/>
    <w:rsid w:val="005C6675"/>
    <w:rsid w:val="006B701C"/>
    <w:rsid w:val="007E6DBD"/>
    <w:rsid w:val="008534F7"/>
    <w:rsid w:val="008B3969"/>
    <w:rsid w:val="00944898"/>
    <w:rsid w:val="009D541C"/>
    <w:rsid w:val="00A13B14"/>
    <w:rsid w:val="00A22E15"/>
    <w:rsid w:val="00AF0B05"/>
    <w:rsid w:val="00AF7943"/>
    <w:rsid w:val="00B3111A"/>
    <w:rsid w:val="00B44207"/>
    <w:rsid w:val="00B71ED7"/>
    <w:rsid w:val="00BC782F"/>
    <w:rsid w:val="00C52D8F"/>
    <w:rsid w:val="00CA2AAA"/>
    <w:rsid w:val="00CC40E7"/>
    <w:rsid w:val="00DB2FB4"/>
    <w:rsid w:val="00DC17A1"/>
    <w:rsid w:val="00DF0195"/>
    <w:rsid w:val="00EA4120"/>
    <w:rsid w:val="00F56888"/>
    <w:rsid w:val="00F751EC"/>
    <w:rsid w:val="6EB1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s-ES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s-ES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deltoro@ub.edu" TargetMode="Externa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albertgiralt@ub.edu" TargetMode="External"/><Relationship Id="rId12" Type="http://schemas.openxmlformats.org/officeDocument/2006/relationships/image" Target="media/image4.tif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11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Giralt Torroella</dc:creator>
  <cp:lastModifiedBy>Diana Rose Orellana</cp:lastModifiedBy>
  <cp:revision>18</cp:revision>
  <dcterms:created xsi:type="dcterms:W3CDTF">2025-08-11T14:07:00Z</dcterms:created>
  <dcterms:modified xsi:type="dcterms:W3CDTF">2026-06-04T01:54:00Z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eyJoZGlkIjoiZTAzOTlkZjJhOTIwYTE1ZTcxZDBmMWRjOWVmNzU1NWIiLCJ1c2VySWQiOiIxNzYxNzgwNjg3In0=</vt:lpwstr>
  </property>
  <property fmtid="{D5CDD505-2E9C-101B-9397-08002B2CF9AE}" pid="3" name="KSOProductBuildVer">
    <vt:lpwstr>2052-12.1.0.26375</vt:lpwstr>
  </property>
  <property fmtid="{D5CDD505-2E9C-101B-9397-08002B2CF9AE}" pid="4" name="ICV">
    <vt:lpwstr>8809CE5D574A4DBF9BBF28F27527CB1A_12</vt:lpwstr>
  </property>
</Properties>
</file>