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468A" w14:textId="5A730B99" w:rsidR="00B804A7" w:rsidRDefault="00B804A7" w:rsidP="00B804A7">
      <w:pPr>
        <w:jc w:val="center"/>
        <w:rPr>
          <w:b/>
          <w:bCs/>
          <w:sz w:val="32"/>
          <w:szCs w:val="32"/>
          <w:lang w:val="en-US"/>
        </w:rPr>
      </w:pPr>
      <w:r w:rsidRPr="00B804A7">
        <w:rPr>
          <w:b/>
          <w:bCs/>
          <w:sz w:val="32"/>
          <w:szCs w:val="32"/>
          <w:lang w:val="en-US"/>
        </w:rPr>
        <w:t>Supplementary Material</w:t>
      </w:r>
    </w:p>
    <w:p w14:paraId="2DDFD6C6" w14:textId="31A5F0F0" w:rsidR="00B804A7" w:rsidRPr="00B804A7" w:rsidRDefault="00B804A7" w:rsidP="00B804A7">
      <w:pPr>
        <w:spacing w:line="360" w:lineRule="auto"/>
        <w:jc w:val="center"/>
        <w:rPr>
          <w:rFonts w:ascii="Aptos" w:hAnsi="Aptos" w:cs="Arial"/>
          <w:b/>
          <w:bCs/>
          <w:sz w:val="32"/>
          <w:szCs w:val="32"/>
          <w:lang w:val="en-US"/>
        </w:rPr>
      </w:pPr>
      <w:r w:rsidRPr="00B804A7">
        <w:rPr>
          <w:rFonts w:ascii="Aptos" w:hAnsi="Aptos" w:cs="Arial"/>
          <w:b/>
          <w:bCs/>
          <w:sz w:val="32"/>
          <w:szCs w:val="32"/>
          <w:lang w:val="en-US"/>
        </w:rPr>
        <w:t>A dual role for miR-210-3p in hypoxia-driven signaling and mitotic regulation in cancer</w:t>
      </w:r>
    </w:p>
    <w:p w14:paraId="7F3F4257" w14:textId="189781B4" w:rsidR="00B804A7" w:rsidRPr="00834649" w:rsidRDefault="00B804A7" w:rsidP="00B804A7">
      <w:pPr>
        <w:spacing w:line="360" w:lineRule="auto"/>
        <w:jc w:val="center"/>
        <w:rPr>
          <w:rFonts w:ascii="Aptos" w:hAnsi="Aptos" w:cs="Arial"/>
          <w:vertAlign w:val="superscript"/>
        </w:rPr>
      </w:pPr>
      <w:r w:rsidRPr="0004308B">
        <w:rPr>
          <w:rFonts w:ascii="Aptos" w:hAnsi="Aptos" w:cs="Arial"/>
        </w:rPr>
        <w:t>Jaime San-Juan-Guardado</w:t>
      </w:r>
      <w:r w:rsidRPr="0004308B">
        <w:rPr>
          <w:rFonts w:ascii="Aptos" w:hAnsi="Aptos" w:cs="Arial"/>
          <w:vertAlign w:val="superscript"/>
        </w:rPr>
        <w:t>1,2</w:t>
      </w:r>
      <w:r w:rsidRPr="0004308B">
        <w:rPr>
          <w:rFonts w:ascii="Aptos" w:hAnsi="Aptos" w:cs="Arial"/>
        </w:rPr>
        <w:t>, María Turienzo-Durán</w:t>
      </w:r>
      <w:r w:rsidRPr="0004308B">
        <w:rPr>
          <w:rFonts w:ascii="Aptos" w:hAnsi="Aptos" w:cs="Arial"/>
          <w:vertAlign w:val="superscript"/>
        </w:rPr>
        <w:t>1</w:t>
      </w:r>
      <w:r w:rsidRPr="0004308B">
        <w:rPr>
          <w:rFonts w:ascii="Aptos" w:hAnsi="Aptos" w:cs="Arial"/>
        </w:rPr>
        <w:t>, Álvaro Suárez-Priede</w:t>
      </w:r>
      <w:r w:rsidRPr="0004308B">
        <w:rPr>
          <w:rFonts w:ascii="Aptos" w:hAnsi="Aptos" w:cs="Arial"/>
          <w:vertAlign w:val="superscript"/>
        </w:rPr>
        <w:t>1,2</w:t>
      </w:r>
      <w:r w:rsidRPr="0004308B">
        <w:rPr>
          <w:rFonts w:ascii="Aptos" w:hAnsi="Aptos" w:cs="Arial"/>
        </w:rPr>
        <w:t>, Nerea Gómez-Su</w:t>
      </w:r>
      <w:r>
        <w:rPr>
          <w:rFonts w:ascii="Aptos" w:hAnsi="Aptos" w:cs="Arial"/>
        </w:rPr>
        <w:t>á</w:t>
      </w:r>
      <w:r w:rsidRPr="0004308B">
        <w:rPr>
          <w:rFonts w:ascii="Aptos" w:hAnsi="Aptos" w:cs="Arial"/>
        </w:rPr>
        <w:t>rez</w:t>
      </w:r>
      <w:r w:rsidRPr="0004308B">
        <w:rPr>
          <w:rFonts w:ascii="Aptos" w:hAnsi="Aptos" w:cs="Arial"/>
          <w:vertAlign w:val="superscript"/>
        </w:rPr>
        <w:t>1,2</w:t>
      </w:r>
      <w:r>
        <w:rPr>
          <w:rFonts w:ascii="Aptos" w:hAnsi="Aptos" w:cs="Arial"/>
        </w:rPr>
        <w:t xml:space="preserve">, </w:t>
      </w:r>
      <w:r w:rsidRPr="00834649">
        <w:rPr>
          <w:rFonts w:ascii="Aptos" w:hAnsi="Aptos" w:cs="Arial"/>
        </w:rPr>
        <w:t>Candelaria Aguilar-García</w:t>
      </w:r>
      <w:r w:rsidRPr="00834649">
        <w:rPr>
          <w:rFonts w:ascii="Aptos" w:hAnsi="Aptos" w:cs="Arial"/>
          <w:vertAlign w:val="superscript"/>
        </w:rPr>
        <w:t>1,2,3</w:t>
      </w:r>
      <w:r w:rsidRPr="00834649">
        <w:rPr>
          <w:rFonts w:ascii="Aptos" w:hAnsi="Aptos" w:cs="Arial"/>
        </w:rPr>
        <w:t>, Tamara Cubiella</w:t>
      </w:r>
      <w:r w:rsidRPr="00834649">
        <w:rPr>
          <w:rFonts w:ascii="Aptos" w:hAnsi="Aptos" w:cs="Arial"/>
          <w:vertAlign w:val="superscript"/>
        </w:rPr>
        <w:t>1,</w:t>
      </w:r>
      <w:proofErr w:type="gramStart"/>
      <w:r w:rsidRPr="00834649">
        <w:rPr>
          <w:rFonts w:ascii="Aptos" w:hAnsi="Aptos" w:cs="Arial"/>
          <w:vertAlign w:val="superscript"/>
        </w:rPr>
        <w:t>2,</w:t>
      </w:r>
      <w:r w:rsidR="0045560B">
        <w:rPr>
          <w:rFonts w:ascii="Aptos" w:hAnsi="Aptos" w:cs="Arial"/>
          <w:vertAlign w:val="superscript"/>
        </w:rPr>
        <w:t>*</w:t>
      </w:r>
      <w:proofErr w:type="gramEnd"/>
      <w:r w:rsidR="0045560B">
        <w:rPr>
          <w:rFonts w:ascii="Aptos" w:hAnsi="Aptos" w:cs="Arial"/>
          <w:vertAlign w:val="superscript"/>
        </w:rPr>
        <w:t xml:space="preserve"> </w:t>
      </w:r>
      <w:r w:rsidRPr="00834649">
        <w:rPr>
          <w:rFonts w:ascii="Aptos" w:hAnsi="Aptos" w:cs="Arial"/>
        </w:rPr>
        <w:t>and María-Dolores Chiara</w:t>
      </w:r>
      <w:r w:rsidRPr="00834649">
        <w:rPr>
          <w:rFonts w:ascii="Aptos" w:hAnsi="Aptos" w:cs="Arial"/>
          <w:vertAlign w:val="superscript"/>
        </w:rPr>
        <w:t>1,</w:t>
      </w:r>
      <w:proofErr w:type="gramStart"/>
      <w:r w:rsidRPr="00834649">
        <w:rPr>
          <w:rFonts w:ascii="Aptos" w:hAnsi="Aptos" w:cs="Arial"/>
          <w:vertAlign w:val="superscript"/>
        </w:rPr>
        <w:t>2,</w:t>
      </w:r>
      <w:r w:rsidR="0045560B">
        <w:rPr>
          <w:rFonts w:ascii="Aptos" w:hAnsi="Aptos" w:cs="Arial"/>
          <w:vertAlign w:val="superscript"/>
        </w:rPr>
        <w:t>*</w:t>
      </w:r>
      <w:proofErr w:type="gramEnd"/>
    </w:p>
    <w:p w14:paraId="38E110B2" w14:textId="77777777" w:rsidR="00B804A7" w:rsidRPr="00B804A7" w:rsidRDefault="00B804A7" w:rsidP="00B804A7">
      <w:pPr>
        <w:jc w:val="center"/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vertAlign w:val="superscript"/>
          <w:lang w:val="en-US"/>
        </w:rPr>
        <w:t>1</w:t>
      </w:r>
      <w:r w:rsidRPr="00B804A7">
        <w:rPr>
          <w:rFonts w:ascii="Aptos" w:hAnsi="Aptos" w:cs="Arial"/>
          <w:lang w:val="en-US"/>
        </w:rPr>
        <w:t xml:space="preserve"> Health Research Institute of the Principality of Asturias, 33011 Oviedo, Spain.</w:t>
      </w:r>
    </w:p>
    <w:p w14:paraId="2D4A57B4" w14:textId="77777777" w:rsidR="00B804A7" w:rsidRPr="00B804A7" w:rsidRDefault="00B804A7" w:rsidP="00B804A7">
      <w:pPr>
        <w:jc w:val="center"/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vertAlign w:val="superscript"/>
          <w:lang w:val="en-US"/>
        </w:rPr>
        <w:t>2</w:t>
      </w:r>
      <w:r w:rsidRPr="00B804A7">
        <w:rPr>
          <w:rFonts w:ascii="Aptos" w:hAnsi="Aptos" w:cs="Arial"/>
          <w:lang w:val="en-US"/>
        </w:rPr>
        <w:t xml:space="preserve"> Institute of Oncology of the Principality of Asturias, University of Oviedo, 33006 Oviedo, Spain.</w:t>
      </w:r>
    </w:p>
    <w:p w14:paraId="18136278" w14:textId="77777777" w:rsidR="00B804A7" w:rsidRPr="00B804A7" w:rsidRDefault="00B804A7" w:rsidP="00B804A7">
      <w:pPr>
        <w:jc w:val="center"/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vertAlign w:val="superscript"/>
          <w:lang w:val="en-US"/>
        </w:rPr>
        <w:t>3</w:t>
      </w:r>
      <w:r w:rsidRPr="00B804A7">
        <w:rPr>
          <w:rFonts w:ascii="Aptos" w:hAnsi="Aptos" w:cs="Arial"/>
          <w:lang w:val="en-US"/>
        </w:rPr>
        <w:t xml:space="preserve"> Department of Functional Biology, Immunology, University of Oviedo, 33006 Oviedo, Spain</w:t>
      </w:r>
    </w:p>
    <w:p w14:paraId="15804AEC" w14:textId="77777777" w:rsidR="00B804A7" w:rsidRPr="00B804A7" w:rsidRDefault="00B804A7" w:rsidP="00B804A7">
      <w:pPr>
        <w:rPr>
          <w:rFonts w:ascii="Aptos" w:hAnsi="Aptos" w:cs="Segoe UI"/>
          <w:b/>
          <w:bCs/>
          <w:color w:val="000000" w:themeColor="text1"/>
          <w:lang w:val="en-US"/>
        </w:rPr>
      </w:pPr>
    </w:p>
    <w:p w14:paraId="75C6F4EE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b/>
          <w:bCs/>
          <w:lang w:val="en-US"/>
        </w:rPr>
        <w:t>Correspondence to</w:t>
      </w:r>
      <w:r w:rsidRPr="00B804A7">
        <w:rPr>
          <w:rFonts w:ascii="Aptos" w:hAnsi="Aptos" w:cs="Arial"/>
          <w:lang w:val="en-US"/>
        </w:rPr>
        <w:t xml:space="preserve">: </w:t>
      </w:r>
    </w:p>
    <w:p w14:paraId="6CAF4D50" w14:textId="77777777" w:rsidR="00B804A7" w:rsidRPr="00B804A7" w:rsidRDefault="00B804A7" w:rsidP="00B804A7">
      <w:pPr>
        <w:rPr>
          <w:rFonts w:ascii="Aptos" w:hAnsi="Aptos" w:cs="Arial"/>
          <w:lang w:val="en-US"/>
        </w:rPr>
      </w:pPr>
    </w:p>
    <w:p w14:paraId="1C35E3D6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María-Dolores Chiara</w:t>
      </w:r>
    </w:p>
    <w:p w14:paraId="5A724043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 xml:space="preserve">Health Research Institute of the </w:t>
      </w:r>
      <w:proofErr w:type="spellStart"/>
      <w:r w:rsidRPr="00B804A7">
        <w:rPr>
          <w:rFonts w:ascii="Aptos" w:hAnsi="Aptos" w:cs="Arial"/>
          <w:lang w:val="en-US"/>
        </w:rPr>
        <w:t>Principado</w:t>
      </w:r>
      <w:proofErr w:type="spellEnd"/>
      <w:r w:rsidRPr="00B804A7">
        <w:rPr>
          <w:rFonts w:ascii="Aptos" w:hAnsi="Aptos" w:cs="Arial"/>
          <w:lang w:val="en-US"/>
        </w:rPr>
        <w:t xml:space="preserve"> de Asturias</w:t>
      </w:r>
    </w:p>
    <w:p w14:paraId="6C183B08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Av del Hospital Universitario s/n</w:t>
      </w:r>
    </w:p>
    <w:p w14:paraId="789D82EF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33011-Oviedo</w:t>
      </w:r>
    </w:p>
    <w:p w14:paraId="4DB513B8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Spain</w:t>
      </w:r>
    </w:p>
    <w:p w14:paraId="36C24E4A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mdchiara.uo@uniovi.es</w:t>
      </w:r>
    </w:p>
    <w:p w14:paraId="57423B8E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Tel.: +34 985107956</w:t>
      </w:r>
    </w:p>
    <w:p w14:paraId="22F3AC27" w14:textId="77777777" w:rsidR="00B804A7" w:rsidRPr="00B804A7" w:rsidRDefault="00B804A7" w:rsidP="00B804A7">
      <w:pPr>
        <w:rPr>
          <w:rFonts w:ascii="Aptos" w:hAnsi="Aptos" w:cs="Arial"/>
          <w:lang w:val="en-US"/>
        </w:rPr>
      </w:pPr>
    </w:p>
    <w:p w14:paraId="7920076A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 xml:space="preserve">Tamara </w:t>
      </w:r>
      <w:proofErr w:type="spellStart"/>
      <w:r w:rsidRPr="00B804A7">
        <w:rPr>
          <w:rFonts w:ascii="Aptos" w:hAnsi="Aptos" w:cs="Arial"/>
          <w:lang w:val="en-US"/>
        </w:rPr>
        <w:t>Cubiella</w:t>
      </w:r>
      <w:proofErr w:type="spellEnd"/>
    </w:p>
    <w:p w14:paraId="5CC97700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 xml:space="preserve">Health Research Institute of the </w:t>
      </w:r>
      <w:proofErr w:type="spellStart"/>
      <w:r w:rsidRPr="00B804A7">
        <w:rPr>
          <w:rFonts w:ascii="Aptos" w:hAnsi="Aptos" w:cs="Arial"/>
          <w:lang w:val="en-US"/>
        </w:rPr>
        <w:t>Principado</w:t>
      </w:r>
      <w:proofErr w:type="spellEnd"/>
      <w:r w:rsidRPr="00B804A7">
        <w:rPr>
          <w:rFonts w:ascii="Aptos" w:hAnsi="Aptos" w:cs="Arial"/>
          <w:lang w:val="en-US"/>
        </w:rPr>
        <w:t xml:space="preserve"> de Asturias</w:t>
      </w:r>
    </w:p>
    <w:p w14:paraId="37E720D4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Av del Hospital Universitario s/n</w:t>
      </w:r>
    </w:p>
    <w:p w14:paraId="38E33916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33011-Oviedo</w:t>
      </w:r>
    </w:p>
    <w:p w14:paraId="0011D331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Spain</w:t>
      </w:r>
    </w:p>
    <w:p w14:paraId="46DFBC3E" w14:textId="77777777" w:rsidR="00B804A7" w:rsidRPr="00B804A7" w:rsidRDefault="00B804A7" w:rsidP="00B804A7">
      <w:pPr>
        <w:rPr>
          <w:rFonts w:ascii="Aptos" w:hAnsi="Aptos" w:cs="Arial"/>
          <w:lang w:val="en-US"/>
        </w:rPr>
      </w:pPr>
      <w:r w:rsidRPr="00B804A7">
        <w:rPr>
          <w:rFonts w:ascii="Aptos" w:hAnsi="Aptos" w:cs="Arial"/>
          <w:lang w:val="en-US"/>
        </w:rPr>
        <w:t>tamara.cubiella@ispasturias.es</w:t>
      </w:r>
    </w:p>
    <w:p w14:paraId="10456E45" w14:textId="77777777" w:rsidR="00B804A7" w:rsidRPr="0069555A" w:rsidRDefault="00B804A7" w:rsidP="00B804A7">
      <w:pPr>
        <w:rPr>
          <w:rFonts w:ascii="Aptos" w:hAnsi="Aptos" w:cs="Arial"/>
          <w:lang w:val="en-GB"/>
        </w:rPr>
      </w:pPr>
      <w:r w:rsidRPr="0069555A">
        <w:rPr>
          <w:rFonts w:ascii="Aptos" w:hAnsi="Aptos" w:cs="Arial"/>
          <w:lang w:val="en-GB"/>
        </w:rPr>
        <w:t>Tel.: +34 985107956</w:t>
      </w:r>
    </w:p>
    <w:p w14:paraId="7909026A" w14:textId="3B7B3140" w:rsidR="00A34D04" w:rsidRDefault="0045560B" w:rsidP="00B804A7">
      <w:pPr>
        <w:rPr>
          <w:rFonts w:ascii="Aptos" w:hAnsi="Aptos" w:cs="Arial"/>
          <w:lang w:val="en-US"/>
        </w:rPr>
      </w:pPr>
      <w:r>
        <w:rPr>
          <w:rFonts w:ascii="Aptos" w:hAnsi="Aptos" w:cs="Arial"/>
          <w:lang w:val="en-US"/>
        </w:rPr>
        <w:t>*</w:t>
      </w:r>
      <w:r w:rsidR="00B804A7" w:rsidRPr="00B804A7">
        <w:rPr>
          <w:rFonts w:ascii="Aptos" w:hAnsi="Aptos" w:cs="Arial"/>
          <w:lang w:val="en-US"/>
        </w:rPr>
        <w:t xml:space="preserve"> Corresponding authors</w:t>
      </w:r>
    </w:p>
    <w:p w14:paraId="26C6EFDD" w14:textId="16A386C8" w:rsidR="00A34D04" w:rsidRPr="0045560B" w:rsidRDefault="00A34D04" w:rsidP="0045560B">
      <w:pPr>
        <w:rPr>
          <w:rFonts w:ascii="Aptos" w:hAnsi="Aptos" w:cs="Arial"/>
          <w:lang w:val="en-US"/>
        </w:rPr>
      </w:pPr>
      <w:r>
        <w:rPr>
          <w:rFonts w:ascii="Aptos" w:hAnsi="Aptos" w:cs="Arial"/>
          <w:lang w:val="en-US"/>
        </w:rPr>
        <w:br w:type="page"/>
      </w:r>
      <w:r w:rsidR="0045560B" w:rsidRPr="0045560B">
        <w:rPr>
          <w:rFonts w:ascii="Aptos" w:hAnsi="Aptos" w:cs="Arial"/>
          <w:b/>
          <w:bCs/>
          <w:lang w:val="en-US"/>
        </w:rPr>
        <w:lastRenderedPageBreak/>
        <w:t>C</w:t>
      </w:r>
      <w:r w:rsidRPr="00A34D04">
        <w:rPr>
          <w:rFonts w:ascii="Aptos" w:hAnsi="Aptos" w:cs="Arial"/>
          <w:b/>
          <w:bCs/>
          <w:lang w:val="en-US"/>
        </w:rPr>
        <w:t>ontents</w:t>
      </w:r>
    </w:p>
    <w:p w14:paraId="49E8FC45" w14:textId="6491AB67" w:rsidR="00A34D04" w:rsidRDefault="00A34D04" w:rsidP="00A34D04">
      <w:pPr>
        <w:spacing w:before="240"/>
        <w:rPr>
          <w:rFonts w:ascii="Aptos" w:hAnsi="Aptos" w:cs="Arial"/>
          <w:b/>
          <w:bCs/>
          <w:lang w:val="en-US"/>
        </w:rPr>
      </w:pPr>
      <w:r>
        <w:rPr>
          <w:rFonts w:ascii="Aptos" w:hAnsi="Aptos" w:cs="Arial"/>
          <w:b/>
          <w:bCs/>
          <w:lang w:val="en-US"/>
        </w:rPr>
        <w:t>Fig.</w:t>
      </w:r>
      <w:r w:rsidR="00836C9F">
        <w:rPr>
          <w:rFonts w:ascii="Aptos" w:hAnsi="Aptos" w:cs="Arial"/>
          <w:b/>
          <w:bCs/>
          <w:lang w:val="en-US"/>
        </w:rPr>
        <w:t xml:space="preserve"> </w:t>
      </w:r>
      <w:r>
        <w:rPr>
          <w:rFonts w:ascii="Aptos" w:hAnsi="Aptos" w:cs="Arial"/>
          <w:b/>
          <w:bCs/>
          <w:lang w:val="en-US"/>
        </w:rPr>
        <w:t>S1.</w:t>
      </w:r>
      <w:r w:rsidRPr="00A34D04">
        <w:rPr>
          <w:rFonts w:ascii="Aptos" w:hAnsi="Aptos" w:cs="Arial"/>
          <w:b/>
          <w:bCs/>
          <w:color w:val="EE0000"/>
          <w:lang w:val="en-US"/>
        </w:rPr>
        <w:t xml:space="preserve"> Densitometric quantification of the Western blot analyses shown in Figures 4–6.</w:t>
      </w:r>
    </w:p>
    <w:p w14:paraId="0A22ADD9" w14:textId="43697DD6" w:rsidR="00A34D04" w:rsidRDefault="00A34D04" w:rsidP="00A34D04">
      <w:pPr>
        <w:rPr>
          <w:rFonts w:ascii="Aptos" w:hAnsi="Aptos" w:cs="Segoe UI"/>
          <w:b/>
          <w:bCs/>
          <w:lang w:val="en-US"/>
        </w:rPr>
      </w:pPr>
      <w:r>
        <w:rPr>
          <w:rFonts w:ascii="Aptos" w:hAnsi="Aptos" w:cs="Arial"/>
          <w:b/>
          <w:bCs/>
          <w:lang w:val="en-US"/>
        </w:rPr>
        <w:t>Fig.</w:t>
      </w:r>
      <w:r w:rsidR="00836C9F">
        <w:rPr>
          <w:rFonts w:ascii="Aptos" w:hAnsi="Aptos" w:cs="Arial"/>
          <w:b/>
          <w:bCs/>
          <w:lang w:val="en-US"/>
        </w:rPr>
        <w:t xml:space="preserve"> </w:t>
      </w:r>
      <w:r>
        <w:rPr>
          <w:rFonts w:ascii="Aptos" w:hAnsi="Aptos" w:cs="Arial"/>
          <w:b/>
          <w:bCs/>
          <w:lang w:val="en-US"/>
        </w:rPr>
        <w:t>S2.</w:t>
      </w:r>
      <w:r w:rsidRPr="00A34D04">
        <w:rPr>
          <w:rFonts w:ascii="Aptos" w:hAnsi="Aptos" w:cs="Segoe UI"/>
          <w:b/>
          <w:bCs/>
          <w:lang w:val="en-US"/>
        </w:rPr>
        <w:t xml:space="preserve"> Prognostic impact of miR-210 and </w:t>
      </w:r>
      <w:r w:rsidRPr="00A34D04">
        <w:rPr>
          <w:rFonts w:ascii="Aptos" w:hAnsi="Aptos" w:cs="Segoe UI"/>
          <w:b/>
          <w:bCs/>
          <w:i/>
          <w:iCs/>
          <w:lang w:val="en-US"/>
        </w:rPr>
        <w:t>ISCU</w:t>
      </w:r>
      <w:r w:rsidRPr="00A34D04">
        <w:rPr>
          <w:rFonts w:ascii="Aptos" w:hAnsi="Aptos" w:cs="Segoe UI"/>
          <w:b/>
          <w:bCs/>
          <w:lang w:val="en-US"/>
        </w:rPr>
        <w:t xml:space="preserve"> expression in multiple tumor types.</w:t>
      </w:r>
    </w:p>
    <w:p w14:paraId="7C7910FF" w14:textId="77777777" w:rsidR="0045560B" w:rsidRPr="005D0FD4" w:rsidRDefault="0045560B" w:rsidP="0045560B">
      <w:pPr>
        <w:rPr>
          <w:rFonts w:ascii="Aptos" w:eastAsia="Aptos" w:hAnsi="Aptos"/>
          <w:b/>
          <w:bCs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Video 1. </w:t>
      </w:r>
      <w:r w:rsidRPr="005D0FD4">
        <w:rPr>
          <w:rFonts w:ascii="Aptos" w:eastAsia="Aptos" w:hAnsi="Aptos"/>
          <w:lang w:val="en-GB"/>
        </w:rPr>
        <w:t>Time-lapse MCF7 Ct cells</w:t>
      </w:r>
    </w:p>
    <w:p w14:paraId="4B8DFE5F" w14:textId="77777777" w:rsidR="0045560B" w:rsidRPr="005D0FD4" w:rsidRDefault="0045560B" w:rsidP="0045560B">
      <w:pPr>
        <w:rPr>
          <w:rFonts w:ascii="Aptos" w:eastAsia="Aptos" w:hAnsi="Aptos"/>
          <w:b/>
          <w:bCs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Video 2. </w:t>
      </w:r>
      <w:r w:rsidRPr="005D0FD4">
        <w:rPr>
          <w:rFonts w:ascii="Aptos" w:eastAsia="Aptos" w:hAnsi="Aptos"/>
          <w:lang w:val="en-GB"/>
        </w:rPr>
        <w:t xml:space="preserve">Time-lapse MCF7 </w:t>
      </w:r>
      <w:proofErr w:type="spellStart"/>
      <w:r w:rsidRPr="005D0FD4">
        <w:rPr>
          <w:rFonts w:ascii="Aptos" w:eastAsia="Aptos" w:hAnsi="Aptos"/>
          <w:lang w:val="en-GB"/>
        </w:rPr>
        <w:t>miR</w:t>
      </w:r>
      <w:proofErr w:type="spellEnd"/>
      <w:r w:rsidRPr="005D0FD4">
        <w:rPr>
          <w:rFonts w:ascii="Aptos" w:eastAsia="Aptos" w:hAnsi="Aptos"/>
          <w:lang w:val="en-GB"/>
        </w:rPr>
        <w:t xml:space="preserve"> cells</w:t>
      </w:r>
    </w:p>
    <w:p w14:paraId="2164668B" w14:textId="77777777" w:rsidR="0045560B" w:rsidRPr="005D0FD4" w:rsidRDefault="0045560B" w:rsidP="0045560B">
      <w:pPr>
        <w:rPr>
          <w:rFonts w:ascii="Aptos" w:eastAsia="Aptos" w:hAnsi="Aptos"/>
          <w:b/>
          <w:bCs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>Supplementary Tables</w:t>
      </w:r>
    </w:p>
    <w:p w14:paraId="23BEA8C8" w14:textId="2785D687" w:rsidR="0045560B" w:rsidRPr="005D0FD4" w:rsidRDefault="0045560B" w:rsidP="0045560B">
      <w:pPr>
        <w:jc w:val="both"/>
        <w:rPr>
          <w:rFonts w:ascii="Aptos" w:eastAsia="Aptos" w:hAnsi="Aptos"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Table </w:t>
      </w:r>
      <w:r w:rsidR="00935951">
        <w:rPr>
          <w:rFonts w:ascii="Aptos" w:eastAsia="Aptos" w:hAnsi="Aptos"/>
          <w:b/>
          <w:bCs/>
          <w:lang w:val="en-GB"/>
        </w:rPr>
        <w:t>S</w:t>
      </w:r>
      <w:r w:rsidRPr="005D0FD4">
        <w:rPr>
          <w:rFonts w:ascii="Aptos" w:eastAsia="Aptos" w:hAnsi="Aptos"/>
          <w:b/>
          <w:bCs/>
          <w:lang w:val="en-GB"/>
        </w:rPr>
        <w:t>1.</w:t>
      </w:r>
      <w:r w:rsidRPr="005D0FD4">
        <w:rPr>
          <w:rFonts w:ascii="Aptos" w:eastAsia="Aptos" w:hAnsi="Aptos"/>
          <w:lang w:val="en-GB"/>
        </w:rPr>
        <w:t xml:space="preserve"> miR-210-3p-mRNA expression correlations in primary </w:t>
      </w:r>
      <w:proofErr w:type="spellStart"/>
      <w:r w:rsidRPr="005D0FD4">
        <w:rPr>
          <w:rFonts w:ascii="Aptos" w:eastAsia="Aptos" w:hAnsi="Aptos"/>
          <w:lang w:val="en-GB"/>
        </w:rPr>
        <w:t>tumor</w:t>
      </w:r>
      <w:proofErr w:type="spellEnd"/>
      <w:r w:rsidRPr="005D0FD4">
        <w:rPr>
          <w:rFonts w:ascii="Aptos" w:eastAsia="Aptos" w:hAnsi="Aptos"/>
          <w:lang w:val="en-GB"/>
        </w:rPr>
        <w:t xml:space="preserve"> samples</w:t>
      </w:r>
    </w:p>
    <w:p w14:paraId="645DC2AB" w14:textId="5F71E2F4" w:rsidR="0045560B" w:rsidRPr="005D0FD4" w:rsidRDefault="0045560B" w:rsidP="0045560B">
      <w:pPr>
        <w:rPr>
          <w:rFonts w:ascii="Aptos" w:eastAsia="Aptos" w:hAnsi="Aptos"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Table </w:t>
      </w:r>
      <w:r w:rsidR="00935951">
        <w:rPr>
          <w:rFonts w:ascii="Aptos" w:eastAsia="Aptos" w:hAnsi="Aptos"/>
          <w:b/>
          <w:bCs/>
          <w:lang w:val="en-GB"/>
        </w:rPr>
        <w:t>S</w:t>
      </w:r>
      <w:r w:rsidRPr="005D0FD4">
        <w:rPr>
          <w:rFonts w:ascii="Aptos" w:eastAsia="Aptos" w:hAnsi="Aptos"/>
          <w:b/>
          <w:bCs/>
          <w:lang w:val="en-GB"/>
        </w:rPr>
        <w:t>2</w:t>
      </w:r>
      <w:r w:rsidRPr="005D0FD4">
        <w:rPr>
          <w:rFonts w:ascii="Aptos" w:eastAsia="Aptos" w:hAnsi="Aptos"/>
          <w:lang w:val="en-GB"/>
        </w:rPr>
        <w:t>. Pan-cancer functional enrichment of genes negatively and positively correlated with miR-210-3p</w:t>
      </w:r>
    </w:p>
    <w:p w14:paraId="7C01F4EE" w14:textId="779CAB9D" w:rsidR="0045560B" w:rsidRPr="005D0FD4" w:rsidRDefault="0045560B" w:rsidP="0045560B">
      <w:pPr>
        <w:rPr>
          <w:rFonts w:ascii="Aptos" w:eastAsia="Aptos" w:hAnsi="Aptos"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Table </w:t>
      </w:r>
      <w:r w:rsidR="00935951">
        <w:rPr>
          <w:rFonts w:ascii="Aptos" w:eastAsia="Aptos" w:hAnsi="Aptos"/>
          <w:b/>
          <w:bCs/>
          <w:lang w:val="en-GB"/>
        </w:rPr>
        <w:t>S</w:t>
      </w:r>
      <w:r w:rsidRPr="005D0FD4">
        <w:rPr>
          <w:rFonts w:ascii="Aptos" w:eastAsia="Aptos" w:hAnsi="Aptos"/>
          <w:b/>
          <w:bCs/>
          <w:lang w:val="en-GB"/>
        </w:rPr>
        <w:t>3</w:t>
      </w:r>
      <w:r w:rsidRPr="005D0FD4">
        <w:rPr>
          <w:rFonts w:ascii="Aptos" w:eastAsia="Aptos" w:hAnsi="Aptos"/>
          <w:lang w:val="en-GB"/>
        </w:rPr>
        <w:t xml:space="preserve">. </w:t>
      </w:r>
      <w:proofErr w:type="spellStart"/>
      <w:r w:rsidRPr="005D0FD4">
        <w:rPr>
          <w:rFonts w:ascii="Aptos" w:eastAsia="Aptos" w:hAnsi="Aptos"/>
          <w:lang w:val="en-GB"/>
        </w:rPr>
        <w:t>Tumor</w:t>
      </w:r>
      <w:proofErr w:type="spellEnd"/>
      <w:r w:rsidRPr="005D0FD4">
        <w:rPr>
          <w:rFonts w:ascii="Aptos" w:eastAsia="Aptos" w:hAnsi="Aptos"/>
          <w:lang w:val="en-GB"/>
        </w:rPr>
        <w:t>-specific functional enrichment of genes negatively correlated with miR-210-3p expression</w:t>
      </w:r>
    </w:p>
    <w:p w14:paraId="721E545B" w14:textId="0D8399E1" w:rsidR="0045560B" w:rsidRDefault="0045560B" w:rsidP="0045560B">
      <w:pPr>
        <w:rPr>
          <w:rFonts w:ascii="Aptos" w:eastAsia="Aptos" w:hAnsi="Aptos"/>
          <w:lang w:val="en-GB"/>
        </w:rPr>
      </w:pPr>
      <w:r w:rsidRPr="005D0FD4">
        <w:rPr>
          <w:rFonts w:ascii="Aptos" w:eastAsia="Aptos" w:hAnsi="Aptos"/>
          <w:b/>
          <w:bCs/>
          <w:lang w:val="en-GB"/>
        </w:rPr>
        <w:t xml:space="preserve">Table </w:t>
      </w:r>
      <w:r w:rsidR="00935951">
        <w:rPr>
          <w:rFonts w:ascii="Aptos" w:eastAsia="Aptos" w:hAnsi="Aptos"/>
          <w:b/>
          <w:bCs/>
          <w:lang w:val="en-GB"/>
        </w:rPr>
        <w:t>S</w:t>
      </w:r>
      <w:r w:rsidRPr="005D0FD4">
        <w:rPr>
          <w:rFonts w:ascii="Aptos" w:eastAsia="Aptos" w:hAnsi="Aptos"/>
          <w:b/>
          <w:bCs/>
          <w:lang w:val="en-GB"/>
        </w:rPr>
        <w:t>4</w:t>
      </w:r>
      <w:r w:rsidRPr="005D0FD4">
        <w:rPr>
          <w:rFonts w:ascii="Aptos" w:eastAsia="Aptos" w:hAnsi="Aptos"/>
          <w:lang w:val="en-GB"/>
        </w:rPr>
        <w:t xml:space="preserve">. </w:t>
      </w:r>
      <w:proofErr w:type="spellStart"/>
      <w:r w:rsidRPr="005D0FD4">
        <w:rPr>
          <w:rFonts w:ascii="Aptos" w:eastAsia="Aptos" w:hAnsi="Aptos"/>
          <w:lang w:val="en-GB"/>
        </w:rPr>
        <w:t>Tumor</w:t>
      </w:r>
      <w:proofErr w:type="spellEnd"/>
      <w:r w:rsidRPr="005D0FD4">
        <w:rPr>
          <w:rFonts w:ascii="Aptos" w:eastAsia="Aptos" w:hAnsi="Aptos"/>
          <w:lang w:val="en-GB"/>
        </w:rPr>
        <w:t>-specific functional enrichment of genes positively correlated with miR-210-3p expression</w:t>
      </w:r>
    </w:p>
    <w:p w14:paraId="61906B81" w14:textId="77777777" w:rsidR="0045560B" w:rsidRPr="0045560B" w:rsidRDefault="0045560B" w:rsidP="00A34D04">
      <w:pPr>
        <w:rPr>
          <w:rFonts w:ascii="Aptos" w:hAnsi="Aptos" w:cs="Arial"/>
          <w:b/>
          <w:bCs/>
          <w:lang w:val="en-GB"/>
        </w:rPr>
      </w:pPr>
    </w:p>
    <w:p w14:paraId="7D68C6EF" w14:textId="77777777" w:rsidR="00A34D04" w:rsidRDefault="00A34D04">
      <w:pPr>
        <w:rPr>
          <w:rFonts w:ascii="Aptos" w:eastAsia="Aptos" w:hAnsi="Aptos"/>
          <w:lang w:val="en-GB"/>
        </w:rPr>
      </w:pPr>
      <w:r>
        <w:rPr>
          <w:rFonts w:ascii="Aptos" w:eastAsia="Aptos" w:hAnsi="Aptos"/>
          <w:lang w:val="en-GB"/>
        </w:rPr>
        <w:br w:type="page"/>
      </w:r>
    </w:p>
    <w:p w14:paraId="54610302" w14:textId="77777777" w:rsidR="00A34D04" w:rsidRPr="005D0FD4" w:rsidRDefault="00A34D04" w:rsidP="00A34D04">
      <w:pPr>
        <w:rPr>
          <w:rFonts w:ascii="Aptos" w:eastAsia="Aptos" w:hAnsi="Aptos"/>
          <w:lang w:val="en-GB"/>
        </w:rPr>
      </w:pPr>
    </w:p>
    <w:p w14:paraId="27BE3700" w14:textId="77777777" w:rsidR="00A34D04" w:rsidRPr="00A34D04" w:rsidRDefault="00A34D04" w:rsidP="00A34D04">
      <w:pPr>
        <w:spacing w:before="240"/>
        <w:rPr>
          <w:rFonts w:ascii="Aptos" w:hAnsi="Aptos" w:cs="Arial"/>
          <w:b/>
          <w:bCs/>
          <w:lang w:val="en-GB"/>
        </w:rPr>
      </w:pPr>
    </w:p>
    <w:p w14:paraId="5B5E42A1" w14:textId="6B1CA25F" w:rsidR="00B804A7" w:rsidRDefault="000E7493">
      <w:r>
        <w:rPr>
          <w:noProof/>
        </w:rPr>
        <w:drawing>
          <wp:inline distT="0" distB="0" distL="0" distR="0" wp14:anchorId="448DFDFD" wp14:editId="37FBD655">
            <wp:extent cx="5400040" cy="5117465"/>
            <wp:effectExtent l="0" t="0" r="0" b="6985"/>
            <wp:docPr id="14874084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08422" name="Imagen 14874084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417C" w14:textId="7728C38C" w:rsidR="00A34D04" w:rsidRPr="00A34D04" w:rsidRDefault="00A34D04" w:rsidP="00A34D04">
      <w:pPr>
        <w:jc w:val="both"/>
        <w:rPr>
          <w:rFonts w:ascii="Aptos" w:hAnsi="Aptos" w:cs="Arial"/>
          <w:color w:val="EE0000"/>
          <w:lang w:val="en-US"/>
        </w:rPr>
      </w:pPr>
      <w:r w:rsidRPr="00A34D04">
        <w:rPr>
          <w:rFonts w:ascii="Aptos" w:hAnsi="Aptos" w:cs="Segoe UI"/>
          <w:b/>
          <w:bCs/>
          <w:color w:val="EE0000"/>
          <w:lang w:val="en-US"/>
        </w:rPr>
        <w:t xml:space="preserve">Fig. S1. </w:t>
      </w:r>
      <w:r w:rsidRPr="00A34D04">
        <w:rPr>
          <w:rFonts w:ascii="Aptos" w:hAnsi="Aptos" w:cs="Arial"/>
          <w:color w:val="EE0000"/>
          <w:lang w:val="en-US"/>
        </w:rPr>
        <w:t>Protein band intensities were quantified using Image Studio Software (LI-COR Biosciences) and normalized to the corresponding loading control (</w:t>
      </w:r>
      <w:r w:rsidRPr="005D0FD4">
        <w:rPr>
          <w:rFonts w:ascii="Aptos" w:hAnsi="Aptos" w:cs="Arial"/>
          <w:color w:val="EE0000"/>
        </w:rPr>
        <w:t>α</w:t>
      </w:r>
      <w:r w:rsidRPr="00A34D04">
        <w:rPr>
          <w:rFonts w:ascii="Aptos" w:hAnsi="Aptos" w:cs="Arial"/>
          <w:color w:val="EE0000"/>
          <w:lang w:val="en-US"/>
        </w:rPr>
        <w:t>-tubulin). Data is presented as fold change relative to the indicated control condition in each experiment. Each dot represents an independent biological replicate, and bars indicate mean ± SEM. (</w:t>
      </w:r>
      <w:r w:rsidRPr="00A34D04">
        <w:rPr>
          <w:rFonts w:ascii="Aptos" w:hAnsi="Aptos" w:cs="Arial"/>
          <w:b/>
          <w:bCs/>
          <w:color w:val="EE0000"/>
          <w:lang w:val="en-US"/>
        </w:rPr>
        <w:t>a, b</w:t>
      </w:r>
      <w:r w:rsidRPr="00A34D04">
        <w:rPr>
          <w:rFonts w:ascii="Aptos" w:hAnsi="Aptos" w:cs="Arial"/>
          <w:color w:val="EE0000"/>
          <w:lang w:val="en-US"/>
        </w:rPr>
        <w:t>) Quantification of the Western blots shown in Fig. 4g left (a) and right (b). (</w:t>
      </w:r>
      <w:r w:rsidRPr="00A34D04">
        <w:rPr>
          <w:rFonts w:ascii="Aptos" w:hAnsi="Aptos" w:cs="Arial"/>
          <w:b/>
          <w:bCs/>
          <w:color w:val="EE0000"/>
          <w:lang w:val="en-US"/>
        </w:rPr>
        <w:t>c, d</w:t>
      </w:r>
      <w:r w:rsidRPr="00A34D04">
        <w:rPr>
          <w:rFonts w:ascii="Aptos" w:hAnsi="Aptos" w:cs="Arial"/>
          <w:color w:val="EE0000"/>
          <w:lang w:val="en-US"/>
        </w:rPr>
        <w:t>) Quantification of the Western blots shown in Fig. 4h (c) and Fig. 4i (d). (</w:t>
      </w:r>
      <w:r w:rsidRPr="00A34D04">
        <w:rPr>
          <w:rFonts w:ascii="Aptos" w:hAnsi="Aptos" w:cs="Arial"/>
          <w:b/>
          <w:bCs/>
          <w:color w:val="EE0000"/>
          <w:lang w:val="en-US"/>
        </w:rPr>
        <w:t>e, f</w:t>
      </w:r>
      <w:r w:rsidRPr="00A34D04">
        <w:rPr>
          <w:rFonts w:ascii="Aptos" w:hAnsi="Aptos" w:cs="Arial"/>
          <w:color w:val="EE0000"/>
          <w:lang w:val="en-US"/>
        </w:rPr>
        <w:t>) Quantification of the Western blots shown in Fig. 5c (e) and Fig. 5d (f). (</w:t>
      </w:r>
      <w:r w:rsidRPr="00A34D04">
        <w:rPr>
          <w:rFonts w:ascii="Aptos" w:hAnsi="Aptos" w:cs="Arial"/>
          <w:b/>
          <w:bCs/>
          <w:color w:val="EE0000"/>
          <w:lang w:val="en-US"/>
        </w:rPr>
        <w:t>g</w:t>
      </w:r>
      <w:r w:rsidRPr="00A34D04">
        <w:rPr>
          <w:rFonts w:ascii="Aptos" w:hAnsi="Aptos" w:cs="Arial"/>
          <w:color w:val="EE0000"/>
          <w:lang w:val="en-US"/>
        </w:rPr>
        <w:t>) Quantification of the Western blots shown in Fig. 6d.</w:t>
      </w:r>
    </w:p>
    <w:p w14:paraId="45EF2C88" w14:textId="71E2BA62" w:rsidR="00A34D04" w:rsidRPr="0045560B" w:rsidRDefault="00A34D04">
      <w:pPr>
        <w:rPr>
          <w:b/>
          <w:bCs/>
          <w:lang w:val="en-US"/>
        </w:rPr>
      </w:pPr>
      <w:r w:rsidRPr="0045560B">
        <w:rPr>
          <w:b/>
          <w:bCs/>
          <w:lang w:val="en-US"/>
        </w:rPr>
        <w:br w:type="page"/>
      </w:r>
    </w:p>
    <w:p w14:paraId="370A8838" w14:textId="3946AB27" w:rsidR="00B804A7" w:rsidRDefault="000E749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720C085" wp14:editId="25408A06">
            <wp:extent cx="5400040" cy="2595245"/>
            <wp:effectExtent l="0" t="0" r="0" b="0"/>
            <wp:docPr id="11127855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85586" name="Imagen 11127855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68EB" w14:textId="77777777" w:rsidR="00A34D04" w:rsidRPr="00A34D04" w:rsidRDefault="00A34D04" w:rsidP="00A34D04">
      <w:pPr>
        <w:spacing w:after="240"/>
        <w:jc w:val="both"/>
        <w:rPr>
          <w:rFonts w:ascii="Aptos" w:hAnsi="Aptos" w:cs="Segoe UI"/>
          <w:lang w:val="en-US"/>
        </w:rPr>
      </w:pPr>
      <w:r w:rsidRPr="00A34D04">
        <w:rPr>
          <w:rFonts w:ascii="Aptos" w:hAnsi="Aptos" w:cs="Segoe UI"/>
          <w:b/>
          <w:bCs/>
          <w:lang w:val="en-US"/>
        </w:rPr>
        <w:t xml:space="preserve">Fig. S2. </w:t>
      </w:r>
      <w:r w:rsidRPr="00A34D04">
        <w:rPr>
          <w:rFonts w:ascii="Aptos" w:hAnsi="Aptos" w:cs="Segoe UI"/>
          <w:lang w:val="en-US"/>
        </w:rPr>
        <w:t xml:space="preserve">Kaplan-Meier survival analyses showing the association between high miR-210 expression (top row) or low </w:t>
      </w:r>
      <w:r w:rsidRPr="00A34D04">
        <w:rPr>
          <w:rFonts w:ascii="Aptos" w:hAnsi="Aptos" w:cs="Segoe UI"/>
          <w:i/>
          <w:iCs/>
          <w:lang w:val="en-US"/>
        </w:rPr>
        <w:t>ISCU</w:t>
      </w:r>
      <w:r w:rsidRPr="00A34D04">
        <w:rPr>
          <w:rFonts w:ascii="Aptos" w:hAnsi="Aptos" w:cs="Segoe UI"/>
          <w:lang w:val="en-US"/>
        </w:rPr>
        <w:t xml:space="preserve"> expression (bottom row) and overall survival in sarcoma (SARC), pancreatic adenocarcinoma (PAAD), and liver hepatocellular carcinoma (LIHC) using TCGA data. Patients were stratified into “Yes” (red lines: high miR-210 or low </w:t>
      </w:r>
      <w:r w:rsidRPr="00A34D04">
        <w:rPr>
          <w:rFonts w:ascii="Aptos" w:hAnsi="Aptos" w:cs="Segoe UI"/>
          <w:i/>
          <w:iCs/>
          <w:lang w:val="en-US"/>
        </w:rPr>
        <w:t>ISCU</w:t>
      </w:r>
      <w:r w:rsidRPr="00A34D04">
        <w:rPr>
          <w:rFonts w:ascii="Aptos" w:hAnsi="Aptos" w:cs="Segoe UI"/>
          <w:lang w:val="en-US"/>
        </w:rPr>
        <w:t xml:space="preserve"> expression) and “No” (blue lines: low miR-210 or high </w:t>
      </w:r>
      <w:r w:rsidRPr="00A34D04">
        <w:rPr>
          <w:rFonts w:ascii="Aptos" w:hAnsi="Aptos" w:cs="Segoe UI"/>
          <w:i/>
          <w:iCs/>
          <w:lang w:val="en-US"/>
        </w:rPr>
        <w:t>ISCU</w:t>
      </w:r>
      <w:r w:rsidRPr="00A34D04">
        <w:rPr>
          <w:rFonts w:ascii="Aptos" w:hAnsi="Aptos" w:cs="Segoe UI"/>
          <w:lang w:val="en-US"/>
        </w:rPr>
        <w:t xml:space="preserve"> expression) groups. p-values are from the log-rank test.</w:t>
      </w:r>
    </w:p>
    <w:sectPr w:rsidR="00A34D04" w:rsidRPr="00A34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7"/>
    <w:rsid w:val="000048A6"/>
    <w:rsid w:val="000E7493"/>
    <w:rsid w:val="002535FD"/>
    <w:rsid w:val="00260AFD"/>
    <w:rsid w:val="00355844"/>
    <w:rsid w:val="003A77EA"/>
    <w:rsid w:val="00410B6F"/>
    <w:rsid w:val="0045560B"/>
    <w:rsid w:val="007316F3"/>
    <w:rsid w:val="00836C9F"/>
    <w:rsid w:val="008D6CDE"/>
    <w:rsid w:val="00935951"/>
    <w:rsid w:val="00A34D04"/>
    <w:rsid w:val="00B804A7"/>
    <w:rsid w:val="00C47C0F"/>
    <w:rsid w:val="00F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74F0"/>
  <w15:chartTrackingRefBased/>
  <w15:docId w15:val="{1AD83555-F346-4970-8EE2-461680A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0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0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0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0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0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0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0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0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0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0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0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0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04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04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04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04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04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04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0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0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0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0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0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04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04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04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0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04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0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422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CHIARA ROMERO</dc:creator>
  <cp:keywords/>
  <dc:description/>
  <cp:lastModifiedBy>MARIA DOLORES CHIARA ROMERO</cp:lastModifiedBy>
  <cp:revision>8</cp:revision>
  <cp:lastPrinted>2026-07-22T14:33:00Z</cp:lastPrinted>
  <dcterms:created xsi:type="dcterms:W3CDTF">2026-07-22T11:20:00Z</dcterms:created>
  <dcterms:modified xsi:type="dcterms:W3CDTF">2026-07-23T10:30:00Z</dcterms:modified>
</cp:coreProperties>
</file>