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C4545">
      <w:pPr>
        <w:autoSpaceDE w:val="0"/>
        <w:autoSpaceDN w:val="0"/>
        <w:adjustRightInd w:val="0"/>
        <w:spacing w:line="480" w:lineRule="auto"/>
        <w:jc w:val="left"/>
        <w:rPr>
          <w:rFonts w:eastAsia="宋体"/>
          <w:szCs w:val="24"/>
          <w:highlight w:val="none"/>
        </w:rPr>
      </w:pPr>
      <w:bookmarkStart w:id="0" w:name="_GoBack"/>
      <w:r>
        <w:rPr>
          <w:rFonts w:hint="eastAsia" w:eastAsia="宋体"/>
          <w:szCs w:val="24"/>
          <w:highlight w:val="none"/>
        </w:rPr>
        <w:drawing>
          <wp:inline distT="0" distB="0" distL="114300" distR="114300">
            <wp:extent cx="5265420" cy="3435985"/>
            <wp:effectExtent l="0" t="0" r="11430" b="12065"/>
            <wp:docPr id="1" name="图片 1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444A6">
      <w:pPr>
        <w:pStyle w:val="6"/>
        <w:rPr>
          <w:highlight w:val="none"/>
        </w:rPr>
      </w:pPr>
      <w:r>
        <w:rPr>
          <w:b/>
          <w:bCs/>
          <w:highlight w:val="none"/>
        </w:rPr>
        <w:t>Fig</w:t>
      </w:r>
      <w:r>
        <w:rPr>
          <w:rFonts w:ascii="宋体" w:hAnsi="宋体" w:eastAsia="宋体" w:cs="宋体"/>
          <w:b/>
          <w:bCs/>
          <w:highlight w:val="none"/>
        </w:rPr>
        <w:t>.</w:t>
      </w:r>
      <w:r>
        <w:rPr>
          <w:b/>
          <w:bCs/>
          <w:highlight w:val="none"/>
        </w:rPr>
        <w:t xml:space="preserve"> S1 </w:t>
      </w:r>
      <w:r>
        <w:rPr>
          <w:highlight w:val="none"/>
        </w:rPr>
        <w:t>Expression patterns of 10 citric acid degradation-related genes in 'SY' and 'GZ' fruits during developmental stages. Error bars represent the standard error (</w:t>
      </w:r>
      <w:r>
        <w:rPr>
          <w:i/>
          <w:iCs/>
          <w:highlight w:val="none"/>
        </w:rPr>
        <w:t>n</w:t>
      </w:r>
      <w:r>
        <w:rPr>
          <w:highlight w:val="none"/>
        </w:rPr>
        <w:t xml:space="preserve"> = 3). LSD values were calculated at</w:t>
      </w:r>
      <w:r>
        <w:rPr>
          <w:i/>
          <w:highlight w:val="none"/>
        </w:rPr>
        <w:t xml:space="preserve"> </w:t>
      </w:r>
      <w:r>
        <w:rPr>
          <w:i/>
          <w:iCs/>
          <w:highlight w:val="none"/>
        </w:rPr>
        <w:t>p</w:t>
      </w:r>
      <w:r>
        <w:rPr>
          <w:rFonts w:hint="eastAsia"/>
          <w:highlight w:val="none"/>
        </w:rPr>
        <w:t xml:space="preserve"> </w:t>
      </w:r>
      <w:r>
        <w:rPr>
          <w:highlight w:val="none"/>
        </w:rPr>
        <w:t>=</w:t>
      </w:r>
      <w:r>
        <w:rPr>
          <w:rFonts w:hint="eastAsia"/>
          <w:highlight w:val="none"/>
        </w:rPr>
        <w:t xml:space="preserve"> </w:t>
      </w:r>
      <w:r>
        <w:rPr>
          <w:highlight w:val="none"/>
        </w:rPr>
        <w:t>0.05.</w:t>
      </w:r>
    </w:p>
    <w:p w14:paraId="61699078">
      <w:pPr>
        <w:autoSpaceDE w:val="0"/>
        <w:autoSpaceDN w:val="0"/>
        <w:adjustRightInd w:val="0"/>
        <w:ind w:firstLine="480"/>
        <w:jc w:val="left"/>
        <w:rPr>
          <w:szCs w:val="24"/>
          <w:highlight w:val="none"/>
        </w:rPr>
      </w:pPr>
    </w:p>
    <w:p w14:paraId="7C04B9A4">
      <w:pPr>
        <w:autoSpaceDE w:val="0"/>
        <w:autoSpaceDN w:val="0"/>
        <w:adjustRightInd w:val="0"/>
        <w:ind w:firstLine="480"/>
        <w:jc w:val="left"/>
        <w:rPr>
          <w:szCs w:val="24"/>
          <w:highlight w:val="none"/>
        </w:rPr>
      </w:pPr>
    </w:p>
    <w:p w14:paraId="5D45A0D8">
      <w:pPr>
        <w:autoSpaceDE w:val="0"/>
        <w:autoSpaceDN w:val="0"/>
        <w:adjustRightInd w:val="0"/>
        <w:ind w:firstLine="480"/>
        <w:jc w:val="left"/>
        <w:rPr>
          <w:szCs w:val="24"/>
          <w:highlight w:val="none"/>
        </w:rPr>
      </w:pPr>
    </w:p>
    <w:p w14:paraId="518F6388">
      <w:pPr>
        <w:autoSpaceDE w:val="0"/>
        <w:autoSpaceDN w:val="0"/>
        <w:adjustRightInd w:val="0"/>
        <w:ind w:firstLine="480"/>
        <w:jc w:val="left"/>
        <w:rPr>
          <w:szCs w:val="24"/>
          <w:highlight w:val="none"/>
        </w:rPr>
      </w:pPr>
    </w:p>
    <w:p w14:paraId="461F97F3">
      <w:pPr>
        <w:autoSpaceDE w:val="0"/>
        <w:autoSpaceDN w:val="0"/>
        <w:adjustRightInd w:val="0"/>
        <w:ind w:firstLine="480"/>
        <w:jc w:val="left"/>
        <w:rPr>
          <w:szCs w:val="24"/>
          <w:highlight w:val="none"/>
        </w:rPr>
      </w:pPr>
    </w:p>
    <w:p w14:paraId="156E547A">
      <w:pPr>
        <w:autoSpaceDE w:val="0"/>
        <w:autoSpaceDN w:val="0"/>
        <w:adjustRightInd w:val="0"/>
        <w:ind w:firstLine="480"/>
        <w:jc w:val="left"/>
        <w:rPr>
          <w:szCs w:val="24"/>
          <w:highlight w:val="none"/>
        </w:rPr>
      </w:pPr>
    </w:p>
    <w:p w14:paraId="498E2F73">
      <w:pPr>
        <w:autoSpaceDE w:val="0"/>
        <w:autoSpaceDN w:val="0"/>
        <w:adjustRightInd w:val="0"/>
        <w:ind w:firstLine="480"/>
        <w:jc w:val="left"/>
        <w:rPr>
          <w:szCs w:val="24"/>
          <w:highlight w:val="none"/>
        </w:rPr>
      </w:pPr>
    </w:p>
    <w:p w14:paraId="1ABC91D7">
      <w:pPr>
        <w:autoSpaceDE w:val="0"/>
        <w:autoSpaceDN w:val="0"/>
        <w:adjustRightInd w:val="0"/>
        <w:ind w:firstLine="480"/>
        <w:jc w:val="left"/>
        <w:rPr>
          <w:szCs w:val="24"/>
          <w:highlight w:val="none"/>
        </w:rPr>
      </w:pPr>
    </w:p>
    <w:p w14:paraId="4EB7C9F8">
      <w:pPr>
        <w:autoSpaceDE w:val="0"/>
        <w:autoSpaceDN w:val="0"/>
        <w:adjustRightInd w:val="0"/>
        <w:spacing w:line="240" w:lineRule="auto"/>
        <w:ind w:firstLine="480"/>
        <w:jc w:val="left"/>
        <w:rPr>
          <w:szCs w:val="24"/>
          <w:highlight w:val="none"/>
        </w:rPr>
      </w:pPr>
      <w:r>
        <w:rPr>
          <w:szCs w:val="24"/>
          <w:highlight w:val="none"/>
        </w:rPr>
        <w:drawing>
          <wp:inline distT="0" distB="0" distL="0" distR="0">
            <wp:extent cx="4535805" cy="3465830"/>
            <wp:effectExtent l="0" t="0" r="0" b="1270"/>
            <wp:docPr id="9430971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097114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05"/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346631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3D804">
      <w:pPr>
        <w:pStyle w:val="6"/>
        <w:rPr>
          <w:highlight w:val="none"/>
        </w:rPr>
      </w:pPr>
      <w:r>
        <w:rPr>
          <w:b/>
          <w:bCs/>
          <w:highlight w:val="none"/>
        </w:rPr>
        <w:t>Fig</w:t>
      </w:r>
      <w:r>
        <w:rPr>
          <w:rFonts w:ascii="宋体" w:hAnsi="宋体" w:eastAsia="宋体" w:cs="宋体"/>
          <w:b/>
          <w:bCs/>
          <w:highlight w:val="none"/>
        </w:rPr>
        <w:t>.</w:t>
      </w:r>
      <w:r>
        <w:rPr>
          <w:b/>
          <w:bCs/>
          <w:highlight w:val="none"/>
        </w:rPr>
        <w:t xml:space="preserve"> S2 </w:t>
      </w:r>
      <w:r>
        <w:rPr>
          <w:highlight w:val="none"/>
        </w:rPr>
        <w:t>Correlation analysis between citric acid content</w:t>
      </w:r>
      <w:r>
        <w:rPr>
          <w:i/>
          <w:highlight w:val="none"/>
        </w:rPr>
        <w:t xml:space="preserve"> </w:t>
      </w:r>
      <w:r>
        <w:rPr>
          <w:highlight w:val="none"/>
        </w:rPr>
        <w:t xml:space="preserve">and gene expressions. </w:t>
      </w:r>
      <w:r>
        <w:rPr>
          <w:i/>
          <w:iCs/>
          <w:highlight w:val="none"/>
        </w:rPr>
        <w:t>CitACO3</w:t>
      </w:r>
      <w:r>
        <w:rPr>
          <w:highlight w:val="none"/>
        </w:rPr>
        <w:t xml:space="preserve"> (A</w:t>
      </w:r>
      <w:r>
        <w:rPr>
          <w:b/>
          <w:bCs/>
          <w:highlight w:val="none"/>
        </w:rPr>
        <w:t>)</w:t>
      </w:r>
      <w:r>
        <w:rPr>
          <w:highlight w:val="none"/>
        </w:rPr>
        <w:t xml:space="preserve">, </w:t>
      </w:r>
      <w:r>
        <w:rPr>
          <w:i/>
          <w:iCs/>
          <w:highlight w:val="none"/>
        </w:rPr>
        <w:t>CitIDH1</w:t>
      </w:r>
      <w:r>
        <w:rPr>
          <w:highlight w:val="none"/>
        </w:rPr>
        <w:t xml:space="preserve"> (B</w:t>
      </w:r>
      <w:r>
        <w:rPr>
          <w:b/>
          <w:bCs/>
          <w:highlight w:val="none"/>
        </w:rPr>
        <w:t>)</w:t>
      </w:r>
      <w:r>
        <w:rPr>
          <w:highlight w:val="none"/>
        </w:rPr>
        <w:t xml:space="preserve">, </w:t>
      </w:r>
      <w:r>
        <w:rPr>
          <w:i/>
          <w:iCs/>
          <w:highlight w:val="none"/>
        </w:rPr>
        <w:t>CitGS1</w:t>
      </w:r>
      <w:r>
        <w:rPr>
          <w:highlight w:val="none"/>
        </w:rPr>
        <w:t xml:space="preserve"> (C</w:t>
      </w:r>
      <w:r>
        <w:rPr>
          <w:b/>
          <w:bCs/>
          <w:highlight w:val="none"/>
        </w:rPr>
        <w:t>)</w:t>
      </w:r>
      <w:r>
        <w:rPr>
          <w:highlight w:val="none"/>
        </w:rPr>
        <w:t xml:space="preserve">, and </w:t>
      </w:r>
      <w:r>
        <w:rPr>
          <w:i/>
          <w:iCs/>
          <w:highlight w:val="none"/>
        </w:rPr>
        <w:t>CitGATA7</w:t>
      </w:r>
      <w:r>
        <w:rPr>
          <w:highlight w:val="none"/>
        </w:rPr>
        <w:t xml:space="preserve"> (D</w:t>
      </w:r>
      <w:r>
        <w:rPr>
          <w:b/>
          <w:bCs/>
          <w:highlight w:val="none"/>
        </w:rPr>
        <w:t>)</w:t>
      </w:r>
      <w:r>
        <w:rPr>
          <w:i/>
          <w:iCs/>
          <w:highlight w:val="none"/>
        </w:rPr>
        <w:t>.</w:t>
      </w:r>
      <w:r>
        <w:rPr>
          <w:i/>
          <w:highlight w:val="none"/>
        </w:rPr>
        <w:t xml:space="preserve"> </w:t>
      </w:r>
      <w:r>
        <w:rPr>
          <w:highlight w:val="none"/>
        </w:rPr>
        <w:t>Statistical significance was determined by two-tailed test (*</w:t>
      </w:r>
      <w:r>
        <w:rPr>
          <w:i/>
          <w:iCs/>
          <w:highlight w:val="none"/>
        </w:rPr>
        <w:t>p &lt;</w:t>
      </w:r>
      <w:r>
        <w:rPr>
          <w:i/>
          <w:highlight w:val="none"/>
        </w:rPr>
        <w:t xml:space="preserve"> </w:t>
      </w:r>
      <w:r>
        <w:rPr>
          <w:highlight w:val="none"/>
        </w:rPr>
        <w:t>0.05, **</w:t>
      </w:r>
      <w:r>
        <w:rPr>
          <w:i/>
          <w:iCs/>
          <w:highlight w:val="none"/>
        </w:rPr>
        <w:t>p &lt;</w:t>
      </w:r>
      <w:r>
        <w:rPr>
          <w:i/>
          <w:highlight w:val="none"/>
        </w:rPr>
        <w:t xml:space="preserve"> </w:t>
      </w:r>
      <w:r>
        <w:rPr>
          <w:highlight w:val="none"/>
        </w:rPr>
        <w:t>0.01, ***</w:t>
      </w:r>
      <w:r>
        <w:rPr>
          <w:i/>
          <w:iCs/>
          <w:highlight w:val="none"/>
        </w:rPr>
        <w:t>p &lt;</w:t>
      </w:r>
      <w:r>
        <w:rPr>
          <w:i/>
          <w:highlight w:val="none"/>
        </w:rPr>
        <w:t xml:space="preserve"> </w:t>
      </w:r>
      <w:r>
        <w:rPr>
          <w:highlight w:val="none"/>
        </w:rPr>
        <w:t>0.001).</w:t>
      </w:r>
    </w:p>
    <w:p w14:paraId="16B20F8F">
      <w:pPr>
        <w:pStyle w:val="2"/>
        <w:rPr>
          <w:highlight w:val="none"/>
        </w:rPr>
      </w:pPr>
    </w:p>
    <w:p w14:paraId="7ABCFE52">
      <w:pPr>
        <w:autoSpaceDE w:val="0"/>
        <w:autoSpaceDN w:val="0"/>
        <w:adjustRightInd w:val="0"/>
        <w:ind w:firstLine="480"/>
        <w:jc w:val="left"/>
        <w:rPr>
          <w:szCs w:val="24"/>
          <w:highlight w:val="none"/>
        </w:rPr>
      </w:pPr>
    </w:p>
    <w:p w14:paraId="4F0D59F2">
      <w:pPr>
        <w:autoSpaceDE w:val="0"/>
        <w:autoSpaceDN w:val="0"/>
        <w:adjustRightInd w:val="0"/>
        <w:spacing w:line="480" w:lineRule="auto"/>
        <w:ind w:firstLine="480"/>
        <w:jc w:val="center"/>
        <w:rPr>
          <w:rFonts w:eastAsiaTheme="minorEastAsia"/>
          <w:szCs w:val="24"/>
          <w:highlight w:val="none"/>
        </w:rPr>
      </w:pPr>
      <w:r>
        <w:rPr>
          <w:szCs w:val="24"/>
          <w:highlight w:val="none"/>
        </w:rPr>
        <w:drawing>
          <wp:inline distT="0" distB="0" distL="0" distR="0">
            <wp:extent cx="4319905" cy="2969895"/>
            <wp:effectExtent l="0" t="0" r="4445" b="1905"/>
            <wp:docPr id="157654403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544039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9D727">
      <w:pPr>
        <w:pStyle w:val="6"/>
        <w:rPr>
          <w:rFonts w:eastAsiaTheme="minorEastAsia"/>
          <w:highlight w:val="none"/>
        </w:rPr>
      </w:pPr>
      <w:r>
        <w:rPr>
          <w:b/>
          <w:highlight w:val="none"/>
        </w:rPr>
        <w:t xml:space="preserve">Fig. S3 </w:t>
      </w:r>
      <w:r>
        <w:rPr>
          <w:highlight w:val="none"/>
        </w:rPr>
        <w:t xml:space="preserve">Subcellular localization analysis of CitGATA7 and CitHAG28 in transgenic </w:t>
      </w:r>
      <w:r>
        <w:rPr>
          <w:i/>
          <w:iCs/>
          <w:highlight w:val="none"/>
        </w:rPr>
        <w:t>Nicotiana benthamiana</w:t>
      </w:r>
      <w:r>
        <w:rPr>
          <w:i/>
          <w:highlight w:val="none"/>
        </w:rPr>
        <w:t xml:space="preserve"> </w:t>
      </w:r>
      <w:r>
        <w:rPr>
          <w:highlight w:val="none"/>
        </w:rPr>
        <w:t>leaves. 35s-eGFP serves as a positive control. Bar = 20 μm.</w:t>
      </w:r>
    </w:p>
    <w:p w14:paraId="436A07F4">
      <w:pPr>
        <w:autoSpaceDE w:val="0"/>
        <w:autoSpaceDN w:val="0"/>
        <w:adjustRightInd w:val="0"/>
        <w:spacing w:line="480" w:lineRule="auto"/>
        <w:jc w:val="center"/>
        <w:rPr>
          <w:szCs w:val="24"/>
          <w:highlight w:val="none"/>
        </w:rPr>
      </w:pPr>
      <w:r>
        <w:rPr>
          <w:b/>
          <w:bCs/>
          <w:highlight w:val="none"/>
        </w:rPr>
        <w:drawing>
          <wp:inline distT="0" distB="0" distL="0" distR="0">
            <wp:extent cx="3795395" cy="3255010"/>
            <wp:effectExtent l="0" t="0" r="14605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98900" cy="3258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2FC51">
      <w:pPr>
        <w:pStyle w:val="6"/>
        <w:rPr>
          <w:i/>
          <w:iCs/>
          <w:highlight w:val="none"/>
        </w:rPr>
      </w:pPr>
      <w:r>
        <w:rPr>
          <w:b/>
          <w:bCs/>
          <w:highlight w:val="none"/>
        </w:rPr>
        <w:t xml:space="preserve">Fig. S4 </w:t>
      </w:r>
      <w:r>
        <w:rPr>
          <w:highlight w:val="none"/>
        </w:rPr>
        <w:t xml:space="preserve">GUS staining analysis in citrus callus of the control, </w:t>
      </w:r>
      <w:r>
        <w:rPr>
          <w:i/>
          <w:iCs/>
          <w:highlight w:val="none"/>
        </w:rPr>
        <w:t>CitGATA7</w:t>
      </w:r>
      <w:r>
        <w:rPr>
          <w:highlight w:val="none"/>
        </w:rPr>
        <w:t>-OE</w:t>
      </w:r>
      <w:r>
        <w:rPr>
          <w:i/>
          <w:highlight w:val="none"/>
        </w:rPr>
        <w:t xml:space="preserve"> </w:t>
      </w:r>
      <w:r>
        <w:rPr>
          <w:highlight w:val="none"/>
        </w:rPr>
        <w:t xml:space="preserve">and </w:t>
      </w:r>
      <w:r>
        <w:rPr>
          <w:i/>
          <w:iCs/>
          <w:highlight w:val="none"/>
        </w:rPr>
        <w:t>CitHAG28</w:t>
      </w:r>
      <w:r>
        <w:rPr>
          <w:highlight w:val="none"/>
        </w:rPr>
        <w:t>-OE</w:t>
      </w:r>
      <w:r>
        <w:rPr>
          <w:i/>
          <w:highlight w:val="none"/>
        </w:rPr>
        <w:t>.</w:t>
      </w:r>
      <w:r>
        <w:rPr>
          <w:highlight w:val="none"/>
        </w:rPr>
        <w:t xml:space="preserve"> </w:t>
      </w:r>
      <w:r>
        <w:rPr>
          <w:highlight w:val="none"/>
        </w:rPr>
        <w:t>The blue coloration indicates positive citrus callus successfully transformed with the pCAMBIA1301 vector.</w:t>
      </w:r>
    </w:p>
    <w:p w14:paraId="5D472098">
      <w:pPr>
        <w:pStyle w:val="6"/>
        <w:rPr>
          <w:highlight w:val="none"/>
        </w:rPr>
      </w:pPr>
    </w:p>
    <w:p w14:paraId="78056E2E">
      <w:pPr>
        <w:spacing w:line="240" w:lineRule="auto"/>
        <w:ind w:firstLine="480"/>
        <w:jc w:val="center"/>
        <w:rPr>
          <w:highlight w:val="none"/>
        </w:rPr>
      </w:pPr>
      <w:r>
        <w:rPr>
          <w:highlight w:val="none"/>
        </w:rPr>
        <w:drawing>
          <wp:inline distT="0" distB="0" distL="0" distR="0">
            <wp:extent cx="4077970" cy="3237865"/>
            <wp:effectExtent l="0" t="0" r="17780" b="635"/>
            <wp:docPr id="21506648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66485" name="图片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87"/>
                    <a:stretch>
                      <a:fillRect/>
                    </a:stretch>
                  </pic:blipFill>
                  <pic:spPr>
                    <a:xfrm>
                      <a:off x="0" y="0"/>
                      <a:ext cx="4078619" cy="323817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C1D5C">
      <w:pPr>
        <w:rPr>
          <w:highlight w:val="none"/>
        </w:rPr>
      </w:pPr>
      <w:r>
        <w:rPr>
          <w:b/>
          <w:bCs/>
          <w:highlight w:val="none"/>
        </w:rPr>
        <w:t xml:space="preserve">Fig. S5 </w:t>
      </w:r>
      <w:r>
        <w:rPr>
          <w:highlight w:val="none"/>
        </w:rPr>
        <w:t xml:space="preserve">The level of H4ac around the promoter (P1) and near the TSS (P2) of </w:t>
      </w:r>
      <w:r>
        <w:rPr>
          <w:i/>
          <w:iCs/>
          <w:highlight w:val="none"/>
        </w:rPr>
        <w:t>CitACO3</w:t>
      </w:r>
      <w:r>
        <w:rPr>
          <w:highlight w:val="none"/>
        </w:rPr>
        <w:t xml:space="preserve">, </w:t>
      </w:r>
      <w:r>
        <w:rPr>
          <w:i/>
          <w:iCs/>
          <w:highlight w:val="none"/>
        </w:rPr>
        <w:t>CitIDH1</w:t>
      </w:r>
      <w:r>
        <w:rPr>
          <w:highlight w:val="none"/>
        </w:rPr>
        <w:t xml:space="preserve">, and </w:t>
      </w:r>
      <w:r>
        <w:rPr>
          <w:i/>
          <w:iCs/>
          <w:highlight w:val="none"/>
        </w:rPr>
        <w:t>CitGS1</w:t>
      </w:r>
      <w:r>
        <w:rPr>
          <w:iCs/>
          <w:highlight w:val="none"/>
        </w:rPr>
        <w:t>.</w:t>
      </w:r>
      <w:r>
        <w:rPr>
          <w:highlight w:val="none"/>
        </w:rPr>
        <w:t xml:space="preserve"> (A) </w:t>
      </w:r>
      <w:r>
        <w:rPr>
          <w:i/>
          <w:iCs/>
          <w:highlight w:val="none"/>
        </w:rPr>
        <w:t>CitHAG28</w:t>
      </w:r>
      <w:r>
        <w:rPr>
          <w:highlight w:val="none"/>
        </w:rPr>
        <w:t xml:space="preserve">-OE citrus callus; (B) </w:t>
      </w:r>
      <w:r>
        <w:rPr>
          <w:i/>
          <w:iCs/>
          <w:highlight w:val="none"/>
        </w:rPr>
        <w:t>CitGATA7</w:t>
      </w:r>
      <w:r>
        <w:rPr>
          <w:highlight w:val="none"/>
        </w:rPr>
        <w:t>-OE citrus callus.</w:t>
      </w:r>
      <w:r>
        <w:rPr>
          <w:highlight w:val="none"/>
        </w:rPr>
        <w:t xml:space="preserve"> Error bars indicate the standard error (SE) (</w:t>
      </w:r>
      <w:r>
        <w:rPr>
          <w:i/>
          <w:iCs/>
          <w:highlight w:val="none"/>
        </w:rPr>
        <w:t>n</w:t>
      </w:r>
      <w:r>
        <w:rPr>
          <w:highlight w:val="none"/>
        </w:rPr>
        <w:t xml:space="preserve"> = 3).</w:t>
      </w:r>
    </w:p>
    <w:bookmarkEnd w:id="0"/>
    <w:sectPr>
      <w:pgSz w:w="11906" w:h="16838"/>
      <w:pgMar w:top="1440" w:right="1797" w:bottom="1440" w:left="1797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IzOWJkMzYwNDQ4MzQyN2U5NDE1ZDAxNGQxNzIxYjYifQ=="/>
  </w:docVars>
  <w:rsids>
    <w:rsidRoot w:val="00802227"/>
    <w:rsid w:val="00802227"/>
    <w:rsid w:val="725F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00" w:lineRule="exact"/>
      <w:jc w:val="both"/>
    </w:pPr>
    <w:rPr>
      <w:rFonts w:ascii="Times New Roman" w:hAnsi="Times New Roman" w:eastAsia="等线" w:cs="Times New Roman"/>
      <w:kern w:val="2"/>
      <w:sz w:val="24"/>
      <w:szCs w:val="22"/>
      <w:lang w:val="en-US" w:eastAsia="zh-CN" w:bidi="ar-SA"/>
      <w14:ligatures w14:val="none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5"/>
    <w:unhideWhenUsed/>
    <w:qFormat/>
    <w:uiPriority w:val="99"/>
    <w:pPr>
      <w:jc w:val="left"/>
    </w:pPr>
  </w:style>
  <w:style w:type="character" w:customStyle="1" w:styleId="5">
    <w:name w:val="批注文字 字符"/>
    <w:basedOn w:val="4"/>
    <w:link w:val="2"/>
    <w:qFormat/>
    <w:uiPriority w:val="99"/>
    <w:rPr>
      <w:rFonts w:ascii="Times New Roman" w:hAnsi="Times New Roman" w:eastAsia="等线" w:cs="Times New Roman"/>
      <w:sz w:val="24"/>
      <w:szCs w:val="22"/>
      <w14:ligatures w14:val="none"/>
    </w:rPr>
  </w:style>
  <w:style w:type="paragraph" w:styleId="6">
    <w:name w:val="List Paragraph"/>
    <w:basedOn w:val="1"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tiff"/><Relationship Id="rId8" Type="http://schemas.openxmlformats.org/officeDocument/2006/relationships/image" Target="media/image3.png"/><Relationship Id="rId7" Type="http://schemas.openxmlformats.org/officeDocument/2006/relationships/image" Target="media/image2.tiff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166</Words>
  <Characters>887</Characters>
  <Lines>7</Lines>
  <Paragraphs>2</Paragraphs>
  <TotalTime>0</TotalTime>
  <ScaleCrop>false</ScaleCrop>
  <LinksUpToDate>false</LinksUpToDate>
  <CharactersWithSpaces>1050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2024-09-22T14:46:00Z</dcterms:created>
  <dc:creator>夏慧 林</dc:creator>
  <cp:lastModifiedBy>林夏慧</cp:lastModifiedBy>
  <dcterms:modified xsi:type="dcterms:W3CDTF">2024-10-28T09:18:36Z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845D1153E8424048AA4DD195CBA8D56C_12</vt:lpwstr>
  </property>
</Properties>
</file>