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E4B" w:rsidRDefault="00E20E4B" w:rsidP="00E20E4B">
      <w:pPr>
        <w:pStyle w:val="MDPI21heading1"/>
        <w:spacing w:before="0" w:after="0" w:line="240" w:lineRule="auto"/>
        <w:ind w:left="0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Appendix A</w:t>
      </w:r>
    </w:p>
    <w:p w:rsidR="00E20E4B" w:rsidRDefault="00E20E4B" w:rsidP="00E20E4B">
      <w:pPr>
        <w:pStyle w:val="MDPI41tablecaption"/>
        <w:spacing w:before="0" w:after="0" w:line="240" w:lineRule="auto"/>
        <w:ind w:left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Table A1. </w:t>
      </w:r>
      <w:r>
        <w:rPr>
          <w:rFonts w:ascii="Times New Roman" w:hAnsi="Times New Roman" w:cs="Times New Roman"/>
          <w:color w:val="auto"/>
          <w:sz w:val="20"/>
          <w:szCs w:val="20"/>
        </w:rPr>
        <w:t>System Operating Parameters.</w:t>
      </w:r>
    </w:p>
    <w:tbl>
      <w:tblPr>
        <w:tblW w:w="7857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19"/>
        <w:gridCol w:w="2619"/>
      </w:tblGrid>
      <w:tr w:rsidR="00E20E4B" w:rsidTr="0033667F">
        <w:trPr>
          <w:jc w:val="center"/>
        </w:trPr>
        <w:tc>
          <w:tcPr>
            <w:tcW w:w="2619" w:type="dxa"/>
            <w:tcBorders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color w:val="auto"/>
              </w:rPr>
            </w:pPr>
            <w:r>
              <w:rPr>
                <w:rFonts w:ascii="Times New Roman" w:hAnsi="Times New Roman"/>
                <w:b/>
                <w:snapToGrid/>
                <w:color w:val="auto"/>
              </w:rPr>
              <w:t>Unit</w:t>
            </w:r>
          </w:p>
        </w:tc>
        <w:tc>
          <w:tcPr>
            <w:tcW w:w="2619" w:type="dxa"/>
            <w:tcBorders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color w:val="auto"/>
              </w:rPr>
            </w:pPr>
            <w:r>
              <w:rPr>
                <w:rFonts w:ascii="Times New Roman" w:hAnsi="Times New Roman"/>
                <w:b/>
                <w:snapToGrid/>
                <w:color w:val="auto"/>
              </w:rPr>
              <w:t>Parameter</w:t>
            </w:r>
          </w:p>
        </w:tc>
        <w:tc>
          <w:tcPr>
            <w:tcW w:w="2619" w:type="dxa"/>
            <w:tcBorders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color w:val="auto"/>
              </w:rPr>
            </w:pPr>
            <w:r>
              <w:rPr>
                <w:rFonts w:ascii="Times New Roman" w:hAnsi="Times New Roman"/>
                <w:b/>
                <w:snapToGrid/>
                <w:color w:val="auto"/>
              </w:rPr>
              <w:t>Value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MGT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MT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max</m:t>
                  </m:r>
                  <w:proofErr w:type="spellEnd"/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hAnsi="Times New Roman"/>
                <w:color w:val="auto"/>
              </w:rPr>
              <w:t>300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  <w:right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color w:val="auto"/>
                        <w:lang w:eastAsia="zh-CN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eastAsiaTheme="minorEastAsia" w:hAnsi="Times New Roman"/>
                        <w:i/>
                        <w:color w:val="auto"/>
                        <w:lang w:eastAsia="zh-CN"/>
                      </w:rPr>
                      <m:t>ζ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Theme="minorEastAsia" w:hAnsi="Times New Roman"/>
                        <w:i/>
                        <w:color w:val="auto"/>
                        <w:lang w:eastAsia="zh-CN"/>
                      </w:rPr>
                      <m:t>MT</m:t>
                    </m:r>
                  </m:sub>
                </m:sSub>
              </m:oMath>
            </m:oMathPara>
          </w:p>
        </w:tc>
        <w:tc>
          <w:tcPr>
            <w:tcW w:w="2619" w:type="dxa"/>
            <w:tcBorders>
              <w:top w:val="nil"/>
              <w:left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color w:val="auto"/>
                <w:lang w:eastAsia="zh-CN"/>
              </w:rPr>
              <w:t>0.30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gas</m:t>
                  </m:r>
                </m:sub>
              </m:sSub>
            </m:oMath>
            <w:r>
              <w:rPr>
                <w:rFonts w:ascii="Times New Roman" w:hAnsi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/>
                <w:iCs/>
                <w:color w:val="auto"/>
              </w:rPr>
              <w:t>(</w:t>
            </w:r>
            <w:r>
              <w:rPr>
                <w:rFonts w:ascii="Times New Roman" w:hAnsi="Times New Roman"/>
                <w:color w:val="auto"/>
              </w:rPr>
              <w:t>kWh</w:t>
            </w:r>
            <w:r>
              <w:rPr>
                <w:rFonts w:ascii="Times New Roman" w:hAnsi="Times New Roman"/>
                <w:iCs/>
                <w:color w:val="auto"/>
              </w:rPr>
              <w:t xml:space="preserve"> /m</w:t>
            </w:r>
            <w:r>
              <w:rPr>
                <w:rFonts w:ascii="Times New Roman" w:hAnsi="Times New Roman"/>
                <w:iCs/>
                <w:color w:val="auto"/>
                <w:vertAlign w:val="superscript"/>
              </w:rPr>
              <w:t>3</w:t>
            </w:r>
            <w:r>
              <w:rPr>
                <w:rFonts w:ascii="Times New Roman" w:hAnsi="Times New Roman"/>
                <w:iCs/>
                <w:color w:val="auto"/>
              </w:rPr>
              <w:t>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color w:val="auto"/>
                <w:lang w:eastAsia="zh-CN"/>
              </w:rPr>
              <w:t>10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gas</m:t>
                  </m:r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(CNY/</w:t>
            </w:r>
            <w:r>
              <w:rPr>
                <w:rFonts w:ascii="Times New Roman" w:hAnsi="Times New Roman"/>
                <w:iCs/>
                <w:color w:val="auto"/>
              </w:rPr>
              <w:t>m</w:t>
            </w:r>
            <w:r>
              <w:rPr>
                <w:rFonts w:ascii="Times New Roman" w:hAnsi="Times New Roman"/>
                <w:iCs/>
                <w:color w:val="auto"/>
                <w:vertAlign w:val="superscript"/>
              </w:rPr>
              <w:t>3</w:t>
            </w:r>
            <w:r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2.5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k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MT</m:t>
                  </m:r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(CNY/kWh)</w:t>
            </w: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0.20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Biomass Generation Unit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bio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max</m:t>
                  </m:r>
                  <w:proofErr w:type="spellEnd"/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500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mat</m:t>
                  </m:r>
                </m:sub>
              </m:sSub>
            </m:oMath>
            <w:r>
              <w:rPr>
                <w:rFonts w:ascii="Times New Roman" w:hAnsi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/>
                <w:iCs/>
                <w:color w:val="auto"/>
              </w:rPr>
              <w:t>(kcal/kg)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3200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mat</m:t>
                  </m:r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</w:t>
            </w:r>
            <w:r>
              <w:rPr>
                <w:rFonts w:ascii="Times New Roman" w:hAnsi="Times New Roman"/>
                <w:iCs/>
                <w:color w:val="auto"/>
              </w:rPr>
              <w:t>CNY</w:t>
            </w:r>
            <w:r>
              <w:rPr>
                <w:rFonts w:ascii="Times New Roman" w:hAnsi="Times New Roman"/>
                <w:color w:val="auto"/>
              </w:rPr>
              <w:t>/t)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300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k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bio</m:t>
                  </m:r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</w:t>
            </w:r>
            <w:r>
              <w:rPr>
                <w:rFonts w:ascii="Times New Roman" w:hAnsi="Times New Roman"/>
                <w:iCs/>
                <w:color w:val="auto"/>
              </w:rPr>
              <w:t>CNY</w:t>
            </w:r>
            <w:r>
              <w:rPr>
                <w:rFonts w:ascii="Times New Roman" w:hAnsi="Times New Roman"/>
                <w:color w:val="auto"/>
              </w:rPr>
              <w:t>/kWh)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0.45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η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/>
                        <w:color w:val="auto"/>
                      </w:rPr>
                      <m:t>bio</m:t>
                    </m:r>
                  </m:sub>
                </m:sSub>
              </m:oMath>
            </m:oMathPara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0.65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Grid Interaction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grid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max</m:t>
                  </m:r>
                  <w:proofErr w:type="spellEnd"/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buy</m:t>
                  </m:r>
                </m:sup>
              </m:sSubSup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1500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grid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max</m:t>
                  </m:r>
                  <w:proofErr w:type="spellEnd"/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sell</m:t>
                  </m:r>
                </m:sup>
              </m:sSubSup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500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η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AC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color w:val="auto"/>
                      </w:rPr>
                      <m:t>-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DC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="SimSun" w:hAnsi="Times New Roman"/>
                    <w:color w:val="auto"/>
                  </w:rPr>
                  <m:t>、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η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DC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color w:val="auto"/>
                      </w:rPr>
                      <m:t>-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AC</m:t>
                    </m:r>
                  </m:sub>
                </m:sSub>
              </m:oMath>
            </m:oMathPara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0.95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ESS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E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s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N</m:t>
                  </m:r>
                </m:sup>
              </m:sSubSup>
            </m:oMath>
            <w:r>
              <w:rPr>
                <w:rFonts w:ascii="Times New Roman" w:hAnsi="Times New Roman"/>
                <w:color w:val="auto"/>
              </w:rPr>
              <w:t xml:space="preserve"> (kWh)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3000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es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max</m:t>
                  </m:r>
                  <w:proofErr w:type="spellEnd"/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h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a</m:t>
                  </m:r>
                </m:sup>
              </m:sSubSup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800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es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max</m:t>
                  </m:r>
                  <w:proofErr w:type="spellEnd"/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dis</m:t>
                  </m:r>
                </m:sup>
              </m:sSubSup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800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η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es</m:t>
                    </m:r>
                    <w:proofErr w:type="spellEnd"/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c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color w:val="auto"/>
                      </w:rPr>
                      <m:t>h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a</m:t>
                    </m:r>
                  </m:sup>
                </m:sSubSup>
                <m:r>
                  <m:rPr>
                    <m:nor/>
                  </m:rPr>
                  <w:rPr>
                    <w:rFonts w:ascii="Times New Roman" w:eastAsia="SimSun" w:hAnsi="Times New Roman"/>
                    <w:color w:val="auto"/>
                  </w:rPr>
                  <m:t>、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η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es</m:t>
                    </m:r>
                    <w:proofErr w:type="spellEnd"/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dis</m:t>
                    </m:r>
                  </m:sup>
                </m:sSubSup>
              </m:oMath>
            </m:oMathPara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0.90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k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es</m:t>
                  </m:r>
                  <w:proofErr w:type="spellEnd"/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</w:t>
            </w:r>
            <w:r>
              <w:rPr>
                <w:rFonts w:ascii="Times New Roman" w:hAnsi="Times New Roman"/>
                <w:iCs/>
                <w:color w:val="auto"/>
              </w:rPr>
              <w:t>CNY</w:t>
            </w:r>
            <w:r>
              <w:rPr>
                <w:rFonts w:ascii="Times New Roman" w:hAnsi="Times New Roman"/>
                <w:color w:val="auto"/>
              </w:rPr>
              <w:t>/kWh)</w:t>
            </w: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0.05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DR Load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exe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max</m:t>
                  </m:r>
                  <w:proofErr w:type="spellEnd"/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300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cut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max</m:t>
                  </m:r>
                  <w:proofErr w:type="spellEnd"/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300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k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u</m:t>
                  </m:r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</w:t>
            </w:r>
            <w:r>
              <w:rPr>
                <w:rFonts w:ascii="Times New Roman" w:hAnsi="Times New Roman"/>
                <w:iCs/>
                <w:color w:val="auto"/>
              </w:rPr>
              <w:t>CNY</w:t>
            </w:r>
            <w:r>
              <w:rPr>
                <w:rFonts w:ascii="Times New Roman" w:hAnsi="Times New Roman"/>
                <w:color w:val="auto"/>
              </w:rPr>
              <w:t>/kWh)</w:t>
            </w: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0.30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 w:val="restart"/>
            <w:tcBorders>
              <w:top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EV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E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Theme="minorEastAsia" w:hAnsi="Times New Roman"/>
                      <w:i/>
                      <w:color w:val="auto"/>
                      <w:lang w:eastAsia="zh-CN"/>
                    </w:rPr>
                    <m:t>bat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n</m:t>
                  </m:r>
                  <w:proofErr w:type="spellEnd"/>
                </m:sub>
              </m:sSub>
            </m:oMath>
            <w:r>
              <w:rPr>
                <w:rFonts w:ascii="Times New Roman" w:hAnsi="Times New Roman"/>
                <w:color w:val="auto"/>
              </w:rPr>
              <w:t xml:space="preserve"> (kWh)</w:t>
            </w:r>
          </w:p>
        </w:tc>
        <w:tc>
          <w:tcPr>
            <w:tcW w:w="2619" w:type="dxa"/>
            <w:tcBorders>
              <w:top w:val="single" w:sz="4" w:space="0" w:color="auto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60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r</m:t>
                  </m:r>
                  <m:r>
                    <m:rPr>
                      <m:nor/>
                    </m:rPr>
                    <w:rPr>
                      <w:rFonts w:ascii="Times New Roman" w:eastAsiaTheme="minorEastAsia" w:hAnsi="Times New Roman"/>
                      <w:i/>
                      <w:color w:val="auto"/>
                      <w:lang w:eastAsia="zh-CN"/>
                    </w:rPr>
                    <m:t>ate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n</m:t>
                  </m:r>
                  <w:proofErr w:type="spellEnd"/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h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a</m:t>
                  </m:r>
                </m:sup>
              </m:sSubSup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7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r</m:t>
                  </m:r>
                  <m:r>
                    <m:rPr>
                      <m:nor/>
                    </m:rPr>
                    <w:rPr>
                      <w:rFonts w:ascii="Times New Roman" w:eastAsiaTheme="minorEastAsia" w:hAnsi="Times New Roman"/>
                      <w:i/>
                      <w:color w:val="auto"/>
                      <w:lang w:eastAsia="zh-CN"/>
                    </w:rPr>
                    <m:t>ate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n</m:t>
                  </m:r>
                  <w:proofErr w:type="spellEnd"/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d</m:t>
                  </m:r>
                  <m:r>
                    <m:rPr>
                      <m:nor/>
                    </m:rPr>
                    <w:rPr>
                      <w:rFonts w:ascii="Times New Roman" w:eastAsiaTheme="minorEastAsia" w:hAnsi="Times New Roman"/>
                      <w:i/>
                      <w:color w:val="auto"/>
                      <w:lang w:eastAsia="zh-CN"/>
                    </w:rPr>
                    <m:t>is</m:t>
                  </m:r>
                </m:sup>
              </m:sSubSup>
            </m:oMath>
            <w:r>
              <w:rPr>
                <w:rFonts w:ascii="Times New Roman" w:hAnsi="Times New Roman"/>
                <w:color w:val="auto"/>
              </w:rPr>
              <w:t xml:space="preserve"> (kW)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3.3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SOC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max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color w:val="auto"/>
                      </w:rPr>
                      <m:t>,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n</m:t>
                    </m:r>
                    <w:proofErr w:type="spellEnd"/>
                  </m:sub>
                </m:sSub>
              </m:oMath>
            </m:oMathPara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0.80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SOC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min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color w:val="auto"/>
                      </w:rPr>
                      <m:t>,</m:t>
                    </m:r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n</m:t>
                    </m:r>
                    <w:proofErr w:type="spellEnd"/>
                  </m:sub>
                </m:sSub>
              </m:oMath>
            </m:oMathPara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0.20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i/>
                    <w:color w:val="auto"/>
                  </w:rPr>
                  <m:t>N</m:t>
                </m:r>
              </m:oMath>
            </m:oMathPara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100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η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ev</m:t>
                  </m:r>
                  <w:proofErr w:type="spellEnd"/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h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a</m:t>
                  </m:r>
                </m:sup>
              </m:sSubSup>
            </m:oMath>
            <w:r>
              <w:rPr>
                <w:rFonts w:ascii="Times New Roman" w:eastAsia="SimSun" w:hAnsi="Times New Roman"/>
                <w:color w:val="auto"/>
                <w:lang w:eastAsia="zh-CN"/>
              </w:rPr>
              <w:t>、</w:t>
            </w:r>
            <m:oMath>
              <m:sSubSup>
                <m:sSubSupPr>
                  <m:ctrlPr>
                    <w:rPr>
                      <w:rFonts w:ascii="Cambria Math" w:hAnsi="Cambria Math"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η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ev</m:t>
                  </m:r>
                  <w:proofErr w:type="spellEnd"/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dis</m:t>
                  </m:r>
                </m:sup>
              </m:sSubSup>
            </m:oMath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0.95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N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cyc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color w:val="auto"/>
                    </w:rPr>
                    <m:t>,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ref</m:t>
                  </m:r>
                  <w:proofErr w:type="spellEnd"/>
                </m:sub>
              </m:sSub>
            </m:oMath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 xml:space="preserve"> (cycles)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5000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tcBorders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color w:val="auto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bat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unit</m:t>
                  </m:r>
                </m:sup>
              </m:sSubSup>
            </m:oMath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 xml:space="preserve"> </w:t>
            </w:r>
            <w:r>
              <w:rPr>
                <w:rFonts w:ascii="Times New Roman" w:hAnsi="Times New Roman"/>
                <w:iCs/>
                <w:color w:val="auto"/>
              </w:rPr>
              <w:t>(CNY/kWh)</w:t>
            </w:r>
          </w:p>
        </w:tc>
        <w:tc>
          <w:tcPr>
            <w:tcW w:w="2619" w:type="dxa"/>
            <w:tcBorders>
              <w:top w:val="nil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500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 w:val="restart"/>
            <w:tcBorders>
              <w:top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Market Trading</w:t>
            </w:r>
          </w:p>
        </w:tc>
        <w:tc>
          <w:tcPr>
            <w:tcW w:w="2619" w:type="dxa"/>
            <w:tcBorders>
              <w:top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λ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</m:t>
                  </m:r>
                </m:sub>
              </m:sSub>
            </m:oMath>
            <w:r>
              <w:rPr>
                <w:rFonts w:ascii="Times New Roman" w:hAnsi="Times New Roman"/>
                <w:iCs/>
                <w:color w:val="auto"/>
              </w:rPr>
              <w:t xml:space="preserve"> (CNY</w:t>
            </w:r>
            <w:r>
              <w:rPr>
                <w:rFonts w:ascii="Times New Roman" w:hAnsi="Times New Roman"/>
                <w:color w:val="auto"/>
              </w:rPr>
              <w:t>/t</w:t>
            </w:r>
            <w:r>
              <w:rPr>
                <w:rFonts w:ascii="Times New Roman" w:hAnsi="Times New Roman"/>
                <w:iCs/>
                <w:color w:val="auto"/>
              </w:rPr>
              <w:t>)</w:t>
            </w:r>
          </w:p>
        </w:tc>
        <w:tc>
          <w:tcPr>
            <w:tcW w:w="2619" w:type="dxa"/>
            <w:tcBorders>
              <w:top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70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λ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ccer</m:t>
                  </m:r>
                  <w:proofErr w:type="spellEnd"/>
                </m:sub>
              </m:sSub>
            </m:oMath>
            <w:r>
              <w:rPr>
                <w:rFonts w:ascii="Times New Roman" w:hAnsi="Times New Roman"/>
                <w:iCs/>
                <w:color w:val="auto"/>
              </w:rPr>
              <w:t xml:space="preserve"> (CNY</w:t>
            </w:r>
            <w:r>
              <w:rPr>
                <w:rFonts w:ascii="Times New Roman" w:hAnsi="Times New Roman"/>
                <w:color w:val="auto"/>
              </w:rPr>
              <w:t>/t</w:t>
            </w:r>
            <w:r>
              <w:rPr>
                <w:rFonts w:ascii="Times New Roman" w:hAnsi="Times New Roman"/>
                <w:iCs/>
                <w:color w:val="auto"/>
              </w:rPr>
              <w:t>)</w:t>
            </w:r>
          </w:p>
        </w:tc>
        <w:tc>
          <w:tcPr>
            <w:tcW w:w="2619" w:type="dxa"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100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λ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hAnsi="Times New Roman"/>
                      <w:i/>
                      <w:color w:val="auto"/>
                    </w:rPr>
                    <m:t>gec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hAnsi="Times New Roman"/>
                  <w:color w:val="auto"/>
                </w:rPr>
                <m:t xml:space="preserve"> </m:t>
              </m:r>
            </m:oMath>
            <w:r>
              <w:rPr>
                <w:rFonts w:ascii="Times New Roman" w:hAnsi="Times New Roman"/>
                <w:iCs/>
                <w:color w:val="auto"/>
              </w:rPr>
              <w:t>(CNY</w:t>
            </w:r>
            <w:r>
              <w:rPr>
                <w:rFonts w:ascii="Times New Roman" w:hAnsi="Times New Roman"/>
                <w:color w:val="auto"/>
              </w:rPr>
              <w:t>/MWh</w:t>
            </w:r>
            <w:r>
              <w:rPr>
                <w:rFonts w:ascii="Times New Roman" w:hAnsi="Times New Roman"/>
                <w:iCs/>
                <w:color w:val="auto"/>
              </w:rPr>
              <w:t>)</w:t>
            </w:r>
          </w:p>
        </w:tc>
        <w:tc>
          <w:tcPr>
            <w:tcW w:w="2619" w:type="dxa"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50</w:t>
            </w:r>
          </w:p>
        </w:tc>
      </w:tr>
      <w:tr w:rsidR="00E20E4B" w:rsidTr="0033667F">
        <w:trPr>
          <w:trHeight w:val="283"/>
          <w:jc w:val="center"/>
        </w:trPr>
        <w:tc>
          <w:tcPr>
            <w:tcW w:w="2619" w:type="dxa"/>
            <w:vMerge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9" w:type="dxa"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β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  <w:color w:val="auto"/>
                      </w:rPr>
                      <m:t>ccer</m:t>
                    </m:r>
                    <w:proofErr w:type="spellEnd"/>
                  </m:sub>
                </m:sSub>
              </m:oMath>
            </m:oMathPara>
          </w:p>
        </w:tc>
        <w:tc>
          <w:tcPr>
            <w:tcW w:w="2619" w:type="dxa"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0.50</w:t>
            </w:r>
          </w:p>
        </w:tc>
      </w:tr>
    </w:tbl>
    <w:p w:rsidR="00E20E4B" w:rsidRDefault="00E20E4B" w:rsidP="00E20E4B">
      <w:pPr>
        <w:pStyle w:val="MDPI41tablecaption"/>
        <w:spacing w:before="0" w:after="0" w:line="240" w:lineRule="auto"/>
        <w:ind w:left="0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E20E4B" w:rsidRDefault="00E20E4B" w:rsidP="00E20E4B">
      <w:pPr>
        <w:pStyle w:val="MDPI41tablecaption"/>
        <w:spacing w:before="0"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color w:val="auto"/>
          <w:sz w:val="20"/>
          <w:szCs w:val="20"/>
          <w:lang w:eastAsia="zh-CN"/>
        </w:rPr>
      </w:pPr>
    </w:p>
    <w:p w:rsidR="00E20E4B" w:rsidRDefault="00E20E4B" w:rsidP="00E20E4B">
      <w:pPr>
        <w:pStyle w:val="MDPI41tablecaption"/>
        <w:spacing w:before="0" w:after="0" w:line="240" w:lineRule="auto"/>
        <w:ind w:left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</w:rPr>
        <w:t xml:space="preserve">Table </w:t>
      </w:r>
      <w:r>
        <w:rPr>
          <w:rFonts w:ascii="Times New Roman" w:eastAsiaTheme="minorEastAsia" w:hAnsi="Times New Roman" w:cs="Times New Roman"/>
          <w:b/>
          <w:color w:val="auto"/>
          <w:sz w:val="20"/>
          <w:szCs w:val="20"/>
          <w:lang w:eastAsia="zh-CN"/>
        </w:rPr>
        <w:t>A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 xml:space="preserve">2. </w:t>
      </w:r>
      <w:r>
        <w:rPr>
          <w:rFonts w:ascii="Times New Roman" w:hAnsi="Times New Roman" w:cs="Times New Roman"/>
          <w:color w:val="auto"/>
          <w:sz w:val="20"/>
          <w:szCs w:val="20"/>
        </w:rPr>
        <w:t>TOU Electricity Price Parameters.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1"/>
        <w:gridCol w:w="2535"/>
        <w:gridCol w:w="2154"/>
        <w:gridCol w:w="2386"/>
      </w:tblGrid>
      <w:tr w:rsidR="00E20E4B" w:rsidTr="0033667F">
        <w:trPr>
          <w:jc w:val="center"/>
        </w:trPr>
        <w:tc>
          <w:tcPr>
            <w:tcW w:w="121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35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Time Period</w:t>
            </w:r>
          </w:p>
        </w:tc>
        <w:tc>
          <w:tcPr>
            <w:tcW w:w="1151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 xml:space="preserve">Purchase Price </w:t>
            </w:r>
          </w:p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(</w:t>
            </w:r>
            <w:r>
              <w:rPr>
                <w:rFonts w:ascii="Times New Roman" w:hAnsi="Times New Roman"/>
                <w:b/>
                <w:bCs/>
                <w:iCs/>
                <w:color w:val="auto"/>
              </w:rPr>
              <w:t>CNY</w:t>
            </w:r>
            <w:r>
              <w:rPr>
                <w:rFonts w:ascii="Times New Roman" w:hAnsi="Times New Roman"/>
                <w:b/>
                <w:bCs/>
                <w:color w:val="auto"/>
              </w:rPr>
              <w:t>/kWh)</w:t>
            </w:r>
          </w:p>
        </w:tc>
        <w:tc>
          <w:tcPr>
            <w:tcW w:w="12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 xml:space="preserve">Selling Price </w:t>
            </w:r>
          </w:p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(</w:t>
            </w:r>
            <w:r>
              <w:rPr>
                <w:rFonts w:ascii="Times New Roman" w:hAnsi="Times New Roman"/>
                <w:b/>
                <w:bCs/>
                <w:iCs/>
                <w:color w:val="auto"/>
              </w:rPr>
              <w:t>CNY</w:t>
            </w:r>
            <w:r>
              <w:rPr>
                <w:rFonts w:ascii="Times New Roman" w:hAnsi="Times New Roman"/>
                <w:b/>
                <w:bCs/>
                <w:color w:val="auto"/>
              </w:rPr>
              <w:t>/kWh)</w:t>
            </w:r>
          </w:p>
        </w:tc>
      </w:tr>
      <w:tr w:rsidR="00E20E4B" w:rsidTr="0033667F">
        <w:trPr>
          <w:trHeight w:val="567"/>
          <w:jc w:val="center"/>
        </w:trPr>
        <w:tc>
          <w:tcPr>
            <w:tcW w:w="1219" w:type="pct"/>
            <w:tcBorders>
              <w:top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Valley Period</w:t>
            </w:r>
          </w:p>
        </w:tc>
        <w:tc>
          <w:tcPr>
            <w:tcW w:w="1354" w:type="pct"/>
            <w:tcBorders>
              <w:top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00:00-10:00</w:t>
            </w:r>
          </w:p>
        </w:tc>
        <w:tc>
          <w:tcPr>
            <w:tcW w:w="1151" w:type="pct"/>
            <w:tcBorders>
              <w:top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0.29</w:t>
            </w:r>
          </w:p>
        </w:tc>
        <w:tc>
          <w:tcPr>
            <w:tcW w:w="1274" w:type="pct"/>
            <w:tcBorders>
              <w:top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0.20</w:t>
            </w:r>
          </w:p>
        </w:tc>
      </w:tr>
      <w:tr w:rsidR="00E20E4B" w:rsidTr="0033667F">
        <w:trPr>
          <w:trHeight w:val="567"/>
          <w:jc w:val="center"/>
        </w:trPr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Flat Period</w:t>
            </w:r>
          </w:p>
        </w:tc>
        <w:tc>
          <w:tcPr>
            <w:tcW w:w="1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12:00-14:00, 19:00-24:00</w:t>
            </w:r>
          </w:p>
        </w:tc>
        <w:tc>
          <w:tcPr>
            <w:tcW w:w="11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0.71</w:t>
            </w:r>
          </w:p>
        </w:tc>
        <w:tc>
          <w:tcPr>
            <w:tcW w:w="12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0.50</w:t>
            </w:r>
          </w:p>
        </w:tc>
      </w:tr>
      <w:tr w:rsidR="00E20E4B" w:rsidTr="0033667F">
        <w:trPr>
          <w:trHeight w:val="567"/>
          <w:jc w:val="center"/>
        </w:trPr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lastRenderedPageBreak/>
              <w:t>Peak Period</w:t>
            </w:r>
          </w:p>
        </w:tc>
        <w:tc>
          <w:tcPr>
            <w:tcW w:w="1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10:00-11:00, 14:00-15:00, </w:t>
            </w:r>
          </w:p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17:00-19:00</w:t>
            </w:r>
          </w:p>
        </w:tc>
        <w:tc>
          <w:tcPr>
            <w:tcW w:w="11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1.19</w:t>
            </w:r>
          </w:p>
        </w:tc>
        <w:tc>
          <w:tcPr>
            <w:tcW w:w="12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0.83</w:t>
            </w:r>
          </w:p>
        </w:tc>
      </w:tr>
      <w:tr w:rsidR="00E20E4B" w:rsidTr="0033667F">
        <w:trPr>
          <w:trHeight w:val="567"/>
          <w:jc w:val="center"/>
        </w:trPr>
        <w:tc>
          <w:tcPr>
            <w:tcW w:w="1219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Critical Peak Period</w:t>
            </w:r>
          </w:p>
        </w:tc>
        <w:tc>
          <w:tcPr>
            <w:tcW w:w="1354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11:00-12:00, 15:00-17:00</w:t>
            </w:r>
          </w:p>
        </w:tc>
        <w:tc>
          <w:tcPr>
            <w:tcW w:w="1151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1.48</w:t>
            </w:r>
          </w:p>
        </w:tc>
        <w:tc>
          <w:tcPr>
            <w:tcW w:w="1274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  <w:lang w:eastAsia="zh-CN"/>
              </w:rPr>
              <w:t>1.00</w:t>
            </w:r>
          </w:p>
        </w:tc>
      </w:tr>
    </w:tbl>
    <w:p w:rsidR="00E20E4B" w:rsidRDefault="00E20E4B" w:rsidP="00E20E4B">
      <w:pPr>
        <w:pStyle w:val="MDPI21heading1"/>
        <w:spacing w:before="0" w:after="0" w:line="240" w:lineRule="auto"/>
        <w:ind w:left="0"/>
        <w:rPr>
          <w:rFonts w:ascii="Times New Roman" w:eastAsiaTheme="minorEastAsia" w:hAnsi="Times New Roman"/>
          <w:color w:val="auto"/>
          <w:sz w:val="20"/>
          <w:szCs w:val="20"/>
          <w:lang w:eastAsia="zh-CN"/>
        </w:rPr>
      </w:pPr>
    </w:p>
    <w:p w:rsidR="00E20E4B" w:rsidRDefault="00E20E4B" w:rsidP="00E20E4B">
      <w:pPr>
        <w:pStyle w:val="MDPI21heading1"/>
        <w:spacing w:before="0" w:after="0" w:line="240" w:lineRule="auto"/>
        <w:ind w:left="0"/>
        <w:rPr>
          <w:rFonts w:ascii="Times New Roman" w:eastAsiaTheme="minorEastAsia" w:hAnsi="Times New Roman"/>
          <w:color w:val="auto"/>
          <w:sz w:val="20"/>
          <w:szCs w:val="20"/>
          <w:lang w:eastAsia="zh-CN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Appendix </w:t>
      </w:r>
      <w:r>
        <w:rPr>
          <w:rFonts w:ascii="Times New Roman" w:eastAsiaTheme="minorEastAsia" w:hAnsi="Times New Roman" w:hint="eastAsia"/>
          <w:color w:val="auto"/>
          <w:sz w:val="20"/>
          <w:szCs w:val="20"/>
          <w:lang w:eastAsia="zh-CN"/>
        </w:rPr>
        <w:t>B</w:t>
      </w:r>
    </w:p>
    <w:p w:rsidR="00E20E4B" w:rsidRDefault="00E20E4B" w:rsidP="00E20E4B">
      <w:pPr>
        <w:pStyle w:val="MDPI21heading1"/>
        <w:spacing w:before="0" w:after="0" w:line="240" w:lineRule="auto"/>
        <w:ind w:left="0"/>
        <w:rPr>
          <w:rFonts w:ascii="Times New Roman" w:eastAsiaTheme="minorEastAsia" w:hAnsi="Times New Roman"/>
          <w:color w:val="auto"/>
          <w:sz w:val="20"/>
          <w:szCs w:val="20"/>
          <w:lang w:eastAsia="zh-CN"/>
        </w:rPr>
      </w:pPr>
      <w:r>
        <w:rPr>
          <w:rFonts w:ascii="Times New Roman" w:eastAsiaTheme="minorEastAsia" w:hAnsi="Times New Roman"/>
          <w:color w:val="auto"/>
          <w:sz w:val="20"/>
          <w:szCs w:val="20"/>
          <w:lang w:eastAsia="zh-CN"/>
        </w:rPr>
        <w:t>Pareto Analysis of the Multi-objective Optimization Results</w:t>
      </w:r>
    </w:p>
    <w:p w:rsidR="00E20E4B" w:rsidRDefault="00E20E4B" w:rsidP="00E20E4B">
      <w:pPr>
        <w:pStyle w:val="MDPI62backmatter"/>
        <w:spacing w:after="0" w:line="240" w:lineRule="auto"/>
        <w:ind w:left="0"/>
        <w:rPr>
          <w:rFonts w:ascii="Times New Roman" w:eastAsiaTheme="minorEastAsia" w:hAnsi="Times New Roman"/>
          <w:color w:val="auto"/>
          <w:sz w:val="20"/>
          <w:lang w:eastAsia="zh-CN"/>
        </w:rPr>
      </w:pPr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To analyze the trade-off between the </w:t>
      </w:r>
      <w:proofErr w:type="gramStart"/>
      <w:r>
        <w:rPr>
          <w:rFonts w:ascii="Times New Roman" w:eastAsiaTheme="minorEastAsia" w:hAnsi="Times New Roman"/>
          <w:color w:val="auto"/>
          <w:sz w:val="20"/>
          <w:lang w:eastAsia="zh-CN"/>
        </w:rPr>
        <w:t>two optimization</w:t>
      </w:r>
      <w:proofErr w:type="gramEnd"/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 objectives, the ε-constraint method is employed to obtain representative Pareto solutions. The load regulation objective </w:t>
      </w:r>
      <m:oMath>
        <m:sSub>
          <m:sSubPr>
            <m:ctrl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F</m:t>
            </m:r>
          </m:e>
          <m:sub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L</m:t>
            </m:r>
          </m:sub>
        </m:sSub>
      </m:oMath>
      <w:proofErr w:type="gramStart"/>
      <w:r>
        <w:rPr>
          <w:rFonts w:ascii="Times New Roman" w:eastAsiaTheme="minorEastAsia" w:hAnsi="Times New Roman"/>
          <w:color w:val="auto"/>
          <w:sz w:val="20"/>
          <w:lang w:eastAsia="zh-CN"/>
        </w:rPr>
        <w:t>is imposed</w:t>
      </w:r>
      <w:proofErr w:type="gramEnd"/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 as a constraint, while the optimization objective cost </w:t>
      </w:r>
      <m:oMath>
        <m:sSub>
          <m:sSubPr>
            <m:ctrl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F</m:t>
            </m:r>
          </m:e>
          <m:sub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cost</m:t>
            </m:r>
          </m:sub>
        </m:sSub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>is minimized within the feasible region of the original dispatch model:</w:t>
      </w:r>
    </w:p>
    <w:tbl>
      <w:tblPr>
        <w:tblW w:w="499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7"/>
        <w:gridCol w:w="511"/>
      </w:tblGrid>
      <w:tr w:rsidR="00E20E4B" w:rsidTr="0033667F">
        <w:tc>
          <w:tcPr>
            <w:tcW w:w="4727" w:type="pct"/>
          </w:tcPr>
          <w:p w:rsidR="00E20E4B" w:rsidRDefault="00E20E4B" w:rsidP="0033667F">
            <w:pPr>
              <w:pStyle w:val="MDPI39equation"/>
              <w:spacing w:before="0" w:after="0" w:line="240" w:lineRule="auto"/>
              <w:ind w:left="0"/>
              <w:rPr>
                <w:rFonts w:ascii="Times New Roman" w:hAnsi="Times New Roman"/>
                <w:color w:val="auto"/>
                <w:szCs w:val="20"/>
              </w:rPr>
            </w:pPr>
            <w:r>
              <w:rPr>
                <w:rFonts w:ascii="Times New Roman" w:hAnsi="Times New Roman"/>
                <w:color w:val="auto"/>
                <w:position w:val="-30"/>
                <w:szCs w:val="20"/>
              </w:rPr>
              <w:object w:dxaOrig="3018" w:dyaOrig="7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0.75pt;height:36pt" o:ole="">
                  <v:imagedata r:id="rId4" o:title=""/>
                </v:shape>
                <o:OLEObject Type="Embed" ProgID="Equation.DSMT4" ShapeID="_x0000_i1025" DrawAspect="Content" ObjectID="_1852205431" r:id="rId5"/>
              </w:object>
            </w:r>
          </w:p>
        </w:tc>
        <w:tc>
          <w:tcPr>
            <w:tcW w:w="273" w:type="pct"/>
            <w:vAlign w:val="center"/>
          </w:tcPr>
          <w:p w:rsidR="00E20E4B" w:rsidRDefault="00E20E4B" w:rsidP="0033667F">
            <w:pPr>
              <w:pStyle w:val="MDPI3aequationnumber"/>
              <w:adjustRightInd w:val="0"/>
              <w:snapToGrid w:val="0"/>
              <w:spacing w:before="0" w:after="0" w:line="240" w:lineRule="auto"/>
              <w:rPr>
                <w:rFonts w:ascii="Times New Roman" w:hAnsi="Times New Roman"/>
                <w:color w:val="auto"/>
                <w:szCs w:val="20"/>
              </w:rPr>
            </w:pPr>
            <w:r>
              <w:rPr>
                <w:rFonts w:ascii="Times New Roman" w:hAnsi="Times New Roman"/>
                <w:color w:val="auto"/>
                <w:szCs w:val="20"/>
              </w:rPr>
              <w:t>(</w:t>
            </w:r>
            <w:r>
              <w:rPr>
                <w:rFonts w:ascii="Times New Roman" w:eastAsiaTheme="minorEastAsia" w:hAnsi="Times New Roman" w:hint="eastAsia"/>
                <w:color w:val="auto"/>
                <w:szCs w:val="20"/>
                <w:lang w:eastAsia="zh-CN"/>
              </w:rPr>
              <w:t>B1</w:t>
            </w:r>
            <w:r>
              <w:rPr>
                <w:rFonts w:ascii="Times New Roman" w:hAnsi="Times New Roman"/>
                <w:color w:val="auto"/>
                <w:szCs w:val="20"/>
              </w:rPr>
              <w:t>)</w:t>
            </w:r>
          </w:p>
        </w:tc>
      </w:tr>
    </w:tbl>
    <w:p w:rsidR="00E20E4B" w:rsidRDefault="00E20E4B" w:rsidP="00E20E4B">
      <w:pPr>
        <w:pStyle w:val="MDPI62backmatter"/>
        <w:spacing w:after="0" w:line="240" w:lineRule="auto"/>
        <w:ind w:left="0"/>
        <w:rPr>
          <w:rFonts w:ascii="Times New Roman" w:eastAsiaTheme="minorEastAsia" w:hAnsi="Times New Roman"/>
          <w:color w:val="auto"/>
          <w:sz w:val="20"/>
          <w:lang w:eastAsia="zh-CN"/>
        </w:rPr>
      </w:pPr>
      <w:proofErr w:type="gramStart"/>
      <w:r>
        <w:rPr>
          <w:rFonts w:ascii="Times New Roman" w:eastAsiaTheme="minorEastAsia" w:hAnsi="Times New Roman"/>
          <w:color w:val="auto"/>
          <w:sz w:val="20"/>
          <w:lang w:eastAsia="zh-CN"/>
        </w:rPr>
        <w:t>where</w:t>
      </w:r>
      <w:proofErr w:type="gramEnd"/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color w:val="auto"/>
            <w:sz w:val="20"/>
            <w:lang w:eastAsia="zh-CN"/>
          </w:rPr>
          <m:t>Ω</m:t>
        </m:r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denotes the feasible region of the original dispatch model, and </w:t>
      </w:r>
      <m:oMath>
        <m:sSub>
          <m:sSubPr>
            <m:ctrl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ε</m:t>
            </m:r>
          </m:e>
          <m:sub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i</m:t>
            </m:r>
          </m:sub>
        </m:sSub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represents different load-regulation constraint levels. Twenty-one </w:t>
      </w:r>
      <m:oMath>
        <m:r>
          <w:rPr>
            <w:rFonts w:ascii="Cambria Math" w:eastAsiaTheme="minorEastAsia" w:hAnsi="Cambria Math"/>
            <w:color w:val="auto"/>
            <w:sz w:val="20"/>
            <w:lang w:eastAsia="zh-CN"/>
          </w:rPr>
          <m:t>ε</m:t>
        </m:r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levels </w:t>
      </w:r>
      <w:proofErr w:type="gramStart"/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are uniformly selected between </w:t>
      </w:r>
      <m:oMath>
        <m:sSubSup>
          <m:sSubSupPr>
            <m:ctrl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</m:ctrlPr>
          </m:sSubSupPr>
          <m:e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F</m:t>
            </m:r>
          </m:e>
          <m:sub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L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min</m:t>
            </m:r>
          </m:sup>
        </m:sSubSup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and </w:t>
      </w:r>
      <m:oMath>
        <m:sSubSup>
          <m:sSubSupPr>
            <m:ctrl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</m:ctrlPr>
          </m:sSubSupPr>
          <m:e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F</m:t>
            </m:r>
          </m:e>
          <m:sub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L</m:t>
            </m:r>
          </m:sub>
          <m:sup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ref</m:t>
            </m:r>
          </m:sup>
        </m:sSubSup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>defined in Section 4.2.3 to obtain representative Pareto solutions</w:t>
      </w:r>
      <w:proofErr w:type="gramEnd"/>
      <w:r>
        <w:rPr>
          <w:rFonts w:ascii="Times New Roman" w:eastAsiaTheme="minorEastAsia" w:hAnsi="Times New Roman"/>
          <w:color w:val="auto"/>
          <w:sz w:val="20"/>
          <w:lang w:eastAsia="zh-CN"/>
        </w:rPr>
        <w:t>.</w:t>
      </w:r>
    </w:p>
    <w:p w:rsidR="00E20E4B" w:rsidRDefault="00E20E4B" w:rsidP="00E20E4B">
      <w:pPr>
        <w:pStyle w:val="MDPI62backmatter"/>
        <w:spacing w:after="0" w:line="240" w:lineRule="auto"/>
        <w:ind w:left="0"/>
        <w:rPr>
          <w:rFonts w:ascii="Times New Roman" w:eastAsiaTheme="minorEastAsia" w:hAnsi="Times New Roman"/>
          <w:color w:val="auto"/>
          <w:sz w:val="20"/>
          <w:lang w:eastAsia="zh-C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E20E4B" w:rsidTr="0033667F">
        <w:trPr>
          <w:jc w:val="center"/>
        </w:trPr>
        <w:tc>
          <w:tcPr>
            <w:tcW w:w="4751" w:type="dxa"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</w:rPr>
            </w:pPr>
            <w:r>
              <w:rPr>
                <w:rFonts w:ascii="Times New Roman" w:eastAsiaTheme="minorEastAsia" w:hAnsi="Times New Roman"/>
                <w:noProof/>
                <w:snapToGrid/>
                <w:color w:val="auto"/>
                <w:lang w:eastAsia="en-US" w:bidi="ar-SA"/>
              </w:rPr>
              <w:drawing>
                <wp:inline distT="0" distB="0" distL="0" distR="0" wp14:anchorId="7AA9229C" wp14:editId="45A1BE05">
                  <wp:extent cx="2879725" cy="2233295"/>
                  <wp:effectExtent l="0" t="0" r="0" b="0"/>
                  <wp:docPr id="190512533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12533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23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1" w:type="dxa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snapToGrid/>
                <w:color w:val="auto"/>
                <w:lang w:eastAsia="en-US" w:bidi="ar-SA"/>
              </w:rPr>
              <w:drawing>
                <wp:inline distT="0" distB="0" distL="0" distR="0" wp14:anchorId="6903AFB0" wp14:editId="4D77E607">
                  <wp:extent cx="2879725" cy="2199640"/>
                  <wp:effectExtent l="0" t="0" r="0" b="0"/>
                  <wp:docPr id="968381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381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99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0E4B" w:rsidTr="0033667F">
        <w:trPr>
          <w:jc w:val="center"/>
        </w:trPr>
        <w:tc>
          <w:tcPr>
            <w:tcW w:w="4751" w:type="dxa"/>
            <w:vAlign w:val="center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eastAsiaTheme="minorEastAsia" w:hAnsi="Times New Roman"/>
                <w:color w:val="auto"/>
              </w:rPr>
              <w:t>(</w:t>
            </w:r>
            <w:r>
              <w:rPr>
                <w:rFonts w:ascii="Times New Roman" w:eastAsiaTheme="minorEastAsia" w:hAnsi="Times New Roman" w:hint="eastAsia"/>
                <w:b/>
                <w:bCs/>
                <w:color w:val="auto"/>
                <w:lang w:eastAsia="zh-CN"/>
              </w:rPr>
              <w:t>a</w:t>
            </w:r>
            <w:r>
              <w:rPr>
                <w:rFonts w:ascii="Times New Roman" w:eastAsiaTheme="minorEastAsia" w:hAnsi="Times New Roman"/>
                <w:color w:val="auto"/>
              </w:rPr>
              <w:t>) Pareto front in the objective space</w:t>
            </w:r>
          </w:p>
        </w:tc>
        <w:tc>
          <w:tcPr>
            <w:tcW w:w="4751" w:type="dxa"/>
          </w:tcPr>
          <w:p w:rsidR="00E20E4B" w:rsidRDefault="00E20E4B" w:rsidP="0033667F">
            <w:pPr>
              <w:pStyle w:val="MDPI42tablebody"/>
              <w:spacing w:line="240" w:lineRule="auto"/>
              <w:rPr>
                <w:rFonts w:ascii="Times New Roman" w:eastAsiaTheme="minorEastAsia" w:hAnsi="Times New Roman"/>
                <w:color w:val="auto"/>
                <w:lang w:eastAsia="zh-CN"/>
              </w:rPr>
            </w:pPr>
            <w:r>
              <w:rPr>
                <w:rFonts w:ascii="Times New Roman" w:hAnsi="Times New Roman"/>
                <w:color w:val="auto"/>
              </w:rPr>
              <w:t>(</w:t>
            </w:r>
            <w:r>
              <w:rPr>
                <w:rFonts w:ascii="Times New Roman" w:eastAsiaTheme="minorEastAsia" w:hAnsi="Times New Roman" w:hint="eastAsia"/>
                <w:b/>
                <w:bCs/>
                <w:color w:val="auto"/>
                <w:lang w:eastAsia="zh-CN"/>
              </w:rPr>
              <w:t>b</w:t>
            </w:r>
            <w:r>
              <w:rPr>
                <w:rFonts w:ascii="Times New Roman" w:hAnsi="Times New Roman"/>
                <w:color w:val="auto"/>
              </w:rPr>
              <w:t xml:space="preserve">) </w:t>
            </w:r>
            <w:r>
              <w:rPr>
                <w:rFonts w:ascii="Times New Roman" w:eastAsiaTheme="minorEastAsia" w:hAnsi="Times New Roman" w:hint="eastAsia"/>
                <w:color w:val="auto"/>
                <w:lang w:eastAsia="zh-CN"/>
              </w:rPr>
              <w:t>E</w:t>
            </w:r>
            <w:r>
              <w:rPr>
                <w:rFonts w:ascii="Times New Roman" w:hAnsi="Times New Roman"/>
                <w:color w:val="auto"/>
              </w:rPr>
              <w:t>conomic evaluation of Pareto solutions</w:t>
            </w:r>
          </w:p>
        </w:tc>
      </w:tr>
    </w:tbl>
    <w:p w:rsidR="00E20E4B" w:rsidRDefault="00E20E4B" w:rsidP="00E20E4B">
      <w:pPr>
        <w:pStyle w:val="MDPI51figurecaption"/>
        <w:spacing w:before="0" w:after="0" w:line="240" w:lineRule="auto"/>
        <w:ind w:left="0"/>
        <w:jc w:val="center"/>
        <w:rPr>
          <w:rFonts w:ascii="Times New Roman" w:eastAsiaTheme="minorEastAsia" w:hAnsi="Times New Roman"/>
          <w:bCs/>
          <w:color w:val="auto"/>
          <w:sz w:val="20"/>
          <w:lang w:eastAsia="zh-CN"/>
        </w:rPr>
      </w:pPr>
      <w:r>
        <w:rPr>
          <w:rFonts w:ascii="Times New Roman" w:hAnsi="Times New Roman"/>
          <w:b/>
          <w:color w:val="auto"/>
          <w:sz w:val="20"/>
        </w:rPr>
        <w:t xml:space="preserve">Figure </w:t>
      </w:r>
      <w:r>
        <w:rPr>
          <w:rFonts w:ascii="Times New Roman" w:eastAsiaTheme="minorEastAsia" w:hAnsi="Times New Roman" w:hint="eastAsia"/>
          <w:b/>
          <w:color w:val="auto"/>
          <w:sz w:val="20"/>
          <w:lang w:eastAsia="zh-CN"/>
        </w:rPr>
        <w:t>B1</w:t>
      </w:r>
      <w:r>
        <w:rPr>
          <w:rFonts w:ascii="Times New Roman" w:hAnsi="Times New Roman"/>
          <w:b/>
          <w:color w:val="auto"/>
          <w:sz w:val="20"/>
        </w:rPr>
        <w:t xml:space="preserve">. </w:t>
      </w:r>
      <w:r>
        <w:rPr>
          <w:rFonts w:ascii="Times New Roman" w:hAnsi="Times New Roman"/>
          <w:bCs/>
          <w:color w:val="auto"/>
          <w:sz w:val="20"/>
        </w:rPr>
        <w:t>Multi-objective trade-off analysis</w:t>
      </w:r>
    </w:p>
    <w:p w:rsidR="00E20E4B" w:rsidRDefault="00E20E4B" w:rsidP="00E20E4B">
      <w:pPr>
        <w:pStyle w:val="MDPI62backmatter"/>
        <w:spacing w:after="0" w:line="240" w:lineRule="auto"/>
        <w:ind w:left="0"/>
        <w:rPr>
          <w:rFonts w:ascii="Times New Roman" w:eastAsiaTheme="minorEastAsia" w:hAnsi="Times New Roman"/>
          <w:color w:val="auto"/>
          <w:sz w:val="20"/>
          <w:lang w:eastAsia="zh-CN"/>
        </w:rPr>
      </w:pPr>
    </w:p>
    <w:p w:rsidR="00E20E4B" w:rsidRDefault="00E20E4B" w:rsidP="00E20E4B">
      <w:pPr>
        <w:pStyle w:val="MDPI62backmatter"/>
        <w:spacing w:after="0" w:line="240" w:lineRule="auto"/>
        <w:ind w:left="0"/>
        <w:rPr>
          <w:rFonts w:ascii="Times New Roman" w:eastAsiaTheme="minorEastAsia" w:hAnsi="Times New Roman"/>
          <w:color w:val="auto"/>
          <w:sz w:val="20"/>
          <w:lang w:eastAsia="zh-CN"/>
        </w:rPr>
      </w:pPr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As shown in Fig. </w:t>
      </w:r>
      <w:proofErr w:type="gramStart"/>
      <w:r>
        <w:rPr>
          <w:rFonts w:ascii="Times New Roman" w:eastAsiaTheme="minorEastAsia" w:hAnsi="Times New Roman"/>
          <w:color w:val="auto"/>
          <w:sz w:val="20"/>
          <w:lang w:eastAsia="zh-CN"/>
        </w:rPr>
        <w:t>B1(</w:t>
      </w:r>
      <w:proofErr w:type="gramEnd"/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a), the optimization objective cost </w:t>
      </w:r>
      <m:oMath>
        <m:sSub>
          <m:sSubPr>
            <m:ctrl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F</m:t>
            </m:r>
          </m:e>
          <m:sub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cost</m:t>
            </m:r>
          </m:sub>
        </m:sSub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gradually decreases as the allowable load peak-to-valley difference increases, indicating a clear trade-off between the two optimization objectives. Fig. </w:t>
      </w:r>
      <w:proofErr w:type="gramStart"/>
      <w:r>
        <w:rPr>
          <w:rFonts w:ascii="Times New Roman" w:eastAsiaTheme="minorEastAsia" w:hAnsi="Times New Roman"/>
          <w:color w:val="auto"/>
          <w:sz w:val="20"/>
          <w:lang w:eastAsia="zh-CN"/>
        </w:rPr>
        <w:t>B1(</w:t>
      </w:r>
      <w:proofErr w:type="gramEnd"/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b) further evaluates the same scheduling solutions using the system net operating cost </w:t>
      </w:r>
      <m:oMath>
        <m:sSub>
          <m:sSubPr>
            <m:ctrl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C</m:t>
            </m:r>
          </m:e>
          <m:sub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sys</m:t>
            </m:r>
          </m:sub>
        </m:sSub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adopted in the result statistics. It should be noted that </w:t>
      </w:r>
      <m:oMath>
        <m:sSub>
          <m:sSubPr>
            <m:ctrl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F</m:t>
            </m:r>
          </m:e>
          <m:sub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cost</m:t>
            </m:r>
          </m:sub>
        </m:sSub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and </w:t>
      </w:r>
      <m:oMath>
        <m:sSub>
          <m:sSubPr>
            <m:ctrlP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C</m:t>
            </m:r>
          </m:e>
          <m:sub>
            <m:r>
              <w:rPr>
                <w:rFonts w:ascii="Cambria Math" w:eastAsiaTheme="minorEastAsia" w:hAnsi="Cambria Math"/>
                <w:color w:val="auto"/>
                <w:sz w:val="20"/>
                <w:lang w:eastAsia="zh-CN"/>
              </w:rPr>
              <m:t>sys</m:t>
            </m:r>
          </m:sub>
        </m:sSub>
      </m:oMath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have different cost-accounting scopes. In particular, the CERF-based carbon-responsibility guidance cost </w:t>
      </w:r>
      <w:proofErr w:type="gramStart"/>
      <w:r>
        <w:rPr>
          <w:rFonts w:ascii="Times New Roman" w:eastAsiaTheme="minorEastAsia" w:hAnsi="Times New Roman"/>
          <w:color w:val="auto"/>
          <w:sz w:val="20"/>
          <w:lang w:eastAsia="zh-CN"/>
        </w:rPr>
        <w:t>is introduced</w:t>
      </w:r>
      <w:proofErr w:type="gramEnd"/>
      <w:r>
        <w:rPr>
          <w:rFonts w:ascii="Times New Roman" w:eastAsiaTheme="minorEastAsia" w:hAnsi="Times New Roman"/>
          <w:color w:val="auto"/>
          <w:sz w:val="20"/>
          <w:lang w:eastAsia="zh-CN"/>
        </w:rPr>
        <w:t xml:space="preserve"> as an internal low-carbon guidance term in the optimization objective and is excluded from the system net operating cost used for result statistics. Therefore, Fig. </w:t>
      </w:r>
      <w:proofErr w:type="gramStart"/>
      <w:r>
        <w:rPr>
          <w:rFonts w:ascii="Times New Roman" w:eastAsiaTheme="minorEastAsia" w:hAnsi="Times New Roman"/>
          <w:color w:val="auto"/>
          <w:sz w:val="20"/>
          <w:lang w:eastAsia="zh-CN"/>
        </w:rPr>
        <w:t>B1(</w:t>
      </w:r>
      <w:proofErr w:type="gramEnd"/>
      <w:r>
        <w:rPr>
          <w:rFonts w:ascii="Times New Roman" w:eastAsiaTheme="minorEastAsia" w:hAnsi="Times New Roman"/>
          <w:color w:val="auto"/>
          <w:sz w:val="20"/>
          <w:lang w:eastAsia="zh-CN"/>
        </w:rPr>
        <w:t>b) presents the corresponding economic performance of the Pareto schedules rather than an additional Pareto front.</w:t>
      </w:r>
    </w:p>
    <w:p w:rsidR="00765769" w:rsidRDefault="00E20E4B">
      <w:bookmarkStart w:id="0" w:name="_GoBack"/>
      <w:bookmarkEnd w:id="0"/>
    </w:p>
    <w:sectPr w:rsidR="00765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altName w:val="Leelawadee UI Semilight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4B"/>
    <w:rsid w:val="001C1DA8"/>
    <w:rsid w:val="00CB0F08"/>
    <w:rsid w:val="00E2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391AEA-5D5D-45A6-A637-6EE9F60F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E4B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9equation">
    <w:name w:val="MDPI_3.9_equation"/>
    <w:qFormat/>
    <w:rsid w:val="00E20E4B"/>
    <w:pPr>
      <w:adjustRightInd w:val="0"/>
      <w:snapToGrid w:val="0"/>
      <w:spacing w:before="120" w:after="120" w:line="28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aequationnumber">
    <w:name w:val="MDPI_3.a_equation_number"/>
    <w:qFormat/>
    <w:rsid w:val="00E20E4B"/>
    <w:pPr>
      <w:spacing w:before="120" w:after="120" w:line="280" w:lineRule="atLeast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41tablecaption">
    <w:name w:val="MDPI_4.1_table_caption"/>
    <w:qFormat/>
    <w:rsid w:val="00E20E4B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42tablebody">
    <w:name w:val="MDPI_4.2_table_body"/>
    <w:qFormat/>
    <w:rsid w:val="00E20E4B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51figurecaption">
    <w:name w:val="MDPI_5.1_figure_caption"/>
    <w:qFormat/>
    <w:rsid w:val="00E20E4B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21heading1">
    <w:name w:val="MDPI_2.1_heading1"/>
    <w:qFormat/>
    <w:rsid w:val="00E20E4B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4"/>
      <w:lang w:eastAsia="de-DE" w:bidi="en-US"/>
    </w:rPr>
  </w:style>
  <w:style w:type="paragraph" w:customStyle="1" w:styleId="MDPI62backmatter">
    <w:name w:val="MDPI_6.2_back_matter"/>
    <w:qFormat/>
    <w:rsid w:val="00E20E4B"/>
    <w:pPr>
      <w:adjustRightInd w:val="0"/>
      <w:snapToGrid w:val="0"/>
      <w:spacing w:after="12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 Anthony Tinambacan</dc:creator>
  <cp:keywords/>
  <dc:description/>
  <cp:lastModifiedBy>Hel Anthony Tinambacan</cp:lastModifiedBy>
  <cp:revision>1</cp:revision>
  <dcterms:created xsi:type="dcterms:W3CDTF">2026-09-29T08:42:00Z</dcterms:created>
  <dcterms:modified xsi:type="dcterms:W3CDTF">2026-09-29T08:43:00Z</dcterms:modified>
</cp:coreProperties>
</file>