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0254E" w14:textId="4F936EC6" w:rsidR="0007615B" w:rsidRDefault="0037396E">
      <w:pPr>
        <w:rPr>
          <w:rFonts w:asciiTheme="majorBidi" w:hAnsiTheme="majorBidi" w:cstheme="majorBidi"/>
          <w:sz w:val="28"/>
          <w:szCs w:val="28"/>
        </w:rPr>
      </w:pPr>
      <w:r w:rsidRPr="0037396E">
        <w:rPr>
          <w:rFonts w:asciiTheme="majorBidi" w:hAnsiTheme="majorBidi" w:cstheme="majorBidi"/>
          <w:sz w:val="28"/>
          <w:szCs w:val="28"/>
        </w:rPr>
        <w:t>Supplementary figures</w:t>
      </w:r>
    </w:p>
    <w:p w14:paraId="660D6EA7" w14:textId="65171002" w:rsidR="00566FB8" w:rsidRDefault="00566FB8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0CDFBF6" wp14:editId="768B84A4">
            <wp:extent cx="5943600" cy="59563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C8AF" w14:textId="5B56BAF6" w:rsidR="00566FB8" w:rsidRDefault="00566FB8">
      <w:pPr>
        <w:rPr>
          <w:rFonts w:asciiTheme="majorBidi" w:hAnsiTheme="majorBidi" w:cstheme="majorBidi"/>
          <w:sz w:val="28"/>
          <w:szCs w:val="28"/>
        </w:rPr>
      </w:pPr>
    </w:p>
    <w:p w14:paraId="5E121890" w14:textId="60EF34C5" w:rsidR="00566FB8" w:rsidRPr="00566FB8" w:rsidRDefault="00566FB8" w:rsidP="00566FB8">
      <w:pPr>
        <w:rPr>
          <w:rFonts w:asciiTheme="majorBidi" w:hAnsiTheme="majorBidi" w:cstheme="majorBidi"/>
          <w:sz w:val="24"/>
          <w:szCs w:val="24"/>
        </w:rPr>
      </w:pPr>
      <w:r w:rsidRPr="0037396E">
        <w:rPr>
          <w:rFonts w:asciiTheme="majorBidi" w:hAnsiTheme="majorBidi" w:cstheme="majorBidi"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sz w:val="24"/>
          <w:szCs w:val="24"/>
        </w:rPr>
        <w:t>Figure</w:t>
      </w:r>
      <w:r w:rsidRPr="0037396E">
        <w:rPr>
          <w:rFonts w:asciiTheme="majorBidi" w:hAnsiTheme="majorBidi" w:cstheme="majorBidi"/>
          <w:sz w:val="24"/>
          <w:szCs w:val="24"/>
        </w:rPr>
        <w:t xml:space="preserve"> 1</w:t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566FB8">
        <w:rPr>
          <w:rFonts w:asciiTheme="majorBidi" w:hAnsiTheme="majorBidi" w:cstheme="majorBidi"/>
          <w:sz w:val="24"/>
          <w:szCs w:val="24"/>
        </w:rPr>
        <w:t xml:space="preserve">The </w:t>
      </w:r>
      <w:r w:rsidRPr="00566FB8">
        <w:rPr>
          <w:rFonts w:asciiTheme="majorBidi" w:hAnsiTheme="majorBidi" w:cstheme="majorBidi"/>
          <w:sz w:val="24"/>
          <w:szCs w:val="24"/>
        </w:rPr>
        <w:t>summary</w:t>
      </w:r>
      <w:r w:rsidRPr="00566FB8">
        <w:rPr>
          <w:rFonts w:asciiTheme="majorBidi" w:hAnsiTheme="majorBidi" w:cstheme="majorBidi"/>
          <w:sz w:val="24"/>
          <w:szCs w:val="24"/>
        </w:rPr>
        <w:t xml:space="preserve"> of risk of bias assessment using the ROBINS-E tool</w:t>
      </w:r>
      <w:r w:rsidRPr="00566FB8">
        <w:rPr>
          <w:rFonts w:asciiTheme="majorBidi" w:hAnsiTheme="majorBidi" w:cstheme="majorBidi"/>
          <w:sz w:val="24"/>
          <w:szCs w:val="24"/>
        </w:rPr>
        <w:t xml:space="preserve"> </w:t>
      </w:r>
    </w:p>
    <w:p w14:paraId="294F63F5" w14:textId="65BA79C1" w:rsidR="00566FB8" w:rsidRDefault="00566FB8">
      <w:pPr>
        <w:rPr>
          <w:rFonts w:asciiTheme="majorBidi" w:hAnsiTheme="majorBidi" w:cstheme="majorBidi"/>
          <w:sz w:val="28"/>
          <w:szCs w:val="28"/>
        </w:rPr>
      </w:pPr>
    </w:p>
    <w:p w14:paraId="3DDDD374" w14:textId="0205EA07" w:rsidR="00566FB8" w:rsidRDefault="00566FB8">
      <w:pPr>
        <w:rPr>
          <w:rFonts w:asciiTheme="majorBidi" w:hAnsiTheme="majorBidi" w:cstheme="majorBidi"/>
          <w:sz w:val="28"/>
          <w:szCs w:val="28"/>
        </w:rPr>
      </w:pPr>
    </w:p>
    <w:p w14:paraId="37EFBCB3" w14:textId="0326F4AD" w:rsidR="00566FB8" w:rsidRDefault="00566FB8">
      <w:pPr>
        <w:rPr>
          <w:rFonts w:asciiTheme="majorBidi" w:hAnsiTheme="majorBidi" w:cstheme="majorBidi"/>
          <w:sz w:val="28"/>
          <w:szCs w:val="28"/>
        </w:rPr>
      </w:pPr>
    </w:p>
    <w:p w14:paraId="08854C92" w14:textId="77777777" w:rsidR="00566FB8" w:rsidRDefault="00566FB8">
      <w:pPr>
        <w:rPr>
          <w:rFonts w:asciiTheme="majorBidi" w:hAnsiTheme="majorBidi" w:cstheme="majorBidi"/>
          <w:sz w:val="28"/>
          <w:szCs w:val="28"/>
        </w:rPr>
      </w:pPr>
    </w:p>
    <w:p w14:paraId="211CF814" w14:textId="6F65E2CA" w:rsidR="0037396E" w:rsidRDefault="0037396E">
      <w:pPr>
        <w:rPr>
          <w:rFonts w:asciiTheme="majorBidi" w:hAnsiTheme="majorBidi" w:cstheme="majorBidi"/>
          <w:sz w:val="28"/>
          <w:szCs w:val="28"/>
        </w:rPr>
      </w:pPr>
    </w:p>
    <w:p w14:paraId="32BA632F" w14:textId="2EDC1245" w:rsidR="0037396E" w:rsidRPr="0037396E" w:rsidRDefault="0037396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BB5BD27" wp14:editId="1AE88838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E4695" w14:textId="46DFA6A8" w:rsidR="0037396E" w:rsidRPr="0037396E" w:rsidRDefault="0037396E" w:rsidP="0037396E">
      <w:pPr>
        <w:rPr>
          <w:rFonts w:asciiTheme="majorBidi" w:hAnsiTheme="majorBidi" w:cstheme="majorBidi"/>
        </w:rPr>
      </w:pPr>
      <w:bookmarkStart w:id="0" w:name="_Hlk195433016"/>
      <w:r w:rsidRPr="0037396E">
        <w:rPr>
          <w:rFonts w:asciiTheme="majorBidi" w:hAnsiTheme="majorBidi" w:cstheme="majorBidi"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sz w:val="24"/>
          <w:szCs w:val="24"/>
        </w:rPr>
        <w:t>Figure</w:t>
      </w:r>
      <w:r w:rsidRPr="0037396E">
        <w:rPr>
          <w:rFonts w:asciiTheme="majorBidi" w:hAnsiTheme="majorBidi" w:cstheme="majorBidi"/>
          <w:sz w:val="24"/>
          <w:szCs w:val="24"/>
        </w:rPr>
        <w:t xml:space="preserve"> </w:t>
      </w:r>
      <w:bookmarkEnd w:id="0"/>
      <w:r w:rsidR="00566FB8"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>- One-year landmark analysis. In the first year of follow-up, the event-free survival in patients with RVD dropped more sharply compared to patients without RVD.</w:t>
      </w:r>
    </w:p>
    <w:p w14:paraId="0711B016" w14:textId="6F5A7F96" w:rsidR="0037396E" w:rsidRDefault="0037396E"/>
    <w:p w14:paraId="7DDD9107" w14:textId="3811BD58" w:rsidR="0037396E" w:rsidRDefault="0037396E"/>
    <w:p w14:paraId="1B999FEE" w14:textId="6F992175" w:rsidR="0037396E" w:rsidRDefault="0037396E"/>
    <w:p w14:paraId="60A587F4" w14:textId="495D7E9F" w:rsidR="0037396E" w:rsidRDefault="0037396E"/>
    <w:p w14:paraId="7387D7BD" w14:textId="140505FF" w:rsidR="0037396E" w:rsidRDefault="0037396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A34E3F8" wp14:editId="29288F0F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3CF6C" w14:textId="7DCCB95E" w:rsidR="0037396E" w:rsidRPr="0037396E" w:rsidRDefault="0037396E" w:rsidP="0037396E"/>
    <w:p w14:paraId="6F31C52F" w14:textId="3B5171F1" w:rsidR="0037396E" w:rsidRPr="0037396E" w:rsidRDefault="0037396E" w:rsidP="0037396E">
      <w:pPr>
        <w:rPr>
          <w:rFonts w:asciiTheme="majorBidi" w:hAnsiTheme="majorBidi" w:cstheme="majorBidi"/>
        </w:rPr>
      </w:pPr>
      <w:r w:rsidRPr="0037396E">
        <w:rPr>
          <w:rFonts w:asciiTheme="majorBidi" w:hAnsiTheme="majorBidi" w:cstheme="majorBidi"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sz w:val="24"/>
          <w:szCs w:val="24"/>
        </w:rPr>
        <w:t>Figure</w:t>
      </w:r>
      <w:r w:rsidRPr="0037396E">
        <w:rPr>
          <w:rFonts w:asciiTheme="majorBidi" w:hAnsiTheme="majorBidi" w:cstheme="majorBidi"/>
          <w:sz w:val="24"/>
          <w:szCs w:val="24"/>
        </w:rPr>
        <w:t xml:space="preserve"> </w:t>
      </w:r>
      <w:r w:rsidR="00566FB8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</w:rPr>
        <w:t xml:space="preserve">- Subgroup analysis on event-free survival in studies defined RVD with echocardiographic parameters. The </w:t>
      </w:r>
      <w:r w:rsidR="00DD4227">
        <w:rPr>
          <w:rFonts w:asciiTheme="majorBidi" w:hAnsiTheme="majorBidi" w:cstheme="majorBidi"/>
        </w:rPr>
        <w:t>results</w:t>
      </w:r>
      <w:r>
        <w:rPr>
          <w:rFonts w:asciiTheme="majorBidi" w:hAnsiTheme="majorBidi" w:cstheme="majorBidi"/>
        </w:rPr>
        <w:t xml:space="preserve"> show </w:t>
      </w:r>
      <w:r w:rsidR="00DD4227">
        <w:rPr>
          <w:rFonts w:asciiTheme="majorBidi" w:hAnsiTheme="majorBidi" w:cstheme="majorBidi"/>
        </w:rPr>
        <w:t>a significant difference between patients with and without RVD.</w:t>
      </w:r>
    </w:p>
    <w:p w14:paraId="31F04EA6" w14:textId="6B0607C0" w:rsidR="0037396E" w:rsidRDefault="0037396E" w:rsidP="0037396E">
      <w:pPr>
        <w:rPr>
          <w:noProof/>
        </w:rPr>
      </w:pPr>
    </w:p>
    <w:p w14:paraId="61643B99" w14:textId="3DEB15FE" w:rsidR="0037396E" w:rsidRDefault="0037396E" w:rsidP="0037396E">
      <w:pPr>
        <w:jc w:val="right"/>
      </w:pPr>
    </w:p>
    <w:p w14:paraId="7EB77AA0" w14:textId="5FE845A8" w:rsidR="0037396E" w:rsidRDefault="0037396E" w:rsidP="0037396E">
      <w:pPr>
        <w:jc w:val="right"/>
      </w:pPr>
    </w:p>
    <w:p w14:paraId="6CC52FD8" w14:textId="63C96E4C" w:rsidR="0037396E" w:rsidRDefault="0037396E" w:rsidP="0037396E">
      <w:pPr>
        <w:jc w:val="right"/>
      </w:pPr>
    </w:p>
    <w:p w14:paraId="41994B20" w14:textId="30E3EB95" w:rsidR="0037396E" w:rsidRDefault="0037396E" w:rsidP="0037396E">
      <w:pPr>
        <w:jc w:val="right"/>
      </w:pPr>
    </w:p>
    <w:p w14:paraId="32D18E9E" w14:textId="2C5914EC" w:rsidR="0037396E" w:rsidRDefault="0037396E" w:rsidP="0037396E">
      <w:pPr>
        <w:jc w:val="right"/>
      </w:pPr>
    </w:p>
    <w:p w14:paraId="70846D2F" w14:textId="235DA0E8" w:rsidR="0037396E" w:rsidRDefault="0037396E" w:rsidP="0037396E">
      <w:pPr>
        <w:jc w:val="right"/>
      </w:pPr>
    </w:p>
    <w:p w14:paraId="59F2AF6F" w14:textId="572BB86B" w:rsidR="0037396E" w:rsidRDefault="0037396E" w:rsidP="0037396E">
      <w:pPr>
        <w:jc w:val="right"/>
      </w:pPr>
      <w:r>
        <w:rPr>
          <w:noProof/>
        </w:rPr>
        <w:drawing>
          <wp:inline distT="0" distB="0" distL="0" distR="0" wp14:anchorId="5D92C276" wp14:editId="6D38AAFF">
            <wp:extent cx="59436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EB684" w14:textId="0F4ADAA0" w:rsidR="0037396E" w:rsidRDefault="0037396E" w:rsidP="0037396E"/>
    <w:p w14:paraId="45B1D4BC" w14:textId="556F16CA" w:rsidR="0037396E" w:rsidRPr="0037396E" w:rsidRDefault="0037396E" w:rsidP="0037396E">
      <w:pPr>
        <w:rPr>
          <w:rFonts w:asciiTheme="majorBidi" w:hAnsiTheme="majorBidi" w:cstheme="majorBidi"/>
        </w:rPr>
      </w:pPr>
      <w:r w:rsidRPr="0037396E">
        <w:rPr>
          <w:rFonts w:asciiTheme="majorBidi" w:hAnsiTheme="majorBidi" w:cstheme="majorBidi"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sz w:val="24"/>
          <w:szCs w:val="24"/>
        </w:rPr>
        <w:t>Figure</w:t>
      </w:r>
      <w:r w:rsidRPr="0037396E">
        <w:rPr>
          <w:rFonts w:asciiTheme="majorBidi" w:hAnsiTheme="majorBidi" w:cstheme="majorBidi"/>
          <w:sz w:val="24"/>
          <w:szCs w:val="24"/>
        </w:rPr>
        <w:t xml:space="preserve"> </w:t>
      </w:r>
      <w:r w:rsidR="00566FB8"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</w:rPr>
        <w:t xml:space="preserve">- </w:t>
      </w:r>
      <w:r w:rsidRPr="0037396E">
        <w:rPr>
          <w:rFonts w:asciiTheme="majorBidi" w:hAnsiTheme="majorBidi" w:cstheme="majorBidi"/>
        </w:rPr>
        <w:t xml:space="preserve">The </w:t>
      </w:r>
      <w:r>
        <w:rPr>
          <w:rFonts w:asciiTheme="majorBidi" w:hAnsiTheme="majorBidi" w:cstheme="majorBidi"/>
        </w:rPr>
        <w:t>difference trend</w:t>
      </w:r>
      <w:r w:rsidRPr="0037396E">
        <w:rPr>
          <w:rFonts w:asciiTheme="majorBidi" w:hAnsiTheme="majorBidi" w:cstheme="majorBidi"/>
        </w:rPr>
        <w:t xml:space="preserve"> in Restricted Mean Survival Time over eight years of follow-up between patients with and without right ventricular dysfunction</w:t>
      </w:r>
      <w:r>
        <w:rPr>
          <w:rFonts w:asciiTheme="majorBidi" w:hAnsiTheme="majorBidi" w:cstheme="majorBidi"/>
        </w:rPr>
        <w:t xml:space="preserve"> in subgroup patients with an echocardiographic </w:t>
      </w:r>
      <w:r w:rsidR="00566FB8">
        <w:rPr>
          <w:rFonts w:asciiTheme="majorBidi" w:hAnsiTheme="majorBidi" w:cstheme="majorBidi"/>
        </w:rPr>
        <w:t>definition of</w:t>
      </w:r>
      <w:r>
        <w:rPr>
          <w:rFonts w:asciiTheme="majorBidi" w:hAnsiTheme="majorBidi" w:cstheme="majorBidi"/>
        </w:rPr>
        <w:t xml:space="preserve"> RVD.</w:t>
      </w:r>
    </w:p>
    <w:sectPr w:rsidR="0037396E" w:rsidRPr="00373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E9"/>
    <w:rsid w:val="00030AE9"/>
    <w:rsid w:val="0007615B"/>
    <w:rsid w:val="002E393F"/>
    <w:rsid w:val="0037396E"/>
    <w:rsid w:val="00566FB8"/>
    <w:rsid w:val="00DD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9F534"/>
  <w15:chartTrackingRefBased/>
  <w15:docId w15:val="{98199F8D-5809-490C-AEF8-16D15D8E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106</Words>
  <Characters>657</Characters>
  <Application>Microsoft Office Word</Application>
  <DocSecurity>0</DocSecurity>
  <Lines>36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Roozbeh Javid</dc:creator>
  <cp:keywords/>
  <dc:description/>
  <cp:lastModifiedBy>Roozbeh Javid</cp:lastModifiedBy>
  <cp:revision>3</cp:revision>
  <dcterms:created xsi:type="dcterms:W3CDTF">2025-04-13T06:34:00Z</dcterms:created>
  <dcterms:modified xsi:type="dcterms:W3CDTF">2025-04-13T07:07:00Z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dbcad3d6a186ac656a30bda37e622d511e6cd1ae50c9408f96d1386dc5292bac</vt:lpwstr>
  </property>
</Properties>
</file>