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2AA9" w:rsidRDefault="00000000">
      <w:pPr>
        <w:widowControl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 w:hint="eastAsia"/>
          <w:b/>
          <w:bCs/>
          <w:sz w:val="40"/>
          <w:szCs w:val="40"/>
        </w:rPr>
        <w:t>Supplementary materials</w:t>
      </w:r>
    </w:p>
    <w:p w:rsidR="007D2AA9" w:rsidRDefault="007D2AA9"/>
    <w:tbl>
      <w:tblPr>
        <w:tblStyle w:val="ab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993"/>
      </w:tblGrid>
      <w:tr w:rsidR="007D2AA9">
        <w:trPr>
          <w:trHeight w:val="280"/>
          <w:jc w:val="center"/>
        </w:trPr>
        <w:tc>
          <w:tcPr>
            <w:tcW w:w="8931" w:type="dxa"/>
            <w:gridSpan w:val="5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Table S1.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Distribution of vasoactive drug types and dosages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used intraoperatively and postoperatively.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(n=2242)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Non-AKI (n=1491)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AKI (n=751)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Intraoperative medications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Dopamine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 (3.3)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 (2.7)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 (4.7)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Dobutamine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557 (24.8)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316 (21.2)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241 (32.1)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Epinephrine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368 (16.4)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 (14.1)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 (21.0)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Levosimendan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 (4.6)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 (4.4)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 (5.1)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0.522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Milrinone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699 (31.2)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446 (29.9)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253 (33.7)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Vasopressin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 (0.8)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 (0.4)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 (1.7)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Norepinephrine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 (33.2)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394 (26.4)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 (46.6)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Dosage</w:t>
            </w: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Dopamine,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0.016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Dobutamine,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4.00]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Epinephrine,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Levosimendan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0.439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Milrinone,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0.40]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0.40]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0.40]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Vasopressin,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units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Norepinephrine,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0.10]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0.04]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0.10]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Post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operative medications</w:t>
            </w: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Dopamine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437 (19.5)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379 (25.4)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 (7.7)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Dobutamine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1124 (50.1)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690 (46.3)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434 (57.8)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Epinephrine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415 (18.5)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239 (16.0)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176 (23.4)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Levosimendan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 (0.8)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(0.1)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 (2.0)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Milrinone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 (8.2)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 (5.7)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 (13.2)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Vasopressin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(0.1)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(0.1)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(0.1)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.000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Norepinephrine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543 (24.2)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246 (16.5)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297 (39.5)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Dosage</w:t>
            </w: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Dopamine,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1.00]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Dobutamine,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 [0.00, 3.00]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2.00]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2.00 [0.00, 4.00]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Epinephrine,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Levosimendan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Milrinone,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Vasopressin,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units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99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</w:tr>
      <w:tr w:rsidR="007D2AA9">
        <w:trPr>
          <w:trHeight w:val="280"/>
          <w:jc w:val="center"/>
        </w:trPr>
        <w:tc>
          <w:tcPr>
            <w:tcW w:w="2835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Norepinephrine,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μ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/kg/min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0.00]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 [0.00, 0.06]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8931" w:type="dxa"/>
            <w:gridSpan w:val="5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Note: Drug use is presented as n (%), and dosages are presented as medians. P values compare the non-AKI and AKI groups. AKI, acute kidney injury.</w:t>
            </w:r>
          </w:p>
          <w:p w:rsidR="007D2AA9" w:rsidRDefault="007D2AA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D2AA9" w:rsidRDefault="007D2AA9">
      <w:pPr>
        <w:widowControl/>
      </w:pPr>
    </w:p>
    <w:p w:rsidR="007D2AA9" w:rsidRDefault="007D2AA9"/>
    <w:tbl>
      <w:tblPr>
        <w:tblStyle w:val="ab"/>
        <w:tblW w:w="11505" w:type="dxa"/>
        <w:tblInd w:w="-16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0"/>
        <w:gridCol w:w="1308"/>
        <w:gridCol w:w="730"/>
        <w:gridCol w:w="1352"/>
        <w:gridCol w:w="758"/>
        <w:gridCol w:w="1190"/>
        <w:gridCol w:w="825"/>
        <w:gridCol w:w="1304"/>
        <w:gridCol w:w="711"/>
        <w:gridCol w:w="1288"/>
        <w:gridCol w:w="669"/>
      </w:tblGrid>
      <w:tr w:rsidR="007D2AA9">
        <w:trPr>
          <w:trHeight w:val="280"/>
        </w:trPr>
        <w:tc>
          <w:tcPr>
            <w:tcW w:w="11505" w:type="dxa"/>
            <w:gridSpan w:val="11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>Table S2. F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inal confounders identified through multivariable analysis for the mediation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analyses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>.</w:t>
            </w:r>
          </w:p>
        </w:tc>
      </w:tr>
      <w:tr w:rsidR="007D2AA9">
        <w:trPr>
          <w:trHeight w:val="280"/>
        </w:trPr>
        <w:tc>
          <w:tcPr>
            <w:tcW w:w="1370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038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PASP</w:t>
            </w:r>
          </w:p>
        </w:tc>
        <w:tc>
          <w:tcPr>
            <w:tcW w:w="2110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MAP_</w:t>
            </w:r>
            <w:r>
              <w:rPr>
                <w:rFonts w:ascii="Times New Roman" w:hAnsi="Times New Roman" w:cs="Times New Roman" w:hint="eastAsia"/>
                <w:b/>
                <w:bCs/>
                <w:sz w:val="14"/>
                <w:szCs w:val="14"/>
              </w:rPr>
              <w:t>TIME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_65</w:t>
            </w:r>
          </w:p>
        </w:tc>
        <w:tc>
          <w:tcPr>
            <w:tcW w:w="2015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MAP_AUT_65</w:t>
            </w:r>
          </w:p>
        </w:tc>
        <w:tc>
          <w:tcPr>
            <w:tcW w:w="2015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Intraoperative VIS</w:t>
            </w:r>
          </w:p>
        </w:tc>
        <w:tc>
          <w:tcPr>
            <w:tcW w:w="19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4"/>
                <w:szCs w:val="14"/>
              </w:rPr>
              <w:t>Post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operative VIS</w:t>
            </w:r>
          </w:p>
        </w:tc>
      </w:tr>
      <w:tr w:rsidR="007D2AA9">
        <w:trPr>
          <w:trHeight w:val="280"/>
        </w:trPr>
        <w:tc>
          <w:tcPr>
            <w:tcW w:w="1370" w:type="dxa"/>
            <w:vMerge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3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O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 xml:space="preserve"> (95% CI)</w:t>
            </w:r>
          </w:p>
        </w:tc>
        <w:tc>
          <w:tcPr>
            <w:tcW w:w="73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-value</w:t>
            </w: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3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O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 xml:space="preserve"> (95% CI)</w:t>
            </w:r>
          </w:p>
        </w:tc>
        <w:tc>
          <w:tcPr>
            <w:tcW w:w="75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-value</w:t>
            </w:r>
          </w:p>
        </w:tc>
        <w:tc>
          <w:tcPr>
            <w:tcW w:w="11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OR (95% CI)</w:t>
            </w:r>
          </w:p>
        </w:tc>
        <w:tc>
          <w:tcPr>
            <w:tcW w:w="8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-value</w:t>
            </w:r>
          </w:p>
        </w:tc>
        <w:tc>
          <w:tcPr>
            <w:tcW w:w="130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OR (95% CI)</w:t>
            </w: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-value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OR (95% CI)</w:t>
            </w:r>
          </w:p>
        </w:tc>
        <w:tc>
          <w:tcPr>
            <w:tcW w:w="66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4"/>
                <w:szCs w:val="14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4"/>
                <w:szCs w:val="14"/>
              </w:rPr>
              <w:t>-value</w:t>
            </w:r>
          </w:p>
        </w:tc>
      </w:tr>
      <w:tr w:rsidR="007D2AA9">
        <w:trPr>
          <w:trHeight w:val="280"/>
        </w:trPr>
        <w:tc>
          <w:tcPr>
            <w:tcW w:w="1370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bookmarkStart w:id="0" w:name="_Hlk192188925"/>
            <w:r>
              <w:rPr>
                <w:rFonts w:ascii="Times New Roman" w:hAnsi="Times New Roman" w:cs="Times New Roman"/>
                <w:sz w:val="12"/>
                <w:szCs w:val="12"/>
              </w:rPr>
              <w:t>(Intercept)</w:t>
            </w:r>
          </w:p>
        </w:tc>
        <w:tc>
          <w:tcPr>
            <w:tcW w:w="1308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0.003 (0.001-0.007)</w:t>
            </w:r>
          </w:p>
        </w:tc>
        <w:tc>
          <w:tcPr>
            <w:tcW w:w="730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0.010 (0.004-0.024)</w:t>
            </w:r>
          </w:p>
        </w:tc>
        <w:tc>
          <w:tcPr>
            <w:tcW w:w="758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190" w:type="dxa"/>
            <w:tcBorders>
              <w:top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0.013 (0.005-0.030)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0.012 (0.005-0.029)</w:t>
            </w:r>
          </w:p>
        </w:tc>
        <w:tc>
          <w:tcPr>
            <w:tcW w:w="711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0.008 (0.003-0.021)</w:t>
            </w:r>
          </w:p>
        </w:tc>
        <w:tc>
          <w:tcPr>
            <w:tcW w:w="669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Male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0.950 (0.735-1.226)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0.695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0.883 (0.687-1.132)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0.328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0.880 (0.685-1.127)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0.311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0.901 (0.702-1.155)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0.411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0.866 (0.667-1.123)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0.279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BMI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, kg/m</w:t>
            </w:r>
            <w:r>
              <w:rPr>
                <w:rFonts w:ascii="Times New Roman" w:eastAsia="宋体" w:hAnsi="Times New Roman" w:cs="Times New Roman"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1.069 (1.038-1.101)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1.064 (1.034-1.096)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1.061 (1.031-1.092)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1.066 (1.035-1.097)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1.070 (1.039-1.103)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Smoking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1.547 (1.208-1.984)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0.001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1.462 (1.147-1.865)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0.002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1.450 (1.138-1.848)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0.003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1.416 (1.112-1.804)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0.005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1.526 (1.188-1.964)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0.001 </w:t>
            </w:r>
          </w:p>
        </w:tc>
      </w:tr>
      <w:bookmarkEnd w:id="0"/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NYHA functional class</w:t>
            </w:r>
          </w:p>
        </w:tc>
        <w:tc>
          <w:tcPr>
            <w:tcW w:w="1308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3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1352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58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1190" w:type="dxa"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825" w:type="dxa"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11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1288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69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ind w:firstLineChars="100" w:firstLine="120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Ⅰ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Ref.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ind w:firstLineChars="100" w:firstLine="120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bookmarkStart w:id="1" w:name="_Hlk192188955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Ⅱ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0.834 (0.576-1.209)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0.337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0.878 (0.611-1.263)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0.482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0.865 (0.603-1.242)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0.431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0.910 (0.634-1.309)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0.612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(0.687-1.459)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0.998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ind w:firstLineChars="100" w:firstLine="120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Ⅲ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0.819 (0.585-1.151)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0.247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0.930 (0.671-1.294)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0.666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0.941 (0.680-1.307)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0.715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0.955 (0.689-1.328)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0.781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0.991 (0.704-1.400)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0.957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ind w:firstLineChars="100" w:firstLine="120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Ⅳ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0.930 (0.584-1.477)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0.759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1.119 (0.717-1.746)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0.621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1.179 (0.758-1.834)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0.465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1.076 (0.689-1.681)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0.746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1.105 (0.689-1.768)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0.678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Hypertension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1.868 (1.501-2.327)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1.743 (1.408-2.160)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1.762 (1.425-2.181)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1.779 (1.438-2.203)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1.809 (1.451-2.258)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Serum creatinine,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μmol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/L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1.008 (1.005-1.012)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1.009 (1.006-1.013)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1.010 (1.006-1.014)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1.010 (1.006-1.013)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1.009 (1.005-1.013)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Neutrophil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1.016 (1.009-1.023)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1.013 (1.007-1.020)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1.013 (1.007-1.020)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1.013 (1.007-1.020)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1.005 (0.998-1.012)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0.137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Lymphocyte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1.007 (0.982-1.033)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0.565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1.016 (0.992-1.042)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0.192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1.017 (0.992-1.042)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0.186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1.016 (0.991-1.041)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0.212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1.004 (0.979-1.030)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0.765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Neutrophil to lymphocyte ratio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1.023 (1.007-1.040)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0.004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1.023 (1.008-1.038)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0.003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1.022 (1.007-1.038)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0.004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1.023 (1.008-1.039)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0.003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1.025 (1.009-1.041)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0.002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Platelet count, 10</w:t>
            </w:r>
            <w:r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/L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0.998 (0.997-1.000)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0.066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0.998 (0.997-1.000)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0.032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0.998 (0.997-1.000)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0.020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0.998 (0.997-1.000)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0.020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0.998 (0.997-1.000)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0.036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Aspartate transaminase, U/L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(0.999-1.001)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0.854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(0.999-1.001)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0.896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(0.999-1.001)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0.907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(0.999-1.001)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0.756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0.999 (0.998-1.000)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0.178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Blood glucose, mmol/L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(0.972-1.023)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0.989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(0.973-1.023)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0.990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1.001 (0.974-1.024)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0.940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(0.973-1.024)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0.993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(0.971-1.023)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0.975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CPB duration, min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1.006 (1.003-1.009)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1.003 (1.001-1.006)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 xml:space="preserve">0.019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1.005 (1.002-1.008)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1.006 (1.003-1.008)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1.006 (1.003-1.008)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Intraoperative blood transfusion, ml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(1.000-1.000)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0.742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(1.000-1.000)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0.527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(1.000-1.000)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0.752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(1.000-1.000)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0.632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1.000 (1.000-1.000)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0.748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Valve surgery</w:t>
            </w:r>
          </w:p>
        </w:tc>
        <w:tc>
          <w:tcPr>
            <w:tcW w:w="130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0.858 (0.634-1.165)</w:t>
            </w:r>
          </w:p>
        </w:tc>
        <w:tc>
          <w:tcPr>
            <w:tcW w:w="73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0.323 </w:t>
            </w:r>
          </w:p>
        </w:tc>
        <w:tc>
          <w:tcPr>
            <w:tcW w:w="1352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1.116 (0.832-1.505)</w:t>
            </w:r>
          </w:p>
        </w:tc>
        <w:tc>
          <w:tcPr>
            <w:tcW w:w="75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0.466 </w:t>
            </w:r>
          </w:p>
        </w:tc>
        <w:tc>
          <w:tcPr>
            <w:tcW w:w="1190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1.113 (0.831-1.498)</w:t>
            </w:r>
          </w:p>
        </w:tc>
        <w:tc>
          <w:tcPr>
            <w:tcW w:w="825" w:type="dxa"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0.476 </w:t>
            </w:r>
          </w:p>
        </w:tc>
        <w:tc>
          <w:tcPr>
            <w:tcW w:w="1304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1.097 (0.818-1.476)</w:t>
            </w:r>
          </w:p>
        </w:tc>
        <w:tc>
          <w:tcPr>
            <w:tcW w:w="71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0.540 </w:t>
            </w:r>
          </w:p>
        </w:tc>
        <w:tc>
          <w:tcPr>
            <w:tcW w:w="1288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1.115 (0.822-1.520)</w:t>
            </w:r>
          </w:p>
        </w:tc>
        <w:tc>
          <w:tcPr>
            <w:tcW w:w="669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0.488 </w:t>
            </w:r>
          </w:p>
        </w:tc>
      </w:tr>
      <w:tr w:rsidR="007D2AA9">
        <w:trPr>
          <w:trHeight w:val="280"/>
        </w:trPr>
        <w:tc>
          <w:tcPr>
            <w:tcW w:w="1370" w:type="dxa"/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Aortic surgery</w:t>
            </w:r>
          </w:p>
        </w:tc>
        <w:tc>
          <w:tcPr>
            <w:tcW w:w="1308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0.953 (0.703-1.284)</w:t>
            </w:r>
          </w:p>
        </w:tc>
        <w:tc>
          <w:tcPr>
            <w:tcW w:w="73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0.753 </w:t>
            </w:r>
          </w:p>
        </w:tc>
        <w:tc>
          <w:tcPr>
            <w:tcW w:w="1352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0.769 (0.572-1.028)</w:t>
            </w:r>
          </w:p>
        </w:tc>
        <w:tc>
          <w:tcPr>
            <w:tcW w:w="758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0.080 </w:t>
            </w:r>
          </w:p>
        </w:tc>
        <w:tc>
          <w:tcPr>
            <w:tcW w:w="1190" w:type="dxa"/>
            <w:tcBorders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0.750 (0.557-1.005)</w:t>
            </w:r>
          </w:p>
        </w:tc>
        <w:tc>
          <w:tcPr>
            <w:tcW w:w="825" w:type="dxa"/>
            <w:tcBorders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0.056 </w:t>
            </w:r>
          </w:p>
        </w:tc>
        <w:tc>
          <w:tcPr>
            <w:tcW w:w="1304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0.785 (0.585-1.048)</w:t>
            </w:r>
          </w:p>
        </w:tc>
        <w:tc>
          <w:tcPr>
            <w:tcW w:w="71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0.105 </w:t>
            </w:r>
          </w:p>
        </w:tc>
        <w:tc>
          <w:tcPr>
            <w:tcW w:w="1288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0.944 (0.697-1.271)</w:t>
            </w:r>
          </w:p>
        </w:tc>
        <w:tc>
          <w:tcPr>
            <w:tcW w:w="669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0.707 </w:t>
            </w:r>
          </w:p>
        </w:tc>
      </w:tr>
      <w:tr w:rsidR="007D2AA9">
        <w:trPr>
          <w:trHeight w:val="280"/>
        </w:trPr>
        <w:tc>
          <w:tcPr>
            <w:tcW w:w="11505" w:type="dxa"/>
            <w:gridSpan w:val="11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120" w:line="15" w:lineRule="atLeast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Note: Each column presents a multivariable logistic regression model for postoperative AKI with the indicated exposure or mediator included. Odds ratios are reported with 95% confidence intervals. BMI, body mass index; NYHA, New York Heart Association; CPB, cardiopulmonary bypass; PASP, pulmonary artery systolic pressure; MAP_TIME_65, cumulative duration below 65 mmHg; MAP_AUT_65, area under the 65-mmHg threshold; VIS, vasoactive-inotropic score; OR, odds ratio; CI, confidence interval; AKI, acute kidney injury.</w:t>
            </w:r>
          </w:p>
        </w:tc>
      </w:tr>
      <w:bookmarkEnd w:id="1"/>
    </w:tbl>
    <w:p w:rsidR="007D2AA9" w:rsidRDefault="007D2AA9">
      <w:pPr>
        <w:spacing w:line="15" w:lineRule="atLeast"/>
      </w:pPr>
    </w:p>
    <w:p w:rsidR="007D2AA9" w:rsidRDefault="00000000">
      <w:pPr>
        <w:widowControl/>
      </w:pPr>
      <w:r>
        <w:rPr>
          <w:rFonts w:hint="eastAsia"/>
        </w:rPr>
        <w:br w:type="page"/>
      </w:r>
    </w:p>
    <w:p w:rsidR="007D2AA9" w:rsidRDefault="007D2AA9"/>
    <w:tbl>
      <w:tblPr>
        <w:tblStyle w:val="ab"/>
        <w:tblW w:w="115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1"/>
        <w:gridCol w:w="646"/>
        <w:gridCol w:w="610"/>
        <w:gridCol w:w="601"/>
        <w:gridCol w:w="610"/>
        <w:gridCol w:w="643"/>
        <w:gridCol w:w="610"/>
        <w:gridCol w:w="671"/>
        <w:gridCol w:w="610"/>
        <w:gridCol w:w="703"/>
        <w:gridCol w:w="610"/>
        <w:gridCol w:w="567"/>
        <w:gridCol w:w="610"/>
        <w:gridCol w:w="677"/>
        <w:gridCol w:w="610"/>
        <w:gridCol w:w="567"/>
        <w:gridCol w:w="610"/>
      </w:tblGrid>
      <w:tr w:rsidR="007D2AA9">
        <w:trPr>
          <w:trHeight w:val="280"/>
          <w:jc w:val="center"/>
        </w:trPr>
        <w:tc>
          <w:tcPr>
            <w:tcW w:w="11596" w:type="dxa"/>
            <w:gridSpan w:val="17"/>
            <w:tcBorders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Table S3. Exploratory Baron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–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Kenny stepwise analysis of perioperative hemodynamic pathways in the PH-AKI association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vMerge w:val="restart"/>
            <w:tcBorders>
              <w:top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Model</w:t>
            </w:r>
          </w:p>
        </w:tc>
        <w:tc>
          <w:tcPr>
            <w:tcW w:w="2467" w:type="dxa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M1: MAP_TIME_65</w:t>
            </w:r>
          </w:p>
        </w:tc>
        <w:tc>
          <w:tcPr>
            <w:tcW w:w="2534" w:type="dxa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M2: MAP_AUT_65</w:t>
            </w:r>
          </w:p>
        </w:tc>
        <w:tc>
          <w:tcPr>
            <w:tcW w:w="2490" w:type="dxa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M3: Intraoperative VIS</w:t>
            </w:r>
          </w:p>
        </w:tc>
        <w:tc>
          <w:tcPr>
            <w:tcW w:w="2464" w:type="dxa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M4: Postoperative VIS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vMerge/>
            <w:tcBorders>
              <w:top w:val="single" w:sz="8" w:space="0" w:color="auto"/>
            </w:tcBorders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1256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Unadjusted</w:t>
            </w:r>
          </w:p>
        </w:tc>
        <w:tc>
          <w:tcPr>
            <w:tcW w:w="1211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Adjusted</w:t>
            </w:r>
          </w:p>
        </w:tc>
        <w:tc>
          <w:tcPr>
            <w:tcW w:w="125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Unadjusted</w:t>
            </w:r>
          </w:p>
        </w:tc>
        <w:tc>
          <w:tcPr>
            <w:tcW w:w="1281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Adjusted</w:t>
            </w:r>
          </w:p>
        </w:tc>
        <w:tc>
          <w:tcPr>
            <w:tcW w:w="131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Unadjusted</w:t>
            </w:r>
          </w:p>
        </w:tc>
        <w:tc>
          <w:tcPr>
            <w:tcW w:w="1177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Adjusted</w:t>
            </w:r>
          </w:p>
        </w:tc>
        <w:tc>
          <w:tcPr>
            <w:tcW w:w="1287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Unadjusted</w:t>
            </w:r>
          </w:p>
        </w:tc>
        <w:tc>
          <w:tcPr>
            <w:tcW w:w="1177" w:type="dxa"/>
            <w:gridSpan w:val="2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Adjusted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vMerge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6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  <w:tc>
          <w:tcPr>
            <w:tcW w:w="60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  <w:tc>
          <w:tcPr>
            <w:tcW w:w="643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  <w:tc>
          <w:tcPr>
            <w:tcW w:w="67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  <w:tc>
          <w:tcPr>
            <w:tcW w:w="703" w:type="dxa"/>
            <w:tcBorders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  <w:tc>
          <w:tcPr>
            <w:tcW w:w="677" w:type="dxa"/>
            <w:tcBorders>
              <w:bottom w:val="single" w:sz="8" w:space="0" w:color="auto"/>
            </w:tcBorders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β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-value</w:t>
            </w:r>
          </w:p>
        </w:tc>
      </w:tr>
      <w:tr w:rsidR="007D2AA9">
        <w:trPr>
          <w:trHeight w:val="280"/>
          <w:jc w:val="center"/>
        </w:trPr>
        <w:tc>
          <w:tcPr>
            <w:tcW w:w="11596" w:type="dxa"/>
            <w:gridSpan w:val="17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X1: PH as continuous variable (PASP [mmHg])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0.031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0.046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0.031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0.046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70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0.031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0.046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0.031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0.046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0.861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0.789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9.939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11.845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70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0.171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0.042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0.139</w:t>
            </w: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0.111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0.133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0.007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0.003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0.0003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0.000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09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0.012</w:t>
            </w: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0.141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0.094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 xml:space="preserve">Direct effect 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(c')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0.027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0.030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0.045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0.027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Indirect effect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(ab)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0.006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0.002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0.001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0.016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0.013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Total effect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ab+c</w:t>
            </w:r>
            <w:proofErr w:type="spellEnd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')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0.033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0.046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0.033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0.046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0.043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0.053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9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 xml:space="preserve"> / 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c' (%)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22.2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4.5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10.0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2.2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59.3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32.5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9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 xml:space="preserve"> /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ab+c</w:t>
            </w:r>
            <w:proofErr w:type="spellEnd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'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)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(%)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18.2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4.3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9.1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2.2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37.2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24.5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90"/>
          <w:jc w:val="center"/>
        </w:trPr>
        <w:tc>
          <w:tcPr>
            <w:tcW w:w="11596" w:type="dxa"/>
            <w:gridSpan w:val="17"/>
            <w:noWrap/>
            <w:vAlign w:val="center"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X2: PH as binary variable (severe PH, yes or no)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0.901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1.166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0.901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1.166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70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0.901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1.166 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0.901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1.166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20.259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18.144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177.47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0.114</w:t>
            </w: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205.141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0.028</w:t>
            </w:r>
          </w:p>
        </w:tc>
        <w:tc>
          <w:tcPr>
            <w:tcW w:w="703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0.924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0.402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0.776 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0.465</w:t>
            </w: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3.734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3.869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0.007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0.000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0.001</w:t>
            </w: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0.142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0.102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Direct effect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(c')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0.818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1.111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64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1.144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0.781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1.022</w:t>
            </w:r>
          </w:p>
        </w:tc>
        <w:tc>
          <w:tcPr>
            <w:tcW w:w="610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&lt;0.001</w:t>
            </w: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bookmarkStart w:id="2" w:name="_Hlk192349194"/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Indirect effect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(ab)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0.142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0.073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0.021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0.530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0.395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>Total effect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ab+c</w:t>
            </w:r>
            <w:proofErr w:type="spellEnd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')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0.960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1.184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1.165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1.311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1.417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 xml:space="preserve"> / 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c' (%)</w:t>
            </w:r>
          </w:p>
        </w:tc>
        <w:tc>
          <w:tcPr>
            <w:tcW w:w="646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17.4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6.6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1.8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67.9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38.6</w:t>
            </w:r>
          </w:p>
        </w:tc>
        <w:tc>
          <w:tcPr>
            <w:tcW w:w="610" w:type="dxa"/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tr w:rsidR="007D2AA9">
        <w:trPr>
          <w:trHeight w:val="280"/>
          <w:jc w:val="center"/>
        </w:trPr>
        <w:tc>
          <w:tcPr>
            <w:tcW w:w="164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</w:t>
            </w:r>
            <w:r>
              <w:rPr>
                <w:rFonts w:ascii="Times New Roman" w:eastAsia="宋体" w:hAnsi="Times New Roman" w:cs="Times New Roman" w:hint="eastAsia"/>
                <w:sz w:val="12"/>
                <w:szCs w:val="12"/>
              </w:rPr>
              <w:t xml:space="preserve"> /</w:t>
            </w:r>
            <w:r>
              <w:rPr>
                <w:rFonts w:ascii="Times New Roman" w:eastAsia="宋体" w:hAnsi="Times New Roman" w:cs="Times New Roman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ab+c</w:t>
            </w:r>
            <w:proofErr w:type="spellEnd"/>
            <w:r>
              <w:rPr>
                <w:rFonts w:ascii="Times New Roman" w:eastAsia="宋体" w:hAnsi="Times New Roman" w:cs="Times New Roman"/>
                <w:sz w:val="12"/>
                <w:szCs w:val="12"/>
              </w:rPr>
              <w:t>' (%)</w:t>
            </w:r>
          </w:p>
        </w:tc>
        <w:tc>
          <w:tcPr>
            <w:tcW w:w="646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14.8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0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6.2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43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1.8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703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67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40.4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/>
                <w:sz w:val="12"/>
                <w:szCs w:val="12"/>
              </w:rPr>
              <w:t>27.9</w:t>
            </w:r>
          </w:p>
        </w:tc>
        <w:tc>
          <w:tcPr>
            <w:tcW w:w="610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  <w:bookmarkEnd w:id="2"/>
      <w:tr w:rsidR="007D2AA9">
        <w:trPr>
          <w:trHeight w:val="779"/>
          <w:jc w:val="center"/>
        </w:trPr>
        <w:tc>
          <w:tcPr>
            <w:tcW w:w="11596" w:type="dxa"/>
            <w:gridSpan w:val="17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Note: Adjusted models included age, sex, BMI, smoking history, hypertension, preoperative serum creatinine, neutrophil count, neutrophil-to-lymphocyte ratio, platelet count, and CPB duration. Path c represents the total effect, path 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a the</w:t>
            </w:r>
            <w:proofErr w:type="gramEnd"/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exposure-mediator association, path b the mediator-outcome association, c' the direct effect, ab the indirect effect, ab/c' the mediation-to-direct effect ratio, and ab/(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ab+c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') the proportion mediated. PH, pulmonary hypertension; AKI, acute kidney injury; PASP, pulmonary artery systolic pressure; MAP_TIME_65, cumulative duration below 65 mmHg; MAP_AUT_65, area under the 65-mmHg threshold; VIS, vasoactive-inotropic score</w:t>
            </w:r>
          </w:p>
          <w:p w:rsidR="007D2AA9" w:rsidRDefault="007D2AA9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2"/>
                <w:szCs w:val="12"/>
              </w:rPr>
            </w:pPr>
          </w:p>
        </w:tc>
      </w:tr>
    </w:tbl>
    <w:p w:rsidR="007D2AA9" w:rsidRDefault="00000000">
      <w:pPr>
        <w:widowControl/>
      </w:pPr>
      <w:r>
        <w:rPr>
          <w:rFonts w:hint="eastAsia"/>
        </w:rPr>
        <w:br w:type="page"/>
      </w:r>
    </w:p>
    <w:p w:rsidR="007D2AA9" w:rsidRDefault="007D2AA9"/>
    <w:tbl>
      <w:tblPr>
        <w:tblStyle w:val="ab"/>
        <w:tblpPr w:leftFromText="180" w:rightFromText="180" w:vertAnchor="text" w:tblpXSpec="center" w:tblpY="110"/>
        <w:tblW w:w="85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8"/>
        <w:gridCol w:w="1191"/>
        <w:gridCol w:w="1071"/>
        <w:gridCol w:w="1134"/>
        <w:gridCol w:w="1276"/>
        <w:gridCol w:w="1276"/>
      </w:tblGrid>
      <w:tr w:rsidR="007D2AA9">
        <w:trPr>
          <w:trHeight w:val="280"/>
        </w:trPr>
        <w:tc>
          <w:tcPr>
            <w:tcW w:w="8506" w:type="dxa"/>
            <w:gridSpan w:val="6"/>
            <w:tcBorders>
              <w:bottom w:val="single" w:sz="8" w:space="0" w:color="auto"/>
            </w:tcBorders>
            <w:noWrap/>
          </w:tcPr>
          <w:p w:rsidR="007D2AA9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Table S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>4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. Comprehensive diagnostic metrics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 xml:space="preserve">for ROC-derived thresholds of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 xml:space="preserve">MAP_TIME_65 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 xml:space="preserve">and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>postoperative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 xml:space="preserve"> VIS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6"/>
                <w:szCs w:val="16"/>
              </w:rPr>
              <w:t>.</w:t>
            </w:r>
          </w:p>
        </w:tc>
      </w:tr>
      <w:tr w:rsidR="007D2AA9">
        <w:trPr>
          <w:trHeight w:val="280"/>
        </w:trPr>
        <w:tc>
          <w:tcPr>
            <w:tcW w:w="255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Variables</w:t>
            </w:r>
          </w:p>
        </w:tc>
        <w:tc>
          <w:tcPr>
            <w:tcW w:w="119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Optimal cutoff</w:t>
            </w:r>
          </w:p>
        </w:tc>
        <w:tc>
          <w:tcPr>
            <w:tcW w:w="107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AUROC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Specificity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Sensitivity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Youden index</w:t>
            </w:r>
          </w:p>
        </w:tc>
      </w:tr>
      <w:tr w:rsidR="007D2AA9">
        <w:trPr>
          <w:trHeight w:val="454"/>
        </w:trPr>
        <w:tc>
          <w:tcPr>
            <w:tcW w:w="2558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MAP_TIME_65, min</w:t>
            </w:r>
          </w:p>
        </w:tc>
        <w:tc>
          <w:tcPr>
            <w:tcW w:w="1191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164</w:t>
            </w:r>
          </w:p>
        </w:tc>
        <w:tc>
          <w:tcPr>
            <w:tcW w:w="1071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0.669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0.626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0.639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0.265</w:t>
            </w:r>
          </w:p>
        </w:tc>
      </w:tr>
      <w:tr w:rsidR="007D2AA9">
        <w:trPr>
          <w:trHeight w:val="454"/>
        </w:trPr>
        <w:tc>
          <w:tcPr>
            <w:tcW w:w="2558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Postoperative VIS</w:t>
            </w:r>
          </w:p>
        </w:tc>
        <w:tc>
          <w:tcPr>
            <w:tcW w:w="119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3.4</w:t>
            </w:r>
          </w:p>
        </w:tc>
        <w:tc>
          <w:tcPr>
            <w:tcW w:w="107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0.758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0.798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0.659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0.457</w:t>
            </w:r>
          </w:p>
        </w:tc>
      </w:tr>
      <w:tr w:rsidR="007D2AA9">
        <w:trPr>
          <w:trHeight w:val="280"/>
        </w:trPr>
        <w:tc>
          <w:tcPr>
            <w:tcW w:w="8506" w:type="dxa"/>
            <w:gridSpan w:val="6"/>
            <w:tcBorders>
              <w:top w:val="single" w:sz="8" w:space="0" w:color="auto"/>
            </w:tcBorders>
            <w:noWrap/>
          </w:tcPr>
          <w:p w:rsidR="007D2AA9" w:rsidRDefault="00000000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Note: Cutoffs were determined by maximizing the Youden index (J = sensitivity + specificity - 1). MAP_TIME_65, cumulative duration below 65 mmHg; VIS, vasoactive-inotropic score; AUROC, area under the receiver operating characteristic curve; ROC, receiver operating characteristic.</w:t>
            </w:r>
          </w:p>
          <w:p w:rsidR="007D2AA9" w:rsidRDefault="007D2AA9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</w:tbl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</w:pPr>
    </w:p>
    <w:p w:rsidR="007D2AA9" w:rsidRDefault="007D2AA9">
      <w:pPr>
        <w:rPr>
          <w:rFonts w:ascii="Times New Roman" w:eastAsia="宋体" w:hAnsi="Times New Roman" w:cs="Times New Roman"/>
          <w:b/>
          <w:bCs/>
          <w:sz w:val="16"/>
          <w:szCs w:val="16"/>
        </w:rPr>
        <w:sectPr w:rsidR="007D2A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D2AA9" w:rsidRDefault="00000000">
      <w:pPr>
        <w:ind w:firstLineChars="100" w:firstLine="163"/>
        <w:rPr>
          <w:rFonts w:ascii="Times New Roman" w:eastAsia="宋体" w:hAnsi="Times New Roman" w:cs="Times New Roman"/>
          <w:b/>
          <w:bCs/>
          <w:sz w:val="16"/>
          <w:szCs w:val="16"/>
        </w:rPr>
      </w:pPr>
      <w:r>
        <w:rPr>
          <w:rFonts w:ascii="Times New Roman" w:eastAsia="宋体" w:hAnsi="Times New Roman" w:cs="Times New Roman"/>
          <w:b/>
          <w:bCs/>
          <w:sz w:val="16"/>
          <w:szCs w:val="16"/>
        </w:rPr>
        <w:lastRenderedPageBreak/>
        <w:t>Table S</w:t>
      </w:r>
      <w:r>
        <w:rPr>
          <w:rFonts w:ascii="Times New Roman" w:eastAsia="宋体" w:hAnsi="Times New Roman" w:cs="Times New Roman" w:hint="eastAsia"/>
          <w:b/>
          <w:bCs/>
          <w:sz w:val="16"/>
          <w:szCs w:val="16"/>
        </w:rPr>
        <w:t>5</w:t>
      </w:r>
      <w:r>
        <w:rPr>
          <w:rFonts w:ascii="Times New Roman" w:eastAsia="宋体" w:hAnsi="Times New Roman" w:cs="Times New Roman"/>
          <w:b/>
          <w:bCs/>
          <w:sz w:val="16"/>
          <w:szCs w:val="16"/>
        </w:rPr>
        <w:t>. Missingness of study variables before imputation</w:t>
      </w:r>
    </w:p>
    <w:tbl>
      <w:tblPr>
        <w:tblStyle w:val="ab"/>
        <w:tblW w:w="9026" w:type="dxa"/>
        <w:tblInd w:w="1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2"/>
        <w:gridCol w:w="1944"/>
        <w:gridCol w:w="1390"/>
      </w:tblGrid>
      <w:tr w:rsidR="007D2AA9" w:rsidTr="00D06294">
        <w:trPr>
          <w:trHeight w:val="19"/>
          <w:tblHeader/>
        </w:trPr>
        <w:tc>
          <w:tcPr>
            <w:tcW w:w="5692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Variable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Missing observations, n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Missingness, %</w:t>
            </w:r>
          </w:p>
        </w:tc>
      </w:tr>
      <w:tr w:rsidR="007D2AA9" w:rsidTr="00D06294">
        <w:tc>
          <w:tcPr>
            <w:tcW w:w="5692" w:type="dxa"/>
            <w:tcBorders>
              <w:top w:val="single" w:sz="4" w:space="0" w:color="auto"/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Body mass index</w:t>
            </w:r>
          </w:p>
        </w:tc>
        <w:tc>
          <w:tcPr>
            <w:tcW w:w="1944" w:type="dxa"/>
            <w:tcBorders>
              <w:top w:val="single" w:sz="4" w:space="0" w:color="auto"/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0.09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Smoking history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0.27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NYHA functional class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0.36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Diabetes mellitus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0.18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Hypertension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0.58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Peripheral arterial disease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0.13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Chronic lung disease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2.01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Cerebrovascular accident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0.18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Cardiovascular surgery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0.09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Hemoglobin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0.58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Neutrophil count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1.12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Lymphocyte count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1.12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Neutrophil-to-lymphocyte ratio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0.45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Platelet count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0.40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Aspartate aminotransferase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0.80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Blood glucose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0.40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Cardiopulmonary bypass duration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0.27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Intraoperative urine output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0.13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MAP_TIME_65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MAP_TIME_60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MAP_TIME_55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MAP_TIME_50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MAP_AUT_65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MAP_AUT_60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MAP_AUT_55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  <w:tr w:rsidR="007D2AA9" w:rsidTr="00D06294">
        <w:tc>
          <w:tcPr>
            <w:tcW w:w="5692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MAP_AUT_50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D2AA9" w:rsidRDefault="00000000" w:rsidP="00D06294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10.93</w:t>
            </w:r>
          </w:p>
        </w:tc>
      </w:tr>
    </w:tbl>
    <w:p w:rsidR="007D2AA9" w:rsidRDefault="00000000">
      <w:pPr>
        <w:widowControl/>
        <w:spacing w:line="300" w:lineRule="auto"/>
        <w:rPr>
          <w:rFonts w:ascii="Times New Roman" w:eastAsia="宋体" w:hAnsi="Times New Roman" w:cs="Times New Roman"/>
          <w:sz w:val="16"/>
          <w:szCs w:val="16"/>
        </w:rPr>
      </w:pPr>
      <w:r>
        <w:rPr>
          <w:rFonts w:ascii="Times New Roman" w:eastAsia="宋体" w:hAnsi="Times New Roman" w:cs="Times New Roman"/>
          <w:sz w:val="16"/>
          <w:szCs w:val="16"/>
        </w:rPr>
        <w:lastRenderedPageBreak/>
        <w:t>Note:</w:t>
      </w:r>
      <w:r>
        <w:rPr>
          <w:rFonts w:ascii="Times New Roman" w:eastAsia="宋体" w:hAnsi="Times New Roman" w:cs="Times New Roman" w:hint="eastAsia"/>
          <w:sz w:val="16"/>
          <w:szCs w:val="16"/>
        </w:rPr>
        <w:t xml:space="preserve"> </w:t>
      </w:r>
      <w:r>
        <w:rPr>
          <w:rFonts w:ascii="Times New Roman" w:eastAsia="宋体" w:hAnsi="Times New Roman" w:cs="Times New Roman"/>
          <w:sz w:val="16"/>
          <w:szCs w:val="16"/>
        </w:rPr>
        <w:t xml:space="preserve">Missingness was assessed before imputation, and percentages were calculated using the entire study population (N = 2,242) as the denominator. Only variables with missing observations </w:t>
      </w:r>
      <w:r>
        <w:rPr>
          <w:rFonts w:ascii="Times New Roman" w:eastAsia="宋体" w:hAnsi="Times New Roman" w:cs="Times New Roman" w:hint="eastAsia"/>
          <w:sz w:val="16"/>
          <w:szCs w:val="16"/>
        </w:rPr>
        <w:t>were</w:t>
      </w:r>
      <w:r>
        <w:rPr>
          <w:rFonts w:ascii="Times New Roman" w:eastAsia="宋体" w:hAnsi="Times New Roman" w:cs="Times New Roman"/>
          <w:sz w:val="16"/>
          <w:szCs w:val="16"/>
        </w:rPr>
        <w:t xml:space="preserve"> shown. Postoperative AKI, PASP, intraoperative VIS, and postoperative VIS had no missing observations and therefore </w:t>
      </w:r>
      <w:r>
        <w:rPr>
          <w:rFonts w:ascii="Times New Roman" w:eastAsia="宋体" w:hAnsi="Times New Roman" w:cs="Times New Roman" w:hint="eastAsia"/>
          <w:sz w:val="16"/>
          <w:szCs w:val="16"/>
        </w:rPr>
        <w:t>were</w:t>
      </w:r>
      <w:r>
        <w:rPr>
          <w:rFonts w:ascii="Times New Roman" w:eastAsia="宋体" w:hAnsi="Times New Roman" w:cs="Times New Roman"/>
          <w:sz w:val="16"/>
          <w:szCs w:val="16"/>
        </w:rPr>
        <w:t xml:space="preserve"> not listed in the table. AKI, acute kidney injury; MAP, mean arterial pressure; MAP_TIME_65/60/55/50, cumulative duration below MAP thresholds of 65/60/55/50 mmHg; MAP_AUT_65/60/55/50, area under MAP thresholds of 65/60/55/50 mmHg; NYHA, New York Heart Association; PASP, pulmonary artery systolic pressure; VIS, vasoactive-inotropic score.</w:t>
      </w:r>
    </w:p>
    <w:p w:rsidR="007D2AA9" w:rsidRDefault="007D2AA9">
      <w:pPr>
        <w:rPr>
          <w:rFonts w:ascii="Times New Roman" w:eastAsia="宋体" w:hAnsi="Times New Roman" w:cs="Times New Roman"/>
          <w:sz w:val="16"/>
          <w:szCs w:val="16"/>
          <w:highlight w:val="yellow"/>
        </w:rPr>
        <w:sectPr w:rsidR="007D2AA9">
          <w:pgSz w:w="11906" w:h="16838"/>
          <w:pgMar w:top="1224" w:right="1440" w:bottom="1224" w:left="1440" w:header="708" w:footer="708" w:gutter="0"/>
          <w:cols w:space="720"/>
          <w:docGrid w:linePitch="360"/>
        </w:sectPr>
      </w:pPr>
    </w:p>
    <w:tbl>
      <w:tblPr>
        <w:tblStyle w:val="ab"/>
        <w:tblW w:w="10630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1531"/>
        <w:gridCol w:w="737"/>
        <w:gridCol w:w="1531"/>
        <w:gridCol w:w="737"/>
        <w:gridCol w:w="1531"/>
        <w:gridCol w:w="737"/>
        <w:gridCol w:w="1531"/>
        <w:gridCol w:w="737"/>
      </w:tblGrid>
      <w:tr w:rsidR="007D2AA9">
        <w:trPr>
          <w:trHeight w:val="350"/>
        </w:trPr>
        <w:tc>
          <w:tcPr>
            <w:tcW w:w="10630" w:type="dxa"/>
            <w:gridSpan w:val="9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lastRenderedPageBreak/>
              <w:t>Table S6. Complete-case sensitivity analysis of mediation effects of perioperative hemodynamic changes on the PH-AKI association using bootstrap analysis.</w:t>
            </w:r>
          </w:p>
        </w:tc>
      </w:tr>
      <w:tr w:rsidR="007D2AA9">
        <w:trPr>
          <w:trHeight w:val="397"/>
        </w:trPr>
        <w:tc>
          <w:tcPr>
            <w:tcW w:w="1558" w:type="dxa"/>
            <w:vMerge w:val="restart"/>
            <w:tcBorders>
              <w:top w:val="single" w:sz="8" w:space="0" w:color="auto"/>
            </w:tcBorders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Model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M1: 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MAP_TIME_65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M2: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MAP_AUT_65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M3: Intraoperative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VIS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M4: 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Postoperative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VIS</w:t>
            </w:r>
          </w:p>
        </w:tc>
      </w:tr>
      <w:tr w:rsidR="007D2AA9">
        <w:trPr>
          <w:trHeight w:val="303"/>
        </w:trPr>
        <w:tc>
          <w:tcPr>
            <w:tcW w:w="1558" w:type="dxa"/>
            <w:vMerge/>
            <w:tcBorders>
              <w:bottom w:val="single" w:sz="8" w:space="0" w:color="auto"/>
            </w:tcBorders>
            <w:noWrap/>
            <w:vAlign w:val="center"/>
          </w:tcPr>
          <w:p w:rsidR="007D2AA9" w:rsidRDefault="007D2AA9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Proportion mediated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br/>
              <w:t>% (95%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CI)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-value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Proportion mediated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br/>
              <w:t>% (95%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CI)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-value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Proportion mediated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br/>
              <w:t>% (95%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CI)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-value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Proportion mediated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br/>
              <w:t>% (95%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CI)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-value</w:t>
            </w:r>
          </w:p>
        </w:tc>
      </w:tr>
      <w:tr w:rsidR="007D2AA9">
        <w:trPr>
          <w:trHeight w:val="350"/>
        </w:trPr>
        <w:tc>
          <w:tcPr>
            <w:tcW w:w="10630" w:type="dxa"/>
            <w:gridSpan w:val="9"/>
            <w:tcBorders>
              <w:top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X1: PH as continuous variable (PASP [mmHg])</w:t>
            </w:r>
          </w:p>
        </w:tc>
      </w:tr>
      <w:tr w:rsidR="007D2AA9">
        <w:trPr>
          <w:trHeight w:val="280"/>
        </w:trPr>
        <w:tc>
          <w:tcPr>
            <w:tcW w:w="1558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Unadjusted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16.0 (10.9 - 22.8)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8.5 (3.6 - 14.1)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3.9 (-2.2 - 11.3)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0.268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38.1 (23.5 - 52.7)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</w:trPr>
        <w:tc>
          <w:tcPr>
            <w:tcW w:w="1558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Adjusted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4.5 (2.0 - 7.8)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2.1 (0.5 - 4.4)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1.3 (-0.7 - 5.0)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25.0 (14.4 - 37.2)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80"/>
        </w:trPr>
        <w:tc>
          <w:tcPr>
            <w:tcW w:w="10630" w:type="dxa"/>
            <w:gridSpan w:val="9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X2: PH as binary variable (PASP ≥ 50 mmHg)</w:t>
            </w:r>
          </w:p>
        </w:tc>
      </w:tr>
      <w:tr w:rsidR="007D2AA9">
        <w:trPr>
          <w:trHeight w:val="280"/>
        </w:trPr>
        <w:tc>
          <w:tcPr>
            <w:tcW w:w="1558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Unadjusted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13.6 (7.1 - 22.6)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5.6 (-0.9 - 12.3)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3.6 (-3.5 - 11.7)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1531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42.2 (20.7 - 60.4)</w:t>
            </w:r>
          </w:p>
        </w:tc>
        <w:tc>
          <w:tcPr>
            <w:tcW w:w="737" w:type="dxa"/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rPr>
          <w:trHeight w:val="290"/>
        </w:trPr>
        <w:tc>
          <w:tcPr>
            <w:tcW w:w="1558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Adjusted</w:t>
            </w:r>
          </w:p>
        </w:tc>
        <w:tc>
          <w:tcPr>
            <w:tcW w:w="153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4.9 (2.1 - 9.4)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153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1.7 (-0.1 - 4.5)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153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1.1 (-2.1 - 5.1)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0.520</w:t>
            </w:r>
          </w:p>
        </w:tc>
        <w:tc>
          <w:tcPr>
            <w:tcW w:w="1531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28.9 (12.6 - 45.9)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noWrap/>
            <w:vAlign w:val="center"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</w:tr>
      <w:tr w:rsidR="007D2AA9">
        <w:tc>
          <w:tcPr>
            <w:tcW w:w="10630" w:type="dxa"/>
            <w:gridSpan w:val="9"/>
            <w:tcBorders>
              <w:top w:val="single" w:sz="8" w:space="0" w:color="auto"/>
            </w:tcBorders>
            <w:noWrap/>
          </w:tcPr>
          <w:p w:rsidR="007D2AA9" w:rsidRDefault="00000000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Note: The complete-case analysis included 1,981 patients with complete data for all variables included in the mediation models; no imputed values were used. The proportion mediated is presented as a percentage with 95% confidence interval. Adjusted models included age, sex, BMI, smoking history, hypertension, preoperative serum creatinine, neutrophil count, neutrophil-to-lymphocyte ratio, platelet count, and CPB duration. Indirect effects and corresponding 95% confidence intervals were estimated using 1,000 nonparametric bootstrap resamples. M1-M4 were evaluated separately in four independent single-mediator models. The P values shown were not adjusted for multiple comparisons; the Bonferroni-corrected significance threshold was P &lt; 0.003125 (0.05/16). PH, pulmonary hypertension; AKI, acute kidney injury; PASP, pulmonary artery systolic pressure; BMI, body mass index; CPB, cardiopulmonary bypass; MAP, mean arterial pressure; MAP_TIME_65, cumulative duration below a MAP threshold of 65 mmHg; MAP_AUT_65, area under the MAP threshold of 65 mmHg; VIS, vasoactive-inotropic score; CI, confidence interval.</w:t>
            </w:r>
          </w:p>
        </w:tc>
      </w:tr>
    </w:tbl>
    <w:p w:rsidR="007D2AA9" w:rsidRDefault="007D2AA9">
      <w:pPr>
        <w:rPr>
          <w:rFonts w:ascii="Times New Roman" w:eastAsia="宋体" w:hAnsi="Times New Roman" w:cs="Times New Roman"/>
          <w:sz w:val="16"/>
          <w:szCs w:val="16"/>
          <w:highlight w:val="yellow"/>
        </w:rPr>
      </w:pPr>
    </w:p>
    <w:sectPr w:rsidR="007D2AA9">
      <w:pgSz w:w="11906" w:h="16838"/>
      <w:pgMar w:top="1224" w:right="1440" w:bottom="122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7338" w:rsidRDefault="00ED7338">
      <w:pPr>
        <w:spacing w:line="240" w:lineRule="auto"/>
      </w:pPr>
      <w:r>
        <w:separator/>
      </w:r>
    </w:p>
  </w:endnote>
  <w:endnote w:type="continuationSeparator" w:id="0">
    <w:p w:rsidR="00ED7338" w:rsidRDefault="00ED7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7338" w:rsidRDefault="00ED7338">
      <w:pPr>
        <w:spacing w:after="0"/>
      </w:pPr>
      <w:r>
        <w:separator/>
      </w:r>
    </w:p>
  </w:footnote>
  <w:footnote w:type="continuationSeparator" w:id="0">
    <w:p w:rsidR="00ED7338" w:rsidRDefault="00ED73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1F"/>
    <w:rsid w:val="00022969"/>
    <w:rsid w:val="00053D33"/>
    <w:rsid w:val="00071547"/>
    <w:rsid w:val="00093EF3"/>
    <w:rsid w:val="000C763B"/>
    <w:rsid w:val="000F7883"/>
    <w:rsid w:val="0014592E"/>
    <w:rsid w:val="00172598"/>
    <w:rsid w:val="001A1ED8"/>
    <w:rsid w:val="00226173"/>
    <w:rsid w:val="0024603F"/>
    <w:rsid w:val="00284127"/>
    <w:rsid w:val="00304855"/>
    <w:rsid w:val="00324D7E"/>
    <w:rsid w:val="00344881"/>
    <w:rsid w:val="00403102"/>
    <w:rsid w:val="00407ABD"/>
    <w:rsid w:val="00426125"/>
    <w:rsid w:val="00463760"/>
    <w:rsid w:val="00470C38"/>
    <w:rsid w:val="00506CF9"/>
    <w:rsid w:val="005430B9"/>
    <w:rsid w:val="005E27EB"/>
    <w:rsid w:val="005E65FF"/>
    <w:rsid w:val="005F5D16"/>
    <w:rsid w:val="0061095E"/>
    <w:rsid w:val="00617D4C"/>
    <w:rsid w:val="00640D12"/>
    <w:rsid w:val="00653FA1"/>
    <w:rsid w:val="00696565"/>
    <w:rsid w:val="006A3559"/>
    <w:rsid w:val="006A47B0"/>
    <w:rsid w:val="006B1177"/>
    <w:rsid w:val="006C3979"/>
    <w:rsid w:val="006E251F"/>
    <w:rsid w:val="007455D4"/>
    <w:rsid w:val="00745D72"/>
    <w:rsid w:val="007509D9"/>
    <w:rsid w:val="00761705"/>
    <w:rsid w:val="007D2AA9"/>
    <w:rsid w:val="008070BB"/>
    <w:rsid w:val="008343CD"/>
    <w:rsid w:val="008B5675"/>
    <w:rsid w:val="008C41B5"/>
    <w:rsid w:val="00915000"/>
    <w:rsid w:val="009625CD"/>
    <w:rsid w:val="009727D2"/>
    <w:rsid w:val="00976A9A"/>
    <w:rsid w:val="009833BF"/>
    <w:rsid w:val="00984E00"/>
    <w:rsid w:val="009A0D7E"/>
    <w:rsid w:val="009C3DC1"/>
    <w:rsid w:val="009C448D"/>
    <w:rsid w:val="009F0280"/>
    <w:rsid w:val="00A06385"/>
    <w:rsid w:val="00A547DC"/>
    <w:rsid w:val="00A851B1"/>
    <w:rsid w:val="00AA177D"/>
    <w:rsid w:val="00AE0BEC"/>
    <w:rsid w:val="00B1533B"/>
    <w:rsid w:val="00BD37AB"/>
    <w:rsid w:val="00C30BF5"/>
    <w:rsid w:val="00D06294"/>
    <w:rsid w:val="00D50A9E"/>
    <w:rsid w:val="00DA6BCD"/>
    <w:rsid w:val="00DB423E"/>
    <w:rsid w:val="00DD3A5D"/>
    <w:rsid w:val="00DE18A8"/>
    <w:rsid w:val="00E15DEC"/>
    <w:rsid w:val="00EA289E"/>
    <w:rsid w:val="00ED7338"/>
    <w:rsid w:val="00F472A7"/>
    <w:rsid w:val="00F51DE7"/>
    <w:rsid w:val="00F51ED5"/>
    <w:rsid w:val="00F65541"/>
    <w:rsid w:val="00FA7645"/>
    <w:rsid w:val="02663019"/>
    <w:rsid w:val="044A28F0"/>
    <w:rsid w:val="28E84572"/>
    <w:rsid w:val="2C883CB5"/>
    <w:rsid w:val="33966123"/>
    <w:rsid w:val="403F72A5"/>
    <w:rsid w:val="49BA4CBA"/>
    <w:rsid w:val="507C5A6A"/>
    <w:rsid w:val="58C148E1"/>
    <w:rsid w:val="62900DF5"/>
    <w:rsid w:val="62F65EA6"/>
    <w:rsid w:val="70347256"/>
    <w:rsid w:val="72611E29"/>
    <w:rsid w:val="7CDC378D"/>
    <w:rsid w:val="7E473B94"/>
    <w:rsid w:val="7F44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3EFE084-89E3-E941-8100-AEDF6F1E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qFormat/>
  </w:style>
  <w:style w:type="character" w:styleId="HTML">
    <w:name w:val="HTML Code"/>
    <w:basedOn w:val="a0"/>
    <w:uiPriority w:val="99"/>
    <w:semiHidden/>
    <w:unhideWhenUsed/>
    <w:rPr>
      <w:rFonts w:ascii="Courier New" w:hAnsi="Courier New"/>
      <w:sz w:val="20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D3B47A-D7CD-714B-943E-CB7A37E93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1886</Words>
  <Characters>10753</Characters>
  <Application>Microsoft Office Word</Application>
  <DocSecurity>0</DocSecurity>
  <Lines>89</Lines>
  <Paragraphs>25</Paragraphs>
  <ScaleCrop>false</ScaleCrop>
  <Company/>
  <LinksUpToDate>false</LinksUpToDate>
  <CharactersWithSpaces>12614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婉霞 李</dc:creator>
  <cp:lastModifiedBy>Zhou Zhou</cp:lastModifiedBy>
  <cp:revision>3</cp:revision>
  <dcterms:created xsi:type="dcterms:W3CDTF">2026-06-11T11:39:00Z</dcterms:created>
  <dcterms:modified xsi:type="dcterms:W3CDTF">2026-09-06T04:08:00Z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eyJoZGlkIjoiOGY2NmNhNzEwNWE5ZTgyMTYyOTZhNThkZTI4OGRhODkiLCJ1c2VySWQiOiIyODU0MzgzMzgifQ==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4C73A41B117D493E8949B97D3972BF4F_13</vt:lpwstr>
  </property>
</Properties>
</file>