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55016">
      <w:pPr>
        <w:spacing w:after="160" w:line="360" w:lineRule="auto"/>
        <w:rPr>
          <w:b/>
          <w:bCs/>
        </w:rPr>
      </w:pPr>
      <w:r>
        <w:rPr>
          <w:b/>
          <w:bCs/>
        </w:rPr>
        <w:t>Supplementary Analysis</w:t>
      </w:r>
    </w:p>
    <w:p w14:paraId="152DAD85">
      <w:pPr>
        <w:spacing w:after="160" w:line="360" w:lineRule="auto"/>
        <w:rPr>
          <w:rFonts w:eastAsia="Calibri"/>
          <w:b/>
        </w:rPr>
      </w:pPr>
      <w:r>
        <w:t xml:space="preserve">Annex 1: </w:t>
      </w:r>
      <w:r>
        <w:rPr>
          <w:b/>
        </w:rPr>
        <w:t>Patterns of diversification across the eight income sources</w:t>
      </w:r>
    </w:p>
    <w:p w14:paraId="5C6CD23C">
      <w:pPr>
        <w:autoSpaceDE w:val="0"/>
        <w:autoSpaceDN w:val="0"/>
        <w:adjustRightInd w:val="0"/>
        <w:spacing w:line="360" w:lineRule="auto"/>
        <w:contextualSpacing/>
        <w:jc w:val="both"/>
      </w:pPr>
      <w:r>
        <w:t>The proportion of households earning income from remittances had increased sharply from 18.5% in 2012 to 33.9% in 2019. In 2014/2015, the estimate increased to approximately US$27 million due to Tanzania's strategies to engage its diaspora [</w:t>
      </w:r>
      <w:r>
        <w:fldChar w:fldCharType="begin"/>
      </w:r>
      <w:r>
        <w:instrText xml:space="preserve"> REF _Ref27519 \n \h </w:instrText>
      </w:r>
      <w:r>
        <w:fldChar w:fldCharType="separate"/>
      </w:r>
      <w:r>
        <w:t>1</w:t>
      </w:r>
      <w:r>
        <w:fldChar w:fldCharType="end"/>
      </w:r>
      <w:r>
        <w:t>]. In 2018, Tanzania received remittances of 0.71% (or USD 430 million) of the country's total GDP. Due to anticipated job losses and economic slowdowns in developed and emerging nations, diaspora remittances dropped in 2020. The proportion of households earning income from permanent crops decreased from 22.27% in 2012/2013 to 20.9% in 2014/2014 and increased sharply to 22.27% in 2019/2020 [</w:t>
      </w:r>
      <w:r>
        <w:fldChar w:fldCharType="begin"/>
      </w:r>
      <w:r>
        <w:instrText xml:space="preserve"> REF _Ref27709 \n \h </w:instrText>
      </w:r>
      <w:r>
        <w:fldChar w:fldCharType="separate"/>
      </w:r>
      <w:r>
        <w:t>2</w:t>
      </w:r>
      <w:r>
        <w:fldChar w:fldCharType="end"/>
      </w:r>
      <w:r>
        <w:t>]. The author notes that in 2014/2015, field crop production accounted for an average of 64% of gross on-farm income across all Tanzanian farms. This value was 22% for livestock production, with fruits and vegetables, as well as cash crops, accounting for an average of 7% and 6% of total on-farm income, respectively. Overall, the results show that incomes rose from an average of TES 3.8 million to over TES 5.2 million in 2019. While not statistically significant (except for remittances and permanent crops), incomes across all sources increased between 2012 and 2019. Consistent with the increase in the proportion of respondents, the value of remittances rose from TES 250,000 to over TES 440,000 in 2019. Similarly, wages increased from over TES 2.7 million in 2012/2013 to TES 4.6 million in 2019/2020. On average, off-farm wages increased from slightly over 800,000 to 1.3 million in 2019/2020. Non-farm wage labour, on the other hand, increased from 2.2 million to slightly over 2.9 million in 2019/2020.</w:t>
      </w:r>
    </w:p>
    <w:p w14:paraId="10DA1C95">
      <w:pPr>
        <w:autoSpaceDE w:val="0"/>
        <w:autoSpaceDN w:val="0"/>
        <w:adjustRightInd w:val="0"/>
        <w:spacing w:line="360" w:lineRule="auto"/>
        <w:contextualSpacing/>
        <w:jc w:val="both"/>
      </w:pPr>
      <w:r>
        <w:t xml:space="preserve">Table S1: Proportion of households earning from various sources and incomes, 2012-2019 </w:t>
      </w:r>
    </w:p>
    <w:tbl>
      <w:tblPr>
        <w:tblStyle w:val="5"/>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2"/>
        <w:gridCol w:w="1782"/>
        <w:gridCol w:w="1325"/>
        <w:gridCol w:w="1325"/>
        <w:gridCol w:w="1325"/>
        <w:gridCol w:w="1097"/>
      </w:tblGrid>
      <w:tr w14:paraId="6AC1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02" w:type="dxa"/>
          </w:tcPr>
          <w:p w14:paraId="79319C78">
            <w:r>
              <w:t xml:space="preserve">Income sources </w:t>
            </w:r>
          </w:p>
        </w:tc>
        <w:tc>
          <w:tcPr>
            <w:tcW w:w="1782" w:type="dxa"/>
          </w:tcPr>
          <w:p w14:paraId="4CDFA787">
            <w:pPr>
              <w:rPr>
                <w:b/>
                <w:bCs/>
              </w:rPr>
            </w:pPr>
          </w:p>
        </w:tc>
        <w:tc>
          <w:tcPr>
            <w:tcW w:w="1325" w:type="dxa"/>
          </w:tcPr>
          <w:p w14:paraId="0E108A3F">
            <w:pPr>
              <w:rPr>
                <w:b/>
                <w:bCs/>
              </w:rPr>
            </w:pPr>
            <w:r>
              <w:rPr>
                <w:b/>
                <w:bCs/>
              </w:rPr>
              <w:t>2012</w:t>
            </w:r>
          </w:p>
        </w:tc>
        <w:tc>
          <w:tcPr>
            <w:tcW w:w="1325" w:type="dxa"/>
          </w:tcPr>
          <w:p w14:paraId="4E58A0CC">
            <w:pPr>
              <w:rPr>
                <w:b/>
                <w:bCs/>
              </w:rPr>
            </w:pPr>
            <w:r>
              <w:rPr>
                <w:b/>
                <w:bCs/>
              </w:rPr>
              <w:t>2014</w:t>
            </w:r>
          </w:p>
        </w:tc>
        <w:tc>
          <w:tcPr>
            <w:tcW w:w="1325" w:type="dxa"/>
          </w:tcPr>
          <w:p w14:paraId="5E5EF331">
            <w:pPr>
              <w:rPr>
                <w:b/>
                <w:bCs/>
              </w:rPr>
            </w:pPr>
            <w:r>
              <w:rPr>
                <w:b/>
                <w:bCs/>
              </w:rPr>
              <w:t>2019</w:t>
            </w:r>
          </w:p>
        </w:tc>
        <w:tc>
          <w:tcPr>
            <w:tcW w:w="1097" w:type="dxa"/>
          </w:tcPr>
          <w:p w14:paraId="2237FAD6">
            <w:pPr>
              <w:rPr>
                <w:b/>
                <w:bCs/>
              </w:rPr>
            </w:pPr>
            <w:r>
              <w:rPr>
                <w:b/>
                <w:bCs/>
              </w:rPr>
              <w:t>p-value</w:t>
            </w:r>
          </w:p>
        </w:tc>
      </w:tr>
      <w:tr w14:paraId="4283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2602" w:type="dxa"/>
            <w:vMerge w:val="restart"/>
          </w:tcPr>
          <w:p w14:paraId="58B743F4">
            <w:r>
              <w:t>Crop by products &amp; value addition</w:t>
            </w:r>
          </w:p>
        </w:tc>
        <w:tc>
          <w:tcPr>
            <w:tcW w:w="1782" w:type="dxa"/>
          </w:tcPr>
          <w:p w14:paraId="51F5ADD7">
            <w:r>
              <w:t>Proportion (%)</w:t>
            </w:r>
          </w:p>
        </w:tc>
        <w:tc>
          <w:tcPr>
            <w:tcW w:w="1325" w:type="dxa"/>
          </w:tcPr>
          <w:p w14:paraId="672A1C1A">
            <w:r>
              <w:t>0.78</w:t>
            </w:r>
          </w:p>
        </w:tc>
        <w:tc>
          <w:tcPr>
            <w:tcW w:w="1325" w:type="dxa"/>
          </w:tcPr>
          <w:p w14:paraId="18C2422B">
            <w:r>
              <w:t>1.95</w:t>
            </w:r>
          </w:p>
        </w:tc>
        <w:tc>
          <w:tcPr>
            <w:tcW w:w="1325" w:type="dxa"/>
          </w:tcPr>
          <w:p w14:paraId="2855F010">
            <w:r>
              <w:t>0.98</w:t>
            </w:r>
          </w:p>
        </w:tc>
        <w:tc>
          <w:tcPr>
            <w:tcW w:w="1097" w:type="dxa"/>
          </w:tcPr>
          <w:p w14:paraId="08FB7865">
            <w:r>
              <w:t>0.19</w:t>
            </w:r>
          </w:p>
        </w:tc>
      </w:tr>
      <w:tr w14:paraId="12E5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602" w:type="dxa"/>
            <w:vMerge w:val="continue"/>
          </w:tcPr>
          <w:p w14:paraId="69748E72"/>
        </w:tc>
        <w:tc>
          <w:tcPr>
            <w:tcW w:w="1782" w:type="dxa"/>
          </w:tcPr>
          <w:p w14:paraId="1BB99973">
            <w:r>
              <w:t xml:space="preserve">TES </w:t>
            </w:r>
          </w:p>
        </w:tc>
        <w:tc>
          <w:tcPr>
            <w:tcW w:w="1325" w:type="dxa"/>
          </w:tcPr>
          <w:p w14:paraId="2782EE08">
            <w:r>
              <w:t>15,875</w:t>
            </w:r>
          </w:p>
        </w:tc>
        <w:tc>
          <w:tcPr>
            <w:tcW w:w="1325" w:type="dxa"/>
          </w:tcPr>
          <w:p w14:paraId="0A5EEE59">
            <w:r>
              <w:t>24,650</w:t>
            </w:r>
          </w:p>
        </w:tc>
        <w:tc>
          <w:tcPr>
            <w:tcW w:w="1325" w:type="dxa"/>
          </w:tcPr>
          <w:p w14:paraId="7CEB74D4">
            <w:r>
              <w:t>673,120</w:t>
            </w:r>
          </w:p>
        </w:tc>
        <w:tc>
          <w:tcPr>
            <w:tcW w:w="1097" w:type="dxa"/>
          </w:tcPr>
          <w:p w14:paraId="56894786">
            <w:r>
              <w:t>0.32</w:t>
            </w:r>
          </w:p>
        </w:tc>
      </w:tr>
      <w:tr w14:paraId="5A31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602" w:type="dxa"/>
            <w:vMerge w:val="restart"/>
          </w:tcPr>
          <w:p w14:paraId="67CF31C2">
            <w:r>
              <w:t>Non-farm profits</w:t>
            </w:r>
          </w:p>
        </w:tc>
        <w:tc>
          <w:tcPr>
            <w:tcW w:w="1782" w:type="dxa"/>
          </w:tcPr>
          <w:p w14:paraId="1154678F">
            <w:r>
              <w:t>Proportion (%)</w:t>
            </w:r>
          </w:p>
        </w:tc>
        <w:tc>
          <w:tcPr>
            <w:tcW w:w="1325" w:type="dxa"/>
          </w:tcPr>
          <w:p w14:paraId="4DAA940C">
            <w:r>
              <w:t>44.73</w:t>
            </w:r>
          </w:p>
        </w:tc>
        <w:tc>
          <w:tcPr>
            <w:tcW w:w="1325" w:type="dxa"/>
          </w:tcPr>
          <w:p w14:paraId="11932D80">
            <w:r>
              <w:t>48.24</w:t>
            </w:r>
          </w:p>
        </w:tc>
        <w:tc>
          <w:tcPr>
            <w:tcW w:w="1325" w:type="dxa"/>
          </w:tcPr>
          <w:p w14:paraId="5F9685BC">
            <w:r>
              <w:t>45.12</w:t>
            </w:r>
          </w:p>
        </w:tc>
        <w:tc>
          <w:tcPr>
            <w:tcW w:w="1097" w:type="dxa"/>
          </w:tcPr>
          <w:p w14:paraId="0988F2EF">
            <w:r>
              <w:t>0.46</w:t>
            </w:r>
          </w:p>
        </w:tc>
      </w:tr>
      <w:tr w14:paraId="4429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602" w:type="dxa"/>
            <w:vMerge w:val="continue"/>
          </w:tcPr>
          <w:p w14:paraId="0C0CDF74"/>
        </w:tc>
        <w:tc>
          <w:tcPr>
            <w:tcW w:w="1782" w:type="dxa"/>
          </w:tcPr>
          <w:p w14:paraId="22BEE3EE">
            <w:r>
              <w:t xml:space="preserve">TES </w:t>
            </w:r>
          </w:p>
        </w:tc>
        <w:tc>
          <w:tcPr>
            <w:tcW w:w="1325" w:type="dxa"/>
          </w:tcPr>
          <w:p w14:paraId="420AFF2C">
            <w:r>
              <w:t>3,870,179</w:t>
            </w:r>
          </w:p>
        </w:tc>
        <w:tc>
          <w:tcPr>
            <w:tcW w:w="1325" w:type="dxa"/>
          </w:tcPr>
          <w:p w14:paraId="4E260994">
            <w:r>
              <w:t>2,765,392</w:t>
            </w:r>
          </w:p>
        </w:tc>
        <w:tc>
          <w:tcPr>
            <w:tcW w:w="1325" w:type="dxa"/>
          </w:tcPr>
          <w:p w14:paraId="4629AE61">
            <w:r>
              <w:t>4,937,749</w:t>
            </w:r>
          </w:p>
        </w:tc>
        <w:tc>
          <w:tcPr>
            <w:tcW w:w="1097" w:type="dxa"/>
          </w:tcPr>
          <w:p w14:paraId="3A3C3D61">
            <w:r>
              <w:t>0.62</w:t>
            </w:r>
          </w:p>
        </w:tc>
      </w:tr>
      <w:tr w14:paraId="3AC8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02" w:type="dxa"/>
            <w:vMerge w:val="restart"/>
          </w:tcPr>
          <w:p w14:paraId="6009F3E2">
            <w:r>
              <w:t>Remittances</w:t>
            </w:r>
          </w:p>
        </w:tc>
        <w:tc>
          <w:tcPr>
            <w:tcW w:w="1782" w:type="dxa"/>
          </w:tcPr>
          <w:p w14:paraId="6FE8AF4A">
            <w:r>
              <w:t>Proportion (%)</w:t>
            </w:r>
          </w:p>
        </w:tc>
        <w:tc>
          <w:tcPr>
            <w:tcW w:w="1325" w:type="dxa"/>
          </w:tcPr>
          <w:p w14:paraId="518867A0">
            <w:r>
              <w:t>18.55</w:t>
            </w:r>
          </w:p>
        </w:tc>
        <w:tc>
          <w:tcPr>
            <w:tcW w:w="1325" w:type="dxa"/>
          </w:tcPr>
          <w:p w14:paraId="427CD7B2">
            <w:r>
              <w:t>28.91</w:t>
            </w:r>
          </w:p>
        </w:tc>
        <w:tc>
          <w:tcPr>
            <w:tcW w:w="1325" w:type="dxa"/>
          </w:tcPr>
          <w:p w14:paraId="50B1E390">
            <w:r>
              <w:t>33.59</w:t>
            </w:r>
          </w:p>
        </w:tc>
        <w:tc>
          <w:tcPr>
            <w:tcW w:w="1097" w:type="dxa"/>
          </w:tcPr>
          <w:p w14:paraId="44FC6338">
            <w:r>
              <w:t>0.00</w:t>
            </w:r>
          </w:p>
        </w:tc>
      </w:tr>
      <w:tr w14:paraId="483A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02" w:type="dxa"/>
            <w:vMerge w:val="continue"/>
          </w:tcPr>
          <w:p w14:paraId="33CB339E"/>
        </w:tc>
        <w:tc>
          <w:tcPr>
            <w:tcW w:w="1782" w:type="dxa"/>
          </w:tcPr>
          <w:p w14:paraId="2BF991C2">
            <w:r>
              <w:t xml:space="preserve">TES </w:t>
            </w:r>
          </w:p>
        </w:tc>
        <w:tc>
          <w:tcPr>
            <w:tcW w:w="1325" w:type="dxa"/>
          </w:tcPr>
          <w:p w14:paraId="1AE69D38">
            <w:r>
              <w:t>250,168.4</w:t>
            </w:r>
          </w:p>
        </w:tc>
        <w:tc>
          <w:tcPr>
            <w:tcW w:w="1325" w:type="dxa"/>
          </w:tcPr>
          <w:p w14:paraId="7ABE0CD3">
            <w:r>
              <w:t>297,381.8</w:t>
            </w:r>
          </w:p>
        </w:tc>
        <w:tc>
          <w:tcPr>
            <w:tcW w:w="1325" w:type="dxa"/>
          </w:tcPr>
          <w:p w14:paraId="5908A32B">
            <w:r>
              <w:t>440,654.1</w:t>
            </w:r>
          </w:p>
        </w:tc>
        <w:tc>
          <w:tcPr>
            <w:tcW w:w="1097" w:type="dxa"/>
          </w:tcPr>
          <w:p w14:paraId="16521EF3">
            <w:r>
              <w:t>0.01</w:t>
            </w:r>
          </w:p>
        </w:tc>
      </w:tr>
      <w:tr w14:paraId="3776D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02" w:type="dxa"/>
            <w:vMerge w:val="restart"/>
          </w:tcPr>
          <w:p w14:paraId="62FE6D0A">
            <w:r>
              <w:t>Wages</w:t>
            </w:r>
          </w:p>
        </w:tc>
        <w:tc>
          <w:tcPr>
            <w:tcW w:w="1782" w:type="dxa"/>
          </w:tcPr>
          <w:p w14:paraId="6213B240">
            <w:r>
              <w:t>Proportion (%)</w:t>
            </w:r>
          </w:p>
        </w:tc>
        <w:tc>
          <w:tcPr>
            <w:tcW w:w="1325" w:type="dxa"/>
          </w:tcPr>
          <w:p w14:paraId="0B596175">
            <w:r>
              <w:t>53.71</w:t>
            </w:r>
          </w:p>
        </w:tc>
        <w:tc>
          <w:tcPr>
            <w:tcW w:w="1325" w:type="dxa"/>
          </w:tcPr>
          <w:p w14:paraId="55F6511D">
            <w:r>
              <w:t>58.79</w:t>
            </w:r>
          </w:p>
        </w:tc>
        <w:tc>
          <w:tcPr>
            <w:tcW w:w="1325" w:type="dxa"/>
          </w:tcPr>
          <w:p w14:paraId="6E0F4C9F">
            <w:r>
              <w:t>41.80</w:t>
            </w:r>
          </w:p>
        </w:tc>
        <w:tc>
          <w:tcPr>
            <w:tcW w:w="1097" w:type="dxa"/>
          </w:tcPr>
          <w:p w14:paraId="65C91C34">
            <w:r>
              <w:t>0.00</w:t>
            </w:r>
          </w:p>
        </w:tc>
      </w:tr>
      <w:tr w14:paraId="56E2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02" w:type="dxa"/>
            <w:vMerge w:val="continue"/>
          </w:tcPr>
          <w:p w14:paraId="184ABAB5"/>
        </w:tc>
        <w:tc>
          <w:tcPr>
            <w:tcW w:w="1782" w:type="dxa"/>
          </w:tcPr>
          <w:p w14:paraId="6641140F">
            <w:r>
              <w:t xml:space="preserve">TES </w:t>
            </w:r>
          </w:p>
        </w:tc>
        <w:tc>
          <w:tcPr>
            <w:tcW w:w="1325" w:type="dxa"/>
          </w:tcPr>
          <w:p w14:paraId="64FAD752">
            <w:r>
              <w:t>2,772,289</w:t>
            </w:r>
          </w:p>
        </w:tc>
        <w:tc>
          <w:tcPr>
            <w:tcW w:w="1325" w:type="dxa"/>
          </w:tcPr>
          <w:p w14:paraId="39193788">
            <w:r>
              <w:t>4,438,819</w:t>
            </w:r>
          </w:p>
        </w:tc>
        <w:tc>
          <w:tcPr>
            <w:tcW w:w="1325" w:type="dxa"/>
          </w:tcPr>
          <w:p w14:paraId="3D84E7DD">
            <w:r>
              <w:t>4,663,185</w:t>
            </w:r>
          </w:p>
        </w:tc>
        <w:tc>
          <w:tcPr>
            <w:tcW w:w="1097" w:type="dxa"/>
          </w:tcPr>
          <w:p w14:paraId="74343D30">
            <w:r>
              <w:t>0.00</w:t>
            </w:r>
          </w:p>
        </w:tc>
      </w:tr>
      <w:tr w14:paraId="79DA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02" w:type="dxa"/>
            <w:vMerge w:val="restart"/>
          </w:tcPr>
          <w:p w14:paraId="7F4A3166">
            <w:r>
              <w:t>Livestock income</w:t>
            </w:r>
          </w:p>
        </w:tc>
        <w:tc>
          <w:tcPr>
            <w:tcW w:w="1782" w:type="dxa"/>
          </w:tcPr>
          <w:p w14:paraId="5447DB59">
            <w:r>
              <w:t>Proportion (%)</w:t>
            </w:r>
          </w:p>
        </w:tc>
        <w:tc>
          <w:tcPr>
            <w:tcW w:w="1325" w:type="dxa"/>
          </w:tcPr>
          <w:p w14:paraId="3E7FE0F6">
            <w:r>
              <w:t>23.05</w:t>
            </w:r>
          </w:p>
        </w:tc>
        <w:tc>
          <w:tcPr>
            <w:tcW w:w="1325" w:type="dxa"/>
          </w:tcPr>
          <w:p w14:paraId="766091F7">
            <w:r>
              <w:t>23.83</w:t>
            </w:r>
          </w:p>
        </w:tc>
        <w:tc>
          <w:tcPr>
            <w:tcW w:w="1325" w:type="dxa"/>
          </w:tcPr>
          <w:p w14:paraId="15F1AE2E">
            <w:r>
              <w:t>19.73</w:t>
            </w:r>
          </w:p>
        </w:tc>
        <w:tc>
          <w:tcPr>
            <w:tcW w:w="1097" w:type="dxa"/>
          </w:tcPr>
          <w:p w14:paraId="524F127D">
            <w:r>
              <w:t>0.25</w:t>
            </w:r>
          </w:p>
        </w:tc>
      </w:tr>
      <w:tr w14:paraId="0A68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02" w:type="dxa"/>
            <w:vMerge w:val="continue"/>
          </w:tcPr>
          <w:p w14:paraId="6C0A427D"/>
        </w:tc>
        <w:tc>
          <w:tcPr>
            <w:tcW w:w="1782" w:type="dxa"/>
          </w:tcPr>
          <w:p w14:paraId="011A8D72">
            <w:r>
              <w:t xml:space="preserve">TES </w:t>
            </w:r>
          </w:p>
        </w:tc>
        <w:tc>
          <w:tcPr>
            <w:tcW w:w="1325" w:type="dxa"/>
          </w:tcPr>
          <w:p w14:paraId="5F065CBA">
            <w:r>
              <w:t>720,919.8</w:t>
            </w:r>
          </w:p>
        </w:tc>
        <w:tc>
          <w:tcPr>
            <w:tcW w:w="1325" w:type="dxa"/>
          </w:tcPr>
          <w:p w14:paraId="305BA0C0">
            <w:r>
              <w:t>1,310,591</w:t>
            </w:r>
          </w:p>
        </w:tc>
        <w:tc>
          <w:tcPr>
            <w:tcW w:w="1325" w:type="dxa"/>
          </w:tcPr>
          <w:p w14:paraId="391D8308">
            <w:r>
              <w:t>1,597,002</w:t>
            </w:r>
          </w:p>
        </w:tc>
        <w:tc>
          <w:tcPr>
            <w:tcW w:w="1097" w:type="dxa"/>
          </w:tcPr>
          <w:p w14:paraId="2C5944D8">
            <w:r>
              <w:t>0.95</w:t>
            </w:r>
          </w:p>
        </w:tc>
      </w:tr>
      <w:tr w14:paraId="61E2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02" w:type="dxa"/>
            <w:vMerge w:val="restart"/>
          </w:tcPr>
          <w:p w14:paraId="1937229C">
            <w:r>
              <w:t>Seasonal crops income</w:t>
            </w:r>
          </w:p>
        </w:tc>
        <w:tc>
          <w:tcPr>
            <w:tcW w:w="1782" w:type="dxa"/>
          </w:tcPr>
          <w:p w14:paraId="23DABAD6">
            <w:r>
              <w:t>Proportion (%)</w:t>
            </w:r>
          </w:p>
        </w:tc>
        <w:tc>
          <w:tcPr>
            <w:tcW w:w="1325" w:type="dxa"/>
          </w:tcPr>
          <w:p w14:paraId="721CB254">
            <w:r>
              <w:t>33.59</w:t>
            </w:r>
          </w:p>
        </w:tc>
        <w:tc>
          <w:tcPr>
            <w:tcW w:w="1325" w:type="dxa"/>
          </w:tcPr>
          <w:p w14:paraId="4F75CB8B">
            <w:r>
              <w:t>34.57</w:t>
            </w:r>
          </w:p>
        </w:tc>
        <w:tc>
          <w:tcPr>
            <w:tcW w:w="1325" w:type="dxa"/>
          </w:tcPr>
          <w:p w14:paraId="2A20376A">
            <w:r>
              <w:t>28.91</w:t>
            </w:r>
          </w:p>
        </w:tc>
        <w:tc>
          <w:tcPr>
            <w:tcW w:w="1097" w:type="dxa"/>
          </w:tcPr>
          <w:p w14:paraId="17F29B7F">
            <w:r>
              <w:t>0.13</w:t>
            </w:r>
          </w:p>
        </w:tc>
      </w:tr>
      <w:tr w14:paraId="50D6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02" w:type="dxa"/>
            <w:vMerge w:val="continue"/>
          </w:tcPr>
          <w:p w14:paraId="43C11F8B"/>
        </w:tc>
        <w:tc>
          <w:tcPr>
            <w:tcW w:w="1782" w:type="dxa"/>
          </w:tcPr>
          <w:p w14:paraId="421DDFF7">
            <w:r>
              <w:t xml:space="preserve">TES </w:t>
            </w:r>
          </w:p>
        </w:tc>
        <w:tc>
          <w:tcPr>
            <w:tcW w:w="1325" w:type="dxa"/>
          </w:tcPr>
          <w:p w14:paraId="4E1FA643">
            <w:r>
              <w:t>399,324.2</w:t>
            </w:r>
          </w:p>
        </w:tc>
        <w:tc>
          <w:tcPr>
            <w:tcW w:w="1325" w:type="dxa"/>
          </w:tcPr>
          <w:p w14:paraId="71EF1833">
            <w:r>
              <w:t>416,612.4</w:t>
            </w:r>
          </w:p>
        </w:tc>
        <w:tc>
          <w:tcPr>
            <w:tcW w:w="1325" w:type="dxa"/>
          </w:tcPr>
          <w:p w14:paraId="484067F8">
            <w:r>
              <w:t>504,799.3</w:t>
            </w:r>
          </w:p>
        </w:tc>
        <w:tc>
          <w:tcPr>
            <w:tcW w:w="1097" w:type="dxa"/>
          </w:tcPr>
          <w:p w14:paraId="6AF031B4">
            <w:r>
              <w:t>0.27</w:t>
            </w:r>
          </w:p>
        </w:tc>
      </w:tr>
      <w:tr w14:paraId="4DE7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02" w:type="dxa"/>
            <w:vMerge w:val="restart"/>
          </w:tcPr>
          <w:p w14:paraId="61FCADEB">
            <w:r>
              <w:t>Permanent crops income</w:t>
            </w:r>
          </w:p>
        </w:tc>
        <w:tc>
          <w:tcPr>
            <w:tcW w:w="1782" w:type="dxa"/>
          </w:tcPr>
          <w:p w14:paraId="1AF594F6">
            <w:r>
              <w:t>Proportion (%)</w:t>
            </w:r>
          </w:p>
        </w:tc>
        <w:tc>
          <w:tcPr>
            <w:tcW w:w="1325" w:type="dxa"/>
          </w:tcPr>
          <w:p w14:paraId="53B4C107">
            <w:r>
              <w:t>22.27</w:t>
            </w:r>
          </w:p>
        </w:tc>
        <w:tc>
          <w:tcPr>
            <w:tcW w:w="1325" w:type="dxa"/>
          </w:tcPr>
          <w:p w14:paraId="60C76D11">
            <w:r>
              <w:t>20.90</w:t>
            </w:r>
          </w:p>
        </w:tc>
        <w:tc>
          <w:tcPr>
            <w:tcW w:w="1325" w:type="dxa"/>
          </w:tcPr>
          <w:p w14:paraId="4F5246A6">
            <w:r>
              <w:t>22.27</w:t>
            </w:r>
          </w:p>
        </w:tc>
        <w:tc>
          <w:tcPr>
            <w:tcW w:w="1097" w:type="dxa"/>
          </w:tcPr>
          <w:p w14:paraId="4B62D1DA">
            <w:r>
              <w:t>0.82</w:t>
            </w:r>
          </w:p>
        </w:tc>
      </w:tr>
      <w:tr w14:paraId="668E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02" w:type="dxa"/>
            <w:vMerge w:val="continue"/>
          </w:tcPr>
          <w:p w14:paraId="1ADBEE4D"/>
        </w:tc>
        <w:tc>
          <w:tcPr>
            <w:tcW w:w="1782" w:type="dxa"/>
          </w:tcPr>
          <w:p w14:paraId="77F14889">
            <w:r>
              <w:t xml:space="preserve">TES </w:t>
            </w:r>
          </w:p>
        </w:tc>
        <w:tc>
          <w:tcPr>
            <w:tcW w:w="1325" w:type="dxa"/>
          </w:tcPr>
          <w:p w14:paraId="048042FA">
            <w:r>
              <w:t>436,969.3</w:t>
            </w:r>
          </w:p>
        </w:tc>
        <w:tc>
          <w:tcPr>
            <w:tcW w:w="1325" w:type="dxa"/>
          </w:tcPr>
          <w:p w14:paraId="3BF07389">
            <w:r>
              <w:t>331,338.3</w:t>
            </w:r>
          </w:p>
        </w:tc>
        <w:tc>
          <w:tcPr>
            <w:tcW w:w="1325" w:type="dxa"/>
          </w:tcPr>
          <w:p w14:paraId="2E1E1DD7">
            <w:r>
              <w:t>758,473.5</w:t>
            </w:r>
          </w:p>
        </w:tc>
        <w:tc>
          <w:tcPr>
            <w:tcW w:w="1097" w:type="dxa"/>
          </w:tcPr>
          <w:p w14:paraId="48857962">
            <w:r>
              <w:t>0.03</w:t>
            </w:r>
          </w:p>
        </w:tc>
      </w:tr>
      <w:tr w14:paraId="43C2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02" w:type="dxa"/>
            <w:vMerge w:val="restart"/>
          </w:tcPr>
          <w:p w14:paraId="3F3D9F1D">
            <w:r>
              <w:t>Pension and other incomes</w:t>
            </w:r>
          </w:p>
        </w:tc>
        <w:tc>
          <w:tcPr>
            <w:tcW w:w="1782" w:type="dxa"/>
          </w:tcPr>
          <w:p w14:paraId="7ED9EB6C">
            <w:r>
              <w:t>Proportion (%)</w:t>
            </w:r>
          </w:p>
        </w:tc>
        <w:tc>
          <w:tcPr>
            <w:tcW w:w="1325" w:type="dxa"/>
          </w:tcPr>
          <w:p w14:paraId="732B2647">
            <w:r>
              <w:t>12.70</w:t>
            </w:r>
          </w:p>
        </w:tc>
        <w:tc>
          <w:tcPr>
            <w:tcW w:w="1325" w:type="dxa"/>
          </w:tcPr>
          <w:p w14:paraId="6442497A">
            <w:r>
              <w:t>11.72</w:t>
            </w:r>
          </w:p>
        </w:tc>
        <w:tc>
          <w:tcPr>
            <w:tcW w:w="1325" w:type="dxa"/>
          </w:tcPr>
          <w:p w14:paraId="5B4468A8">
            <w:r>
              <w:t>16.02</w:t>
            </w:r>
          </w:p>
        </w:tc>
        <w:tc>
          <w:tcPr>
            <w:tcW w:w="1097" w:type="dxa"/>
          </w:tcPr>
          <w:p w14:paraId="41FA3DB9">
            <w:r>
              <w:t>0.11</w:t>
            </w:r>
          </w:p>
        </w:tc>
      </w:tr>
      <w:tr w14:paraId="737E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02" w:type="dxa"/>
            <w:vMerge w:val="continue"/>
          </w:tcPr>
          <w:p w14:paraId="20D007BA"/>
        </w:tc>
        <w:tc>
          <w:tcPr>
            <w:tcW w:w="1782" w:type="dxa"/>
          </w:tcPr>
          <w:p w14:paraId="206EAB87">
            <w:r>
              <w:t xml:space="preserve">TES </w:t>
            </w:r>
          </w:p>
        </w:tc>
        <w:tc>
          <w:tcPr>
            <w:tcW w:w="1325" w:type="dxa"/>
          </w:tcPr>
          <w:p w14:paraId="4AD34E07">
            <w:r>
              <w:t>1,101,969</w:t>
            </w:r>
          </w:p>
        </w:tc>
        <w:tc>
          <w:tcPr>
            <w:tcW w:w="1325" w:type="dxa"/>
          </w:tcPr>
          <w:p w14:paraId="0D643DA1">
            <w:r>
              <w:t>5,168,133</w:t>
            </w:r>
          </w:p>
        </w:tc>
        <w:tc>
          <w:tcPr>
            <w:tcW w:w="1325" w:type="dxa"/>
          </w:tcPr>
          <w:p w14:paraId="3382B117">
            <w:r>
              <w:t>1,559,089</w:t>
            </w:r>
          </w:p>
        </w:tc>
        <w:tc>
          <w:tcPr>
            <w:tcW w:w="1097" w:type="dxa"/>
          </w:tcPr>
          <w:p w14:paraId="3A276E1B">
            <w:r>
              <w:t>0.47</w:t>
            </w:r>
          </w:p>
        </w:tc>
      </w:tr>
      <w:tr w14:paraId="18ED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02" w:type="dxa"/>
          </w:tcPr>
          <w:p w14:paraId="147B3710">
            <w:r>
              <w:t>Total Income</w:t>
            </w:r>
          </w:p>
        </w:tc>
        <w:tc>
          <w:tcPr>
            <w:tcW w:w="1782" w:type="dxa"/>
          </w:tcPr>
          <w:p w14:paraId="20ABFC86">
            <w:r>
              <w:t>TES</w:t>
            </w:r>
          </w:p>
        </w:tc>
        <w:tc>
          <w:tcPr>
            <w:tcW w:w="1325" w:type="dxa"/>
          </w:tcPr>
          <w:p w14:paraId="79895CAA">
            <w:r>
              <w:t>3,804,053</w:t>
            </w:r>
          </w:p>
        </w:tc>
        <w:tc>
          <w:tcPr>
            <w:tcW w:w="1325" w:type="dxa"/>
          </w:tcPr>
          <w:p w14:paraId="45D84ABC">
            <w:r>
              <w:t>5,161,268</w:t>
            </w:r>
          </w:p>
        </w:tc>
        <w:tc>
          <w:tcPr>
            <w:tcW w:w="1325" w:type="dxa"/>
          </w:tcPr>
          <w:p w14:paraId="4E96CB5A">
            <w:r>
              <w:t>5,210,973</w:t>
            </w:r>
          </w:p>
        </w:tc>
        <w:tc>
          <w:tcPr>
            <w:tcW w:w="1097" w:type="dxa"/>
          </w:tcPr>
          <w:p w14:paraId="3F585C13">
            <w:r>
              <w:t>0.09</w:t>
            </w:r>
          </w:p>
        </w:tc>
      </w:tr>
    </w:tbl>
    <w:p w14:paraId="49E36878">
      <w:pPr>
        <w:spacing w:line="360" w:lineRule="auto"/>
      </w:pPr>
    </w:p>
    <w:p w14:paraId="6C94A5B0">
      <w:pPr>
        <w:spacing w:line="360" w:lineRule="auto"/>
      </w:pPr>
      <w:r>
        <w:rPr>
          <w:bCs/>
        </w:rPr>
        <w:t>Table S2</w:t>
      </w:r>
      <w:r>
        <w:rPr>
          <w:b/>
          <w:bCs/>
        </w:rPr>
        <w:t xml:space="preserve">: </w:t>
      </w:r>
      <w:r>
        <w:t>Share of households consuming different food groups</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9"/>
        <w:gridCol w:w="1865"/>
        <w:gridCol w:w="1866"/>
        <w:gridCol w:w="1866"/>
      </w:tblGrid>
      <w:tr w14:paraId="099E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0AC13C0D">
            <w:r>
              <w:t>Food group</w:t>
            </w:r>
          </w:p>
        </w:tc>
        <w:tc>
          <w:tcPr>
            <w:tcW w:w="1865" w:type="dxa"/>
          </w:tcPr>
          <w:p w14:paraId="5AA63CE3">
            <w:r>
              <w:t>2012/2013</w:t>
            </w:r>
          </w:p>
        </w:tc>
        <w:tc>
          <w:tcPr>
            <w:tcW w:w="1866" w:type="dxa"/>
          </w:tcPr>
          <w:p w14:paraId="175ACBE6">
            <w:r>
              <w:t>2014/2015</w:t>
            </w:r>
          </w:p>
        </w:tc>
        <w:tc>
          <w:tcPr>
            <w:tcW w:w="1866" w:type="dxa"/>
          </w:tcPr>
          <w:p w14:paraId="6E12A324">
            <w:r>
              <w:t>2019/2020</w:t>
            </w:r>
          </w:p>
        </w:tc>
      </w:tr>
      <w:tr w14:paraId="0F0A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7063AC87">
            <w:r>
              <w:t>Cereals</w:t>
            </w:r>
          </w:p>
        </w:tc>
        <w:tc>
          <w:tcPr>
            <w:tcW w:w="1865" w:type="dxa"/>
          </w:tcPr>
          <w:p w14:paraId="20BEF0DB">
            <w:r>
              <w:t>93.2</w:t>
            </w:r>
          </w:p>
        </w:tc>
        <w:tc>
          <w:tcPr>
            <w:tcW w:w="1866" w:type="dxa"/>
          </w:tcPr>
          <w:p w14:paraId="6095FCCC">
            <w:r>
              <w:t>97.4</w:t>
            </w:r>
          </w:p>
        </w:tc>
        <w:tc>
          <w:tcPr>
            <w:tcW w:w="1866" w:type="dxa"/>
          </w:tcPr>
          <w:p w14:paraId="3DECC9A2">
            <w:r>
              <w:t>94.5</w:t>
            </w:r>
          </w:p>
        </w:tc>
      </w:tr>
      <w:tr w14:paraId="2232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5F4B3CEA">
            <w:r>
              <w:t>Roots and tubers</w:t>
            </w:r>
          </w:p>
        </w:tc>
        <w:tc>
          <w:tcPr>
            <w:tcW w:w="1865" w:type="dxa"/>
          </w:tcPr>
          <w:p w14:paraId="51095FC0">
            <w:r>
              <w:t>100</w:t>
            </w:r>
          </w:p>
        </w:tc>
        <w:tc>
          <w:tcPr>
            <w:tcW w:w="1866" w:type="dxa"/>
          </w:tcPr>
          <w:p w14:paraId="0A1B6464">
            <w:r>
              <w:t>100</w:t>
            </w:r>
          </w:p>
        </w:tc>
        <w:tc>
          <w:tcPr>
            <w:tcW w:w="1866" w:type="dxa"/>
          </w:tcPr>
          <w:p w14:paraId="044D2317">
            <w:r>
              <w:t>100</w:t>
            </w:r>
          </w:p>
        </w:tc>
      </w:tr>
      <w:tr w14:paraId="18D7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1CCD4FF9">
            <w:r>
              <w:t>Nuts and pulses</w:t>
            </w:r>
          </w:p>
        </w:tc>
        <w:tc>
          <w:tcPr>
            <w:tcW w:w="1865" w:type="dxa"/>
          </w:tcPr>
          <w:p w14:paraId="7803CA68">
            <w:r>
              <w:t>83.5</w:t>
            </w:r>
          </w:p>
        </w:tc>
        <w:tc>
          <w:tcPr>
            <w:tcW w:w="1866" w:type="dxa"/>
          </w:tcPr>
          <w:p w14:paraId="24E69421">
            <w:r>
              <w:t>86.3</w:t>
            </w:r>
          </w:p>
        </w:tc>
        <w:tc>
          <w:tcPr>
            <w:tcW w:w="1866" w:type="dxa"/>
          </w:tcPr>
          <w:p w14:paraId="0EBF9AE7">
            <w:r>
              <w:t>80.8</w:t>
            </w:r>
          </w:p>
        </w:tc>
      </w:tr>
      <w:tr w14:paraId="78FB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0AF03D45">
            <w:r>
              <w:t>Vegetables</w:t>
            </w:r>
          </w:p>
        </w:tc>
        <w:tc>
          <w:tcPr>
            <w:tcW w:w="1865" w:type="dxa"/>
          </w:tcPr>
          <w:p w14:paraId="00539171">
            <w:r>
              <w:t>94.9</w:t>
            </w:r>
          </w:p>
        </w:tc>
        <w:tc>
          <w:tcPr>
            <w:tcW w:w="1866" w:type="dxa"/>
          </w:tcPr>
          <w:p w14:paraId="72A76D8A">
            <w:r>
              <w:t>96.4</w:t>
            </w:r>
          </w:p>
        </w:tc>
        <w:tc>
          <w:tcPr>
            <w:tcW w:w="1866" w:type="dxa"/>
          </w:tcPr>
          <w:p w14:paraId="415ACDB6">
            <w:r>
              <w:t>93.7</w:t>
            </w:r>
          </w:p>
        </w:tc>
      </w:tr>
      <w:tr w14:paraId="2A06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17D69EF3">
            <w:r>
              <w:t>Meat</w:t>
            </w:r>
          </w:p>
        </w:tc>
        <w:tc>
          <w:tcPr>
            <w:tcW w:w="1865" w:type="dxa"/>
          </w:tcPr>
          <w:p w14:paraId="535DB5C4">
            <w:r>
              <w:t>83.5</w:t>
            </w:r>
          </w:p>
        </w:tc>
        <w:tc>
          <w:tcPr>
            <w:tcW w:w="1866" w:type="dxa"/>
          </w:tcPr>
          <w:p w14:paraId="409949F1">
            <w:r>
              <w:t>89.1</w:t>
            </w:r>
          </w:p>
        </w:tc>
        <w:tc>
          <w:tcPr>
            <w:tcW w:w="1866" w:type="dxa"/>
          </w:tcPr>
          <w:p w14:paraId="58BAA768">
            <w:r>
              <w:t>86.9</w:t>
            </w:r>
          </w:p>
        </w:tc>
      </w:tr>
      <w:tr w14:paraId="16AD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04E2EB82">
            <w:r>
              <w:t>Fruits</w:t>
            </w:r>
          </w:p>
        </w:tc>
        <w:tc>
          <w:tcPr>
            <w:tcW w:w="1865" w:type="dxa"/>
          </w:tcPr>
          <w:p w14:paraId="2846BD09">
            <w:r>
              <w:t>50.7</w:t>
            </w:r>
          </w:p>
        </w:tc>
        <w:tc>
          <w:tcPr>
            <w:tcW w:w="1866" w:type="dxa"/>
          </w:tcPr>
          <w:p w14:paraId="1950EACA">
            <w:r>
              <w:t>58.7</w:t>
            </w:r>
          </w:p>
        </w:tc>
        <w:tc>
          <w:tcPr>
            <w:tcW w:w="1866" w:type="dxa"/>
          </w:tcPr>
          <w:p w14:paraId="5629975E">
            <w:r>
              <w:t>60.9</w:t>
            </w:r>
          </w:p>
        </w:tc>
      </w:tr>
      <w:tr w14:paraId="6A14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422593A6">
            <w:r>
              <w:t>Milk</w:t>
            </w:r>
          </w:p>
        </w:tc>
        <w:tc>
          <w:tcPr>
            <w:tcW w:w="1865" w:type="dxa"/>
          </w:tcPr>
          <w:p w14:paraId="32FB7B62">
            <w:r>
              <w:t>26.5</w:t>
            </w:r>
          </w:p>
        </w:tc>
        <w:tc>
          <w:tcPr>
            <w:tcW w:w="1866" w:type="dxa"/>
          </w:tcPr>
          <w:p w14:paraId="348A1A11">
            <w:r>
              <w:t>25.9</w:t>
            </w:r>
          </w:p>
        </w:tc>
        <w:tc>
          <w:tcPr>
            <w:tcW w:w="1866" w:type="dxa"/>
          </w:tcPr>
          <w:p w14:paraId="363B1390">
            <w:r>
              <w:t>28.7</w:t>
            </w:r>
          </w:p>
        </w:tc>
      </w:tr>
      <w:tr w14:paraId="4D2E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3F890972">
            <w:r>
              <w:t>Fats</w:t>
            </w:r>
          </w:p>
        </w:tc>
        <w:tc>
          <w:tcPr>
            <w:tcW w:w="1865" w:type="dxa"/>
          </w:tcPr>
          <w:p w14:paraId="5E3A308E">
            <w:r>
              <w:t>83.6</w:t>
            </w:r>
          </w:p>
        </w:tc>
        <w:tc>
          <w:tcPr>
            <w:tcW w:w="1866" w:type="dxa"/>
          </w:tcPr>
          <w:p w14:paraId="3565CB44">
            <w:r>
              <w:t>88.9</w:t>
            </w:r>
          </w:p>
        </w:tc>
        <w:tc>
          <w:tcPr>
            <w:tcW w:w="1866" w:type="dxa"/>
          </w:tcPr>
          <w:p w14:paraId="068C558F">
            <w:r>
              <w:t>86.1</w:t>
            </w:r>
          </w:p>
        </w:tc>
      </w:tr>
      <w:tr w14:paraId="6AEB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19E6A467">
            <w:r>
              <w:t>Sugar</w:t>
            </w:r>
          </w:p>
        </w:tc>
        <w:tc>
          <w:tcPr>
            <w:tcW w:w="1865" w:type="dxa"/>
          </w:tcPr>
          <w:p w14:paraId="7FE9796C">
            <w:r>
              <w:t>78.1</w:t>
            </w:r>
          </w:p>
        </w:tc>
        <w:tc>
          <w:tcPr>
            <w:tcW w:w="1866" w:type="dxa"/>
          </w:tcPr>
          <w:p w14:paraId="1BFF2468">
            <w:r>
              <w:t>82.2</w:t>
            </w:r>
          </w:p>
        </w:tc>
        <w:tc>
          <w:tcPr>
            <w:tcW w:w="1866" w:type="dxa"/>
          </w:tcPr>
          <w:p w14:paraId="4C7BEAD0">
            <w:r>
              <w:t>79.7</w:t>
            </w:r>
          </w:p>
        </w:tc>
      </w:tr>
      <w:tr w14:paraId="2E86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9" w:type="dxa"/>
          </w:tcPr>
          <w:p w14:paraId="449C1C84">
            <w:r>
              <w:t>Spices</w:t>
            </w:r>
          </w:p>
        </w:tc>
        <w:tc>
          <w:tcPr>
            <w:tcW w:w="1865" w:type="dxa"/>
          </w:tcPr>
          <w:p w14:paraId="452103EE">
            <w:r>
              <w:t>94.7</w:t>
            </w:r>
          </w:p>
        </w:tc>
        <w:tc>
          <w:tcPr>
            <w:tcW w:w="1866" w:type="dxa"/>
          </w:tcPr>
          <w:p w14:paraId="3A5024B8">
            <w:r>
              <w:t>96.9</w:t>
            </w:r>
          </w:p>
        </w:tc>
        <w:tc>
          <w:tcPr>
            <w:tcW w:w="1866" w:type="dxa"/>
          </w:tcPr>
          <w:p w14:paraId="5440F043">
            <w:r>
              <w:t>95.3</w:t>
            </w:r>
          </w:p>
        </w:tc>
      </w:tr>
    </w:tbl>
    <w:p w14:paraId="3EFE38F9"/>
    <w:p w14:paraId="71832793">
      <w:pPr>
        <w:rPr>
          <w:rFonts w:hint="default"/>
          <w:b/>
          <w:bCs/>
          <w:lang w:val="en-US"/>
        </w:rPr>
      </w:pPr>
      <w:bookmarkStart w:id="2" w:name="_GoBack"/>
      <w:r>
        <w:rPr>
          <w:rFonts w:hint="default"/>
          <w:b/>
          <w:bCs/>
          <w:lang w:val="en-US"/>
        </w:rPr>
        <w:t>References</w:t>
      </w:r>
    </w:p>
    <w:bookmarkEnd w:id="2"/>
    <w:p w14:paraId="001EA5D7">
      <w:pPr>
        <w:widowControl w:val="0"/>
        <w:numPr>
          <w:ilvl w:val="0"/>
          <w:numId w:val="1"/>
        </w:numPr>
        <w:autoSpaceDE w:val="0"/>
        <w:autoSpaceDN w:val="0"/>
        <w:adjustRightInd w:val="0"/>
        <w:rPr>
          <w:color w:val="auto"/>
        </w:rPr>
      </w:pPr>
      <w:bookmarkStart w:id="0" w:name="_Ref27519"/>
      <w:r>
        <w:rPr>
          <w:color w:val="auto"/>
        </w:rPr>
        <w:t xml:space="preserve">Kessy AT, Shayo HE. Tanzania’s diaspora engagement: The need for a paradigm shift in diaspora engagement and investment policies. Research in Globalization. 2022 Dec 1;5:100095. </w:t>
      </w:r>
      <w:r>
        <w:rPr>
          <w:color w:val="auto"/>
        </w:rPr>
        <w:fldChar w:fldCharType="begin"/>
      </w:r>
      <w:r>
        <w:rPr>
          <w:color w:val="auto"/>
        </w:rPr>
        <w:instrText xml:space="preserve"> HYPERLINK "https://doi.org/10.1016/j.resglo.2022.100095" \h </w:instrText>
      </w:r>
      <w:r>
        <w:rPr>
          <w:color w:val="auto"/>
        </w:rPr>
        <w:fldChar w:fldCharType="separate"/>
      </w:r>
      <w:r>
        <w:rPr>
          <w:color w:val="auto"/>
        </w:rPr>
        <w:t>https://doi.org/10.1016/j.resglo.2022.100095</w:t>
      </w:r>
      <w:r>
        <w:rPr>
          <w:color w:val="auto"/>
        </w:rPr>
        <w:fldChar w:fldCharType="end"/>
      </w:r>
      <w:bookmarkEnd w:id="0"/>
    </w:p>
    <w:p w14:paraId="001EA5D8">
      <w:pPr>
        <w:widowControl w:val="0"/>
        <w:numPr>
          <w:ilvl w:val="0"/>
          <w:numId w:val="1"/>
        </w:numPr>
        <w:autoSpaceDE w:val="0"/>
        <w:autoSpaceDN w:val="0"/>
        <w:adjustRightInd w:val="0"/>
        <w:rPr>
          <w:color w:val="auto"/>
        </w:rPr>
      </w:pPr>
      <w:bookmarkStart w:id="1" w:name="_Ref27709"/>
      <w:r>
        <w:rPr>
          <w:rFonts w:eastAsia="SimSun"/>
          <w:color w:val="auto"/>
        </w:rPr>
        <w:t xml:space="preserve">Wineman A, Jayne TS, Isinika Modamba E, Kray H. The changing face of agriculture in Tanzania: Indicators of transformation. </w:t>
      </w:r>
      <w:r>
        <w:rPr>
          <w:rFonts w:hint="default" w:ascii="Times New Roman" w:hAnsi="Times New Roman" w:eastAsia="SimSun" w:cs="Times New Roman"/>
          <w:b w:val="0"/>
          <w:bCs w:val="0"/>
          <w:sz w:val="24"/>
          <w:szCs w:val="24"/>
        </w:rPr>
        <w:t>Dev. Policy Rev</w:t>
      </w:r>
      <w:r>
        <w:rPr>
          <w:rFonts w:hint="default" w:ascii="Times New Roman" w:hAnsi="Times New Roman" w:eastAsia="SimSun" w:cs="Times New Roman"/>
          <w:b w:val="0"/>
          <w:bCs w:val="0"/>
          <w:color w:val="auto"/>
        </w:rPr>
        <w:t>.</w:t>
      </w:r>
      <w:r>
        <w:rPr>
          <w:rFonts w:eastAsia="SimSun"/>
          <w:color w:val="auto"/>
        </w:rPr>
        <w:t xml:space="preserve"> 2020;</w:t>
      </w:r>
      <w:r>
        <w:rPr>
          <w:rFonts w:hint="default" w:eastAsia="SimSun"/>
          <w:color w:val="auto"/>
          <w:lang w:val="en-US"/>
        </w:rPr>
        <w:t xml:space="preserve"> </w:t>
      </w:r>
      <w:r>
        <w:rPr>
          <w:rFonts w:eastAsia="SimSun"/>
          <w:color w:val="auto"/>
        </w:rPr>
        <w:t>38(6):685-709.</w:t>
      </w:r>
      <w:r>
        <w:rPr>
          <w:rFonts w:hint="default" w:eastAsia="SimSun"/>
          <w:color w:val="auto"/>
          <w:lang w:val="en-US"/>
        </w:rPr>
        <w:t xml:space="preserve"> </w:t>
      </w:r>
      <w:r>
        <w:rPr>
          <w:rFonts w:eastAsia="SimSun"/>
          <w:color w:val="auto"/>
        </w:rPr>
        <w:fldChar w:fldCharType="begin"/>
      </w:r>
      <w:r>
        <w:rPr>
          <w:rFonts w:eastAsia="SimSun"/>
          <w:color w:val="auto"/>
        </w:rPr>
        <w:instrText xml:space="preserve"> HYPERLINK "https://doi.org/10.1111/dpr.12491" </w:instrText>
      </w:r>
      <w:r>
        <w:rPr>
          <w:rFonts w:eastAsia="SimSun"/>
          <w:color w:val="auto"/>
        </w:rPr>
        <w:fldChar w:fldCharType="separate"/>
      </w:r>
      <w:r>
        <w:rPr>
          <w:rStyle w:val="4"/>
          <w:rFonts w:eastAsia="SimSun"/>
        </w:rPr>
        <w:t>https://doi.org/10.1111/dpr.12491</w:t>
      </w:r>
      <w:bookmarkEnd w:id="1"/>
      <w:r>
        <w:rPr>
          <w:rFonts w:eastAsia="SimSun"/>
          <w:color w:val="auto"/>
        </w:rPr>
        <w:fldChar w:fldCharType="end"/>
      </w:r>
    </w:p>
    <w:p w14:paraId="23FD9AD3">
      <w:pPr>
        <w:rPr>
          <w:rFonts w:hint="default"/>
          <w:lang w:val="en-US"/>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720A78"/>
    <w:multiLevelType w:val="multilevel"/>
    <w:tmpl w:val="6B720A78"/>
    <w:lvl w:ilvl="0" w:tentative="0">
      <w:start w:val="1"/>
      <w:numFmt w:val="decimal"/>
      <w:lvlText w:val="%1."/>
      <w:lvlJc w:val="left"/>
      <w:pPr>
        <w:ind w:left="720" w:hanging="360"/>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9CC"/>
    <w:rsid w:val="001C1DA8"/>
    <w:rsid w:val="007F49CC"/>
    <w:rsid w:val="00CB0F08"/>
    <w:rsid w:val="0EB803BD"/>
    <w:rsid w:val="5EC24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table" w:styleId="5">
    <w:name w:val="Table Grid"/>
    <w:basedOn w:val="3"/>
    <w:qFormat/>
    <w:uiPriority w:val="39"/>
    <w:pPr>
      <w:spacing w:after="0" w:line="240" w:lineRule="auto"/>
    </w:pPr>
    <w:rPr>
      <w:rFonts w:ascii="Times New Roman" w:hAnsi="Times New Roman" w:eastAsia="SimSu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Grid2"/>
    <w:basedOn w:val="3"/>
    <w:qFormat/>
    <w:uiPriority w:val="39"/>
    <w:pPr>
      <w:spacing w:after="0" w:line="240" w:lineRule="auto"/>
    </w:pPr>
    <w:rPr>
      <w:rFonts w:ascii="Times New Roman" w:hAnsi="Times New Roman" w:eastAsia="SimSu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465</Words>
  <Characters>2657</Characters>
  <Lines>22</Lines>
  <Paragraphs>6</Paragraphs>
  <TotalTime>1</TotalTime>
  <ScaleCrop>false</ScaleCrop>
  <LinksUpToDate>false</LinksUpToDate>
  <CharactersWithSpaces>3116</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2025-10-08T11:10:00Z</dcterms:created>
  <dc:creator>Hel Anthony Tinambacan</dc:creator>
  <cp:lastModifiedBy>User</cp:lastModifiedBy>
  <dcterms:modified xsi:type="dcterms:W3CDTF">2025-10-09T16:31:07Z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682526D93D5A4877BF8658DBDC4EF1FC_13</vt:lpwstr>
  </property>
</Properties>
</file>