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1849" w14:textId="2FCEC3F9" w:rsidR="001045C6" w:rsidRPr="00564A46" w:rsidRDefault="001045C6" w:rsidP="001045C6">
      <w:pPr>
        <w:rPr>
          <w:rFonts w:ascii="Arial" w:hAnsi="Arial" w:cs="Arial"/>
          <w:color w:val="000000" w:themeColor="text1"/>
          <w:sz w:val="40"/>
          <w:szCs w:val="40"/>
        </w:rPr>
      </w:pPr>
      <w:r w:rsidRPr="00564A46">
        <w:rPr>
          <w:rFonts w:ascii="Arial" w:hAnsi="Arial" w:cs="Arial"/>
          <w:color w:val="000000" w:themeColor="text1"/>
          <w:sz w:val="40"/>
          <w:szCs w:val="40"/>
        </w:rPr>
        <w:t xml:space="preserve">Selection of </w:t>
      </w:r>
      <w:r w:rsidRPr="00564A46">
        <w:rPr>
          <w:rFonts w:ascii="Arial" w:hAnsi="Arial" w:cs="Arial"/>
          <w:i/>
          <w:color w:val="000000" w:themeColor="text1"/>
          <w:sz w:val="40"/>
          <w:szCs w:val="40"/>
        </w:rPr>
        <w:t>in vivo</w:t>
      </w:r>
      <w:r w:rsidRPr="00564A46">
        <w:rPr>
          <w:rFonts w:ascii="Arial" w:hAnsi="Arial" w:cs="Arial"/>
          <w:color w:val="000000" w:themeColor="text1"/>
          <w:sz w:val="40"/>
          <w:szCs w:val="40"/>
        </w:rPr>
        <w:t xml:space="preserve"> predictive dissolution media using drug substance and physiological properties</w:t>
      </w:r>
    </w:p>
    <w:p w14:paraId="3B3B132C" w14:textId="7D69F1C7" w:rsidR="001045C6" w:rsidRPr="00564A46" w:rsidRDefault="004D73F9" w:rsidP="00963D35">
      <w:pPr>
        <w:widowControl w:val="0"/>
        <w:autoSpaceDE w:val="0"/>
        <w:autoSpaceDN w:val="0"/>
        <w:adjustRightInd w:val="0"/>
        <w:spacing w:after="240"/>
        <w:rPr>
          <w:rFonts w:asciiTheme="minorHAnsi" w:hAnsiTheme="minorHAnsi"/>
          <w:b/>
          <w:color w:val="000000" w:themeColor="text1"/>
          <w:sz w:val="32"/>
          <w:szCs w:val="32"/>
        </w:rPr>
      </w:pPr>
      <w:r w:rsidRPr="00564A46">
        <w:rPr>
          <w:rFonts w:asciiTheme="minorHAnsi" w:hAnsiTheme="minorHAnsi"/>
          <w:b/>
          <w:color w:val="000000" w:themeColor="text1"/>
          <w:sz w:val="32"/>
          <w:szCs w:val="32"/>
        </w:rPr>
        <w:t>Supplementary Materials</w:t>
      </w:r>
    </w:p>
    <w:p w14:paraId="752649BB" w14:textId="70904145" w:rsidR="00925DA2" w:rsidRPr="00564A46" w:rsidRDefault="00585D65" w:rsidP="005D704A">
      <w:pPr>
        <w:pStyle w:val="Heading2"/>
        <w:rPr>
          <w:color w:val="000000" w:themeColor="text1"/>
        </w:rPr>
      </w:pPr>
      <w:r w:rsidRPr="00564A46">
        <w:rPr>
          <w:color w:val="000000" w:themeColor="text1"/>
        </w:rPr>
        <w:t xml:space="preserve">Section 1. </w:t>
      </w:r>
      <w:r w:rsidR="00925DA2" w:rsidRPr="00564A46">
        <w:rPr>
          <w:color w:val="000000" w:themeColor="text1"/>
        </w:rPr>
        <w:t>Calculati</w:t>
      </w:r>
      <w:r w:rsidR="00A46F33" w:rsidRPr="00564A46">
        <w:rPr>
          <w:color w:val="000000" w:themeColor="text1"/>
        </w:rPr>
        <w:t xml:space="preserve">ng </w:t>
      </w:r>
      <w:r w:rsidR="00DA6875" w:rsidRPr="00564A46">
        <w:rPr>
          <w:color w:val="000000" w:themeColor="text1"/>
        </w:rPr>
        <w:t>Relative</w:t>
      </w:r>
      <w:r w:rsidR="00A46F33" w:rsidRPr="00564A46">
        <w:rPr>
          <w:color w:val="000000" w:themeColor="text1"/>
        </w:rPr>
        <w:t xml:space="preserve"> Sol</w:t>
      </w:r>
      <w:r w:rsidR="00925DA2" w:rsidRPr="00564A46">
        <w:rPr>
          <w:color w:val="000000" w:themeColor="text1"/>
        </w:rPr>
        <w:t>ubility</w:t>
      </w:r>
    </w:p>
    <w:p w14:paraId="2F26923F" w14:textId="73EBE21E" w:rsidR="00E24EDF" w:rsidRPr="00564A46" w:rsidRDefault="00925DA2" w:rsidP="00963D35">
      <w:pPr>
        <w:widowControl w:val="0"/>
        <w:autoSpaceDE w:val="0"/>
        <w:autoSpaceDN w:val="0"/>
        <w:adjustRightInd w:val="0"/>
        <w:spacing w:after="240"/>
        <w:rPr>
          <w:rFonts w:asciiTheme="minorHAnsi" w:hAnsiTheme="minorHAnsi"/>
          <w:color w:val="000000" w:themeColor="text1"/>
        </w:rPr>
      </w:pPr>
      <w:r w:rsidRPr="00564A46">
        <w:rPr>
          <w:rFonts w:asciiTheme="minorHAnsi" w:hAnsiTheme="minorHAnsi"/>
          <w:color w:val="000000" w:themeColor="text1"/>
        </w:rPr>
        <w:t xml:space="preserve">A useful parameter for comparing solubility values at pH values representative of different regions of the </w:t>
      </w:r>
      <w:r w:rsidR="00E24EDF" w:rsidRPr="00564A46">
        <w:rPr>
          <w:rFonts w:asciiTheme="minorHAnsi" w:hAnsiTheme="minorHAnsi"/>
          <w:color w:val="000000" w:themeColor="text1"/>
        </w:rPr>
        <w:t>gastrointestinal (</w:t>
      </w:r>
      <w:r w:rsidRPr="00564A46">
        <w:rPr>
          <w:rFonts w:asciiTheme="minorHAnsi" w:hAnsiTheme="minorHAnsi"/>
          <w:color w:val="000000" w:themeColor="text1"/>
        </w:rPr>
        <w:t>GI</w:t>
      </w:r>
      <w:r w:rsidR="00E24EDF" w:rsidRPr="00564A46">
        <w:rPr>
          <w:rFonts w:asciiTheme="minorHAnsi" w:hAnsiTheme="minorHAnsi"/>
          <w:color w:val="000000" w:themeColor="text1"/>
        </w:rPr>
        <w:t>)</w:t>
      </w:r>
      <w:r w:rsidRPr="00564A46">
        <w:rPr>
          <w:rFonts w:asciiTheme="minorHAnsi" w:hAnsiTheme="minorHAnsi"/>
          <w:color w:val="000000" w:themeColor="text1"/>
        </w:rPr>
        <w:t xml:space="preserve"> tract is the </w:t>
      </w:r>
      <w:r w:rsidR="00E24EDF" w:rsidRPr="00564A46">
        <w:rPr>
          <w:rFonts w:asciiTheme="minorHAnsi" w:hAnsiTheme="minorHAnsi"/>
          <w:color w:val="000000" w:themeColor="text1"/>
        </w:rPr>
        <w:t>“</w:t>
      </w:r>
      <w:r w:rsidR="00DA6875" w:rsidRPr="00564A46">
        <w:rPr>
          <w:rFonts w:asciiTheme="minorHAnsi" w:hAnsiTheme="minorHAnsi"/>
          <w:color w:val="000000" w:themeColor="text1"/>
        </w:rPr>
        <w:t>relative</w:t>
      </w:r>
      <w:r w:rsidRPr="00564A46">
        <w:rPr>
          <w:rFonts w:asciiTheme="minorHAnsi" w:hAnsiTheme="minorHAnsi"/>
          <w:color w:val="000000" w:themeColor="text1"/>
        </w:rPr>
        <w:t xml:space="preserve"> solubility</w:t>
      </w:r>
      <w:r w:rsidR="00DA6875" w:rsidRPr="00564A46">
        <w:rPr>
          <w:rFonts w:asciiTheme="minorHAnsi" w:hAnsiTheme="minorHAnsi"/>
          <w:color w:val="000000" w:themeColor="text1"/>
        </w:rPr>
        <w:t>”</w:t>
      </w:r>
      <w:r w:rsidRPr="00564A46">
        <w:rPr>
          <w:rFonts w:asciiTheme="minorHAnsi" w:hAnsiTheme="minorHAnsi"/>
          <w:color w:val="000000" w:themeColor="text1"/>
        </w:rPr>
        <w:t>, which is equal to the total</w:t>
      </w:r>
      <w:r w:rsidR="00493822" w:rsidRPr="00564A46">
        <w:rPr>
          <w:rFonts w:asciiTheme="minorHAnsi" w:hAnsiTheme="minorHAnsi"/>
          <w:color w:val="000000" w:themeColor="text1"/>
        </w:rPr>
        <w:t xml:space="preserve"> saturation</w:t>
      </w:r>
      <w:r w:rsidRPr="00564A46">
        <w:rPr>
          <w:rFonts w:asciiTheme="minorHAnsi" w:hAnsiTheme="minorHAnsi"/>
          <w:color w:val="000000" w:themeColor="text1"/>
        </w:rPr>
        <w:t xml:space="preserve"> solubility (</w:t>
      </w:r>
      <w:r w:rsidR="00493822" w:rsidRPr="00564A46">
        <w:rPr>
          <w:rFonts w:asciiTheme="minorHAnsi" w:hAnsiTheme="minorHAnsi"/>
          <w:color w:val="000000" w:themeColor="text1"/>
        </w:rPr>
        <w:t>C</w:t>
      </w:r>
      <w:r w:rsidR="00493822" w:rsidRPr="00564A46">
        <w:rPr>
          <w:rFonts w:asciiTheme="minorHAnsi" w:hAnsiTheme="minorHAnsi"/>
          <w:color w:val="000000" w:themeColor="text1"/>
          <w:vertAlign w:val="subscript"/>
        </w:rPr>
        <w:t>s</w:t>
      </w:r>
      <w:r w:rsidR="00E24EDF" w:rsidRPr="00564A46">
        <w:rPr>
          <w:rFonts w:asciiTheme="minorHAnsi" w:hAnsiTheme="minorHAnsi"/>
          <w:color w:val="000000" w:themeColor="text1"/>
        </w:rPr>
        <w:t xml:space="preserve">) </w:t>
      </w:r>
      <w:r w:rsidRPr="00564A46">
        <w:rPr>
          <w:rFonts w:asciiTheme="minorHAnsi" w:hAnsiTheme="minorHAnsi"/>
          <w:color w:val="000000" w:themeColor="text1"/>
        </w:rPr>
        <w:t>divided by the intrinsic solubility (</w:t>
      </w:r>
      <w:r w:rsidR="00493822" w:rsidRPr="00564A46">
        <w:rPr>
          <w:rFonts w:asciiTheme="minorHAnsi" w:hAnsiTheme="minorHAnsi"/>
          <w:color w:val="000000" w:themeColor="text1"/>
        </w:rPr>
        <w:t>S</w:t>
      </w:r>
      <w:r w:rsidR="00493822" w:rsidRPr="00564A46">
        <w:rPr>
          <w:rFonts w:asciiTheme="minorHAnsi" w:hAnsiTheme="minorHAnsi"/>
          <w:color w:val="000000" w:themeColor="text1"/>
          <w:vertAlign w:val="subscript"/>
        </w:rPr>
        <w:t>o</w:t>
      </w:r>
      <w:r w:rsidR="00E24EDF" w:rsidRPr="00564A46">
        <w:rPr>
          <w:rFonts w:asciiTheme="minorHAnsi" w:hAnsiTheme="minorHAnsi"/>
          <w:color w:val="000000" w:themeColor="text1"/>
        </w:rPr>
        <w:t xml:space="preserve">). Here, </w:t>
      </w:r>
      <w:r w:rsidR="00493822" w:rsidRPr="00564A46">
        <w:rPr>
          <w:rFonts w:asciiTheme="minorHAnsi" w:hAnsiTheme="minorHAnsi"/>
          <w:color w:val="000000" w:themeColor="text1"/>
        </w:rPr>
        <w:t>C</w:t>
      </w:r>
      <w:r w:rsidR="00493822" w:rsidRPr="00564A46">
        <w:rPr>
          <w:rFonts w:asciiTheme="minorHAnsi" w:hAnsiTheme="minorHAnsi"/>
          <w:color w:val="000000" w:themeColor="text1"/>
          <w:vertAlign w:val="subscript"/>
        </w:rPr>
        <w:t>s</w:t>
      </w:r>
      <w:r w:rsidRPr="00564A46">
        <w:rPr>
          <w:rFonts w:asciiTheme="minorHAnsi" w:hAnsiTheme="minorHAnsi"/>
          <w:color w:val="000000" w:themeColor="text1"/>
        </w:rPr>
        <w:t xml:space="preserve"> </w:t>
      </w:r>
      <w:r w:rsidR="00E24EDF" w:rsidRPr="00564A46">
        <w:rPr>
          <w:rFonts w:asciiTheme="minorHAnsi" w:hAnsiTheme="minorHAnsi"/>
          <w:color w:val="000000" w:themeColor="text1"/>
        </w:rPr>
        <w:t>equals the solubility of ionized and nonionized drug forms and S</w:t>
      </w:r>
      <w:r w:rsidR="00493822" w:rsidRPr="00564A46">
        <w:rPr>
          <w:rFonts w:asciiTheme="minorHAnsi" w:hAnsiTheme="minorHAnsi"/>
          <w:color w:val="000000" w:themeColor="text1"/>
          <w:vertAlign w:val="subscript"/>
        </w:rPr>
        <w:t>o</w:t>
      </w:r>
      <w:r w:rsidR="00E24EDF" w:rsidRPr="00564A46">
        <w:rPr>
          <w:rFonts w:asciiTheme="minorHAnsi" w:hAnsiTheme="minorHAnsi"/>
          <w:color w:val="000000" w:themeColor="text1"/>
          <w:vertAlign w:val="subscript"/>
        </w:rPr>
        <w:t xml:space="preserve"> </w:t>
      </w:r>
      <w:r w:rsidR="00E24EDF" w:rsidRPr="00564A46">
        <w:rPr>
          <w:rFonts w:asciiTheme="minorHAnsi" w:hAnsiTheme="minorHAnsi"/>
          <w:color w:val="000000" w:themeColor="text1"/>
        </w:rPr>
        <w:t xml:space="preserve">equals the </w:t>
      </w:r>
      <w:r w:rsidRPr="00564A46">
        <w:rPr>
          <w:rFonts w:asciiTheme="minorHAnsi" w:hAnsiTheme="minorHAnsi"/>
          <w:color w:val="000000" w:themeColor="text1"/>
        </w:rPr>
        <w:t xml:space="preserve">solubility of </w:t>
      </w:r>
      <w:r w:rsidR="00BB2DE8" w:rsidRPr="00564A46">
        <w:rPr>
          <w:rFonts w:asciiTheme="minorHAnsi" w:hAnsiTheme="minorHAnsi"/>
          <w:color w:val="000000" w:themeColor="text1"/>
        </w:rPr>
        <w:t>the nonionized</w:t>
      </w:r>
      <w:r w:rsidRPr="00564A46">
        <w:rPr>
          <w:rFonts w:asciiTheme="minorHAnsi" w:hAnsiTheme="minorHAnsi"/>
          <w:color w:val="000000" w:themeColor="text1"/>
        </w:rPr>
        <w:t xml:space="preserve"> </w:t>
      </w:r>
      <w:r w:rsidR="00E24EDF" w:rsidRPr="00564A46">
        <w:rPr>
          <w:rFonts w:asciiTheme="minorHAnsi" w:hAnsiTheme="minorHAnsi"/>
          <w:color w:val="000000" w:themeColor="text1"/>
        </w:rPr>
        <w:t xml:space="preserve">drug </w:t>
      </w:r>
      <w:r w:rsidRPr="00564A46">
        <w:rPr>
          <w:rFonts w:asciiTheme="minorHAnsi" w:hAnsiTheme="minorHAnsi"/>
          <w:color w:val="000000" w:themeColor="text1"/>
        </w:rPr>
        <w:t xml:space="preserve">form. </w:t>
      </w:r>
      <w:r w:rsidR="000037AA" w:rsidRPr="00564A46">
        <w:rPr>
          <w:rFonts w:asciiTheme="minorHAnsi" w:hAnsiTheme="minorHAnsi"/>
          <w:color w:val="000000" w:themeColor="text1"/>
        </w:rPr>
        <w:t xml:space="preserve">The </w:t>
      </w:r>
      <w:r w:rsidR="00DA6875" w:rsidRPr="00564A46">
        <w:rPr>
          <w:rFonts w:asciiTheme="minorHAnsi" w:hAnsiTheme="minorHAnsi"/>
          <w:color w:val="000000" w:themeColor="text1"/>
        </w:rPr>
        <w:t>relative solubility</w:t>
      </w:r>
      <w:r w:rsidRPr="00564A46">
        <w:rPr>
          <w:rFonts w:asciiTheme="minorHAnsi" w:hAnsiTheme="minorHAnsi"/>
          <w:color w:val="000000" w:themeColor="text1"/>
        </w:rPr>
        <w:t xml:space="preserve"> can be </w:t>
      </w:r>
      <w:r w:rsidR="00071EBD" w:rsidRPr="00564A46">
        <w:rPr>
          <w:rFonts w:asciiTheme="minorHAnsi" w:hAnsiTheme="minorHAnsi"/>
          <w:color w:val="000000" w:themeColor="text1"/>
        </w:rPr>
        <w:t>calculated</w:t>
      </w:r>
      <w:r w:rsidRPr="00564A46">
        <w:rPr>
          <w:rFonts w:asciiTheme="minorHAnsi" w:hAnsiTheme="minorHAnsi"/>
          <w:color w:val="000000" w:themeColor="text1"/>
        </w:rPr>
        <w:t xml:space="preserve"> as a function of the fluid pH and </w:t>
      </w:r>
      <w:r w:rsidR="00A46F33" w:rsidRPr="00564A46">
        <w:rPr>
          <w:rFonts w:asciiTheme="minorHAnsi" w:hAnsiTheme="minorHAnsi"/>
          <w:color w:val="000000" w:themeColor="text1"/>
        </w:rPr>
        <w:t>the negative log of the acid dissociation constant (</w:t>
      </w:r>
      <w:r w:rsidRPr="00564A46">
        <w:rPr>
          <w:rFonts w:asciiTheme="minorHAnsi" w:hAnsiTheme="minorHAnsi"/>
          <w:color w:val="000000" w:themeColor="text1"/>
        </w:rPr>
        <w:t>pK</w:t>
      </w:r>
      <w:r w:rsidRPr="00564A46">
        <w:rPr>
          <w:rFonts w:asciiTheme="minorHAnsi" w:hAnsiTheme="minorHAnsi"/>
          <w:color w:val="000000" w:themeColor="text1"/>
          <w:vertAlign w:val="subscript"/>
        </w:rPr>
        <w:t>a</w:t>
      </w:r>
      <w:r w:rsidR="00A46F33" w:rsidRPr="00564A46">
        <w:rPr>
          <w:rFonts w:asciiTheme="minorHAnsi" w:hAnsiTheme="minorHAnsi"/>
          <w:color w:val="000000" w:themeColor="text1"/>
        </w:rPr>
        <w:t>)</w:t>
      </w:r>
      <w:r w:rsidRPr="00564A46">
        <w:rPr>
          <w:rFonts w:asciiTheme="minorHAnsi" w:hAnsiTheme="minorHAnsi"/>
          <w:color w:val="000000" w:themeColor="text1"/>
        </w:rPr>
        <w:t xml:space="preserve"> </w:t>
      </w:r>
      <w:r w:rsidR="00A46F33" w:rsidRPr="00564A46">
        <w:rPr>
          <w:rFonts w:asciiTheme="minorHAnsi" w:hAnsiTheme="minorHAnsi"/>
          <w:color w:val="000000" w:themeColor="text1"/>
        </w:rPr>
        <w:t xml:space="preserve">for the drug </w:t>
      </w:r>
      <w:r w:rsidR="00356EA8" w:rsidRPr="00564A46">
        <w:rPr>
          <w:rFonts w:asciiTheme="minorHAnsi" w:hAnsiTheme="minorHAnsi"/>
          <w:color w:val="000000" w:themeColor="text1"/>
        </w:rPr>
        <w:t xml:space="preserve">for </w:t>
      </w:r>
      <w:r w:rsidR="00E24EDF" w:rsidRPr="00564A46">
        <w:rPr>
          <w:rFonts w:asciiTheme="minorHAnsi" w:hAnsiTheme="minorHAnsi"/>
          <w:color w:val="000000" w:themeColor="text1"/>
        </w:rPr>
        <w:t>monoprotic</w:t>
      </w:r>
      <w:r w:rsidR="00356EA8" w:rsidRPr="00564A46">
        <w:rPr>
          <w:rFonts w:asciiTheme="minorHAnsi" w:hAnsiTheme="minorHAnsi"/>
          <w:color w:val="000000" w:themeColor="text1"/>
        </w:rPr>
        <w:t xml:space="preserve"> compounds</w:t>
      </w:r>
      <w:r w:rsidR="00071EBD" w:rsidRPr="00564A46">
        <w:rPr>
          <w:rFonts w:asciiTheme="minorHAnsi" w:hAnsiTheme="minorHAnsi"/>
          <w:color w:val="000000" w:themeColor="text1"/>
        </w:rPr>
        <w:t xml:space="preserve"> </w:t>
      </w:r>
      <w:r w:rsidR="00CE5511"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&lt;EndNote&gt;&lt;Cite&gt;&lt;Author&gt;Sinko&lt;/Author&gt;&lt;Year&gt;2006&lt;/Year&gt;&lt;RecNum&gt;20&lt;/RecNum&gt;&lt;DisplayText&gt;(1)&lt;/DisplayText&gt;&lt;record&gt;&lt;rec-number&gt;20&lt;/rec-number&gt;&lt;foreign-keys&gt;&lt;key app="EN" db-id="52efdz5r9vzeslea22r59s5l2tzpwpp90vpa" timestamp="1576019919"&gt;20&lt;/key&gt;&lt;/foreign-keys&gt;&lt;ref-type name="Book"&gt;6&lt;/ref-type&gt;&lt;contributors&gt;&lt;authors&gt;&lt;author&gt;Sinko, Patrick J.&lt;/author&gt;&lt;author&gt;Martin, Alfred N.&lt;/author&gt;&lt;/authors&gt;&lt;/contributors&gt;&lt;titles&gt;&lt;title&gt;Martin&amp;apos;s physical pharmacy and pharmaceutical sciences : physical chemical and biopharmaceutical principles in the pharmaceutical sciences&lt;/title&gt;&lt;/titles&gt;&lt;dates&gt;&lt;year&gt;2006&lt;/year&gt;&lt;/dates&gt;&lt;pub-location&gt;Philadelphia&lt;/pub-location&gt;&lt;publisher&gt;Lippincott Williams &amp;amp; Wilkins&lt;/publisher&gt;&lt;isbn&gt;078175027X 9780781750271&lt;/isbn&gt;&lt;urls&gt;&lt;/urls&gt;&lt;remote-database-name&gt;/z-wcorg/&lt;/remote-database-name&gt;&lt;remote-database-provider&gt;http://worldcat.org&lt;/remote-database-provider&gt;&lt;language&gt;English&lt;/language&gt;&lt;/record&gt;&lt;/Cite&gt;&lt;/EndNote&gt;</w:instrText>
      </w:r>
      <w:r w:rsidR="00CE5511"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(1)</w:t>
      </w:r>
      <w:r w:rsidR="00CE5511" w:rsidRPr="00564A46">
        <w:rPr>
          <w:rFonts w:asciiTheme="minorHAnsi" w:hAnsiTheme="minorHAnsi"/>
          <w:color w:val="000000" w:themeColor="text1"/>
        </w:rPr>
        <w:fldChar w:fldCharType="end"/>
      </w:r>
      <w:r w:rsidR="00071EBD" w:rsidRPr="00564A46">
        <w:rPr>
          <w:rFonts w:asciiTheme="minorHAnsi" w:hAnsiTheme="minorHAnsi"/>
          <w:color w:val="000000" w:themeColor="text1"/>
        </w:rPr>
        <w:t xml:space="preserve">. See </w:t>
      </w:r>
      <w:r w:rsidR="00356EA8" w:rsidRPr="00564A46">
        <w:rPr>
          <w:rFonts w:asciiTheme="minorHAnsi" w:hAnsiTheme="minorHAnsi"/>
          <w:b/>
          <w:color w:val="000000" w:themeColor="text1"/>
        </w:rPr>
        <w:t>Eq</w:t>
      </w:r>
      <w:r w:rsidR="00E24EDF" w:rsidRPr="00564A46">
        <w:rPr>
          <w:rFonts w:asciiTheme="minorHAnsi" w:hAnsiTheme="minorHAnsi"/>
          <w:b/>
          <w:color w:val="000000" w:themeColor="text1"/>
        </w:rPr>
        <w:t>uation</w:t>
      </w:r>
      <w:r w:rsidR="00356EA8" w:rsidRPr="00564A46">
        <w:rPr>
          <w:rFonts w:asciiTheme="minorHAnsi" w:hAnsiTheme="minorHAnsi"/>
          <w:b/>
          <w:color w:val="000000" w:themeColor="text1"/>
        </w:rPr>
        <w:t xml:space="preserve"> S1a</w:t>
      </w:r>
      <w:r w:rsidR="00356EA8" w:rsidRPr="00564A46">
        <w:rPr>
          <w:rFonts w:asciiTheme="minorHAnsi" w:hAnsiTheme="minorHAnsi"/>
          <w:color w:val="000000" w:themeColor="text1"/>
        </w:rPr>
        <w:t xml:space="preserve"> for a </w:t>
      </w:r>
      <w:r w:rsidR="00E24EDF" w:rsidRPr="00564A46">
        <w:rPr>
          <w:rFonts w:asciiTheme="minorHAnsi" w:hAnsiTheme="minorHAnsi"/>
          <w:color w:val="000000" w:themeColor="text1"/>
        </w:rPr>
        <w:t>monoprotic</w:t>
      </w:r>
      <w:r w:rsidR="00356EA8" w:rsidRPr="00564A46">
        <w:rPr>
          <w:rFonts w:asciiTheme="minorHAnsi" w:hAnsiTheme="minorHAnsi"/>
          <w:color w:val="000000" w:themeColor="text1"/>
        </w:rPr>
        <w:t xml:space="preserve"> weak acid and </w:t>
      </w:r>
      <w:r w:rsidR="00356EA8" w:rsidRPr="00564A46">
        <w:rPr>
          <w:rFonts w:asciiTheme="minorHAnsi" w:hAnsiTheme="minorHAnsi"/>
          <w:b/>
          <w:color w:val="000000" w:themeColor="text1"/>
        </w:rPr>
        <w:t>Eq</w:t>
      </w:r>
      <w:r w:rsidR="00E24EDF" w:rsidRPr="00564A46">
        <w:rPr>
          <w:rFonts w:asciiTheme="minorHAnsi" w:hAnsiTheme="minorHAnsi"/>
          <w:b/>
          <w:color w:val="000000" w:themeColor="text1"/>
        </w:rPr>
        <w:t>uation</w:t>
      </w:r>
      <w:r w:rsidR="00356EA8" w:rsidRPr="00564A46">
        <w:rPr>
          <w:rFonts w:asciiTheme="minorHAnsi" w:hAnsiTheme="minorHAnsi"/>
          <w:b/>
          <w:color w:val="000000" w:themeColor="text1"/>
        </w:rPr>
        <w:t xml:space="preserve"> S1b</w:t>
      </w:r>
      <w:r w:rsidR="00356EA8" w:rsidRPr="00564A46">
        <w:rPr>
          <w:rFonts w:asciiTheme="minorHAnsi" w:hAnsiTheme="minorHAnsi"/>
          <w:color w:val="000000" w:themeColor="text1"/>
        </w:rPr>
        <w:t xml:space="preserve"> for a </w:t>
      </w:r>
      <w:r w:rsidR="00E24EDF" w:rsidRPr="00564A46">
        <w:rPr>
          <w:rFonts w:asciiTheme="minorHAnsi" w:hAnsiTheme="minorHAnsi"/>
          <w:color w:val="000000" w:themeColor="text1"/>
        </w:rPr>
        <w:t>monoprotic</w:t>
      </w:r>
      <w:r w:rsidR="00356EA8" w:rsidRPr="00564A46">
        <w:rPr>
          <w:rFonts w:asciiTheme="minorHAnsi" w:hAnsiTheme="minorHAnsi"/>
          <w:color w:val="000000" w:themeColor="text1"/>
        </w:rPr>
        <w:t xml:space="preserve"> weak base</w:t>
      </w:r>
      <w:r w:rsidR="00071EBD" w:rsidRPr="00564A46">
        <w:rPr>
          <w:rFonts w:asciiTheme="minorHAnsi" w:hAnsiTheme="minorHAnsi"/>
          <w:color w:val="000000" w:themeColor="text1"/>
        </w:rPr>
        <w:t>.</w:t>
      </w:r>
    </w:p>
    <w:p w14:paraId="79B5AE20" w14:textId="0E12C092" w:rsidR="00E24EDF" w:rsidRPr="00564A46" w:rsidRDefault="006C4452" w:rsidP="00963D35">
      <w:pPr>
        <w:tabs>
          <w:tab w:val="right" w:pos="9360"/>
        </w:tabs>
        <w:spacing w:after="240"/>
        <w:rPr>
          <w:rFonts w:asciiTheme="minorHAnsi" w:eastAsiaTheme="minorEastAsia" w:hAnsiTheme="minorHAnsi"/>
          <w:color w:val="000000" w:themeColor="text1"/>
        </w:rPr>
      </w:pPr>
      <m:oMath>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C</m:t>
                </m:r>
              </m:e>
              <m:sub>
                <m:r>
                  <w:rPr>
                    <w:rFonts w:ascii="Cambria Math" w:eastAsiaTheme="minorEastAsia" w:hAnsi="Cambria Math"/>
                    <w:color w:val="000000" w:themeColor="text1"/>
                  </w:rPr>
                  <m:t>s</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0</m:t>
                </m:r>
              </m:sub>
            </m:sSub>
          </m:den>
        </m:f>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10</m:t>
                </m:r>
              </m:e>
              <m:sup>
                <m:d>
                  <m:dPr>
                    <m:ctrlPr>
                      <w:rPr>
                        <w:rFonts w:ascii="Cambria Math" w:eastAsiaTheme="minorEastAsia" w:hAnsi="Cambria Math"/>
                        <w:i/>
                        <w:color w:val="000000" w:themeColor="text1"/>
                      </w:rPr>
                    </m:ctrlPr>
                  </m:dPr>
                  <m:e>
                    <m:r>
                      <w:rPr>
                        <w:rFonts w:ascii="Cambria Math" w:eastAsiaTheme="minorEastAsia" w:hAnsi="Cambria Math"/>
                        <w:color w:val="000000" w:themeColor="text1"/>
                      </w:rPr>
                      <m:t>pH-p</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a</m:t>
                        </m:r>
                      </m:sub>
                    </m:sSub>
                  </m:e>
                </m:d>
              </m:sup>
            </m:sSup>
          </m:e>
        </m:d>
      </m:oMath>
      <w:r w:rsidR="00E24EDF" w:rsidRPr="00564A46">
        <w:rPr>
          <w:rFonts w:asciiTheme="minorHAnsi" w:eastAsiaTheme="minorEastAsia" w:hAnsiTheme="minorHAnsi"/>
          <w:color w:val="000000" w:themeColor="text1"/>
        </w:rPr>
        <w:t xml:space="preserve"> </w:t>
      </w:r>
      <w:r w:rsidR="00E24EDF" w:rsidRPr="00564A46">
        <w:rPr>
          <w:rFonts w:asciiTheme="minorHAnsi" w:eastAsiaTheme="minorEastAsia" w:hAnsiTheme="minorHAnsi"/>
          <w:color w:val="000000" w:themeColor="text1"/>
        </w:rPr>
        <w:tab/>
      </w:r>
      <w:r w:rsidR="00A46F33" w:rsidRPr="00564A46">
        <w:rPr>
          <w:rFonts w:asciiTheme="minorHAnsi" w:hAnsiTheme="minorHAnsi"/>
          <w:b/>
          <w:color w:val="000000" w:themeColor="text1"/>
        </w:rPr>
        <w:t>(</w:t>
      </w:r>
      <w:r w:rsidR="00E24EDF" w:rsidRPr="00564A46">
        <w:rPr>
          <w:rFonts w:asciiTheme="minorHAnsi" w:hAnsiTheme="minorHAnsi"/>
          <w:b/>
          <w:color w:val="000000" w:themeColor="text1"/>
        </w:rPr>
        <w:t>S1a</w:t>
      </w:r>
      <w:r w:rsidR="00A46F33" w:rsidRPr="00564A46">
        <w:rPr>
          <w:rFonts w:asciiTheme="minorHAnsi" w:hAnsiTheme="minorHAnsi"/>
          <w:b/>
          <w:color w:val="000000" w:themeColor="text1"/>
        </w:rPr>
        <w:t>)</w:t>
      </w:r>
    </w:p>
    <w:p w14:paraId="49E608DF" w14:textId="77777777" w:rsidR="00E24EDF" w:rsidRPr="00564A46" w:rsidRDefault="00E24EDF" w:rsidP="00963D35">
      <w:pPr>
        <w:tabs>
          <w:tab w:val="right" w:pos="9360"/>
        </w:tabs>
        <w:spacing w:after="240"/>
        <w:rPr>
          <w:rFonts w:asciiTheme="minorHAnsi" w:eastAsiaTheme="minorEastAsia" w:hAnsiTheme="minorHAnsi"/>
          <w:color w:val="000000" w:themeColor="text1"/>
        </w:rPr>
      </w:pPr>
      <w:r w:rsidRPr="00564A46">
        <w:rPr>
          <w:rFonts w:asciiTheme="minorHAnsi" w:eastAsiaTheme="minorEastAsia" w:hAnsiTheme="minorHAnsi"/>
          <w:color w:val="000000" w:themeColor="text1"/>
        </w:rPr>
        <w:t>and</w:t>
      </w:r>
    </w:p>
    <w:p w14:paraId="18EF279C" w14:textId="3B946F79" w:rsidR="00E24EDF" w:rsidRPr="00564A46" w:rsidRDefault="006C4452" w:rsidP="00963D35">
      <w:pPr>
        <w:tabs>
          <w:tab w:val="right" w:pos="9360"/>
        </w:tabs>
        <w:spacing w:after="240"/>
        <w:rPr>
          <w:rFonts w:asciiTheme="minorHAnsi" w:hAnsiTheme="minorHAnsi"/>
          <w:color w:val="000000" w:themeColor="text1"/>
        </w:rPr>
      </w:pPr>
      <m:oMath>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C</m:t>
                </m:r>
              </m:e>
              <m:sub>
                <m:r>
                  <w:rPr>
                    <w:rFonts w:ascii="Cambria Math" w:eastAsiaTheme="minorEastAsia" w:hAnsi="Cambria Math"/>
                    <w:color w:val="000000" w:themeColor="text1"/>
                  </w:rPr>
                  <m:t>s</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0</m:t>
                </m:r>
              </m:sub>
            </m:sSub>
          </m:den>
        </m:f>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10</m:t>
                </m:r>
              </m:e>
              <m:sup>
                <m:d>
                  <m:dPr>
                    <m:ctrlPr>
                      <w:rPr>
                        <w:rFonts w:ascii="Cambria Math" w:eastAsiaTheme="minorEastAsia" w:hAnsi="Cambria Math"/>
                        <w:i/>
                        <w:color w:val="000000" w:themeColor="text1"/>
                      </w:rPr>
                    </m:ctrlPr>
                  </m:dPr>
                  <m:e>
                    <m:r>
                      <w:rPr>
                        <w:rFonts w:ascii="Cambria Math" w:eastAsiaTheme="minorEastAsia" w:hAnsi="Cambria Math"/>
                        <w:color w:val="000000" w:themeColor="text1"/>
                      </w:rPr>
                      <m:t>p</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a</m:t>
                        </m:r>
                      </m:sub>
                    </m:sSub>
                    <m:r>
                      <w:rPr>
                        <w:rFonts w:ascii="Cambria Math" w:eastAsiaTheme="minorEastAsia" w:hAnsi="Cambria Math"/>
                        <w:color w:val="000000" w:themeColor="text1"/>
                      </w:rPr>
                      <m:t>-pH</m:t>
                    </m:r>
                  </m:e>
                </m:d>
              </m:sup>
            </m:sSup>
          </m:e>
        </m:d>
        <m:r>
          <w:rPr>
            <w:rFonts w:ascii="Cambria Math" w:eastAsiaTheme="minorEastAsia" w:hAnsi="Cambria Math"/>
            <w:color w:val="000000" w:themeColor="text1"/>
          </w:rPr>
          <m:t xml:space="preserve">. </m:t>
        </m:r>
      </m:oMath>
      <w:r w:rsidR="00E24EDF" w:rsidRPr="00564A46">
        <w:rPr>
          <w:rFonts w:asciiTheme="minorHAnsi" w:hAnsiTheme="minorHAnsi"/>
          <w:color w:val="000000" w:themeColor="text1"/>
        </w:rPr>
        <w:tab/>
      </w:r>
      <w:r w:rsidR="00A46F33" w:rsidRPr="00564A46">
        <w:rPr>
          <w:rFonts w:asciiTheme="minorHAnsi" w:hAnsiTheme="minorHAnsi"/>
          <w:b/>
          <w:bCs/>
          <w:color w:val="000000" w:themeColor="text1"/>
        </w:rPr>
        <w:t>(S1b)</w:t>
      </w:r>
    </w:p>
    <w:p w14:paraId="57BD9FF0" w14:textId="447030D3" w:rsidR="00E94B01" w:rsidRPr="00564A46" w:rsidRDefault="00356EA8" w:rsidP="00963D35">
      <w:pPr>
        <w:widowControl w:val="0"/>
        <w:autoSpaceDE w:val="0"/>
        <w:autoSpaceDN w:val="0"/>
        <w:adjustRightInd w:val="0"/>
        <w:spacing w:after="240"/>
        <w:rPr>
          <w:rFonts w:asciiTheme="minorHAnsi" w:hAnsiTheme="minorHAnsi"/>
          <w:color w:val="000000" w:themeColor="text1"/>
        </w:rPr>
      </w:pPr>
      <w:r w:rsidRPr="00564A46">
        <w:rPr>
          <w:rFonts w:asciiTheme="minorHAnsi" w:hAnsiTheme="minorHAnsi"/>
          <w:b/>
          <w:color w:val="000000" w:themeColor="text1"/>
        </w:rPr>
        <w:t>Figure</w:t>
      </w:r>
      <w:r w:rsidR="00A46F33" w:rsidRPr="00564A46">
        <w:rPr>
          <w:rFonts w:asciiTheme="minorHAnsi" w:hAnsiTheme="minorHAnsi"/>
          <w:b/>
          <w:color w:val="000000" w:themeColor="text1"/>
        </w:rPr>
        <w:t>s</w:t>
      </w:r>
      <w:r w:rsidRPr="00564A46">
        <w:rPr>
          <w:rFonts w:asciiTheme="minorHAnsi" w:hAnsiTheme="minorHAnsi"/>
          <w:b/>
          <w:color w:val="000000" w:themeColor="text1"/>
        </w:rPr>
        <w:t xml:space="preserve"> </w:t>
      </w:r>
      <w:r w:rsidR="0084683D" w:rsidRPr="00564A46">
        <w:rPr>
          <w:rFonts w:asciiTheme="minorHAnsi" w:hAnsiTheme="minorHAnsi"/>
          <w:b/>
          <w:color w:val="000000" w:themeColor="text1"/>
        </w:rPr>
        <w:t xml:space="preserve">S1 </w:t>
      </w:r>
      <w:r w:rsidR="00A46F33" w:rsidRPr="00564A46">
        <w:rPr>
          <w:rFonts w:asciiTheme="minorHAnsi" w:hAnsiTheme="minorHAnsi"/>
          <w:color w:val="000000" w:themeColor="text1"/>
        </w:rPr>
        <w:t>show</w:t>
      </w:r>
      <w:r w:rsidR="0084683D" w:rsidRPr="00564A46">
        <w:rPr>
          <w:rFonts w:asciiTheme="minorHAnsi" w:hAnsiTheme="minorHAnsi"/>
          <w:color w:val="000000" w:themeColor="text1"/>
        </w:rPr>
        <w:t>s</w:t>
      </w:r>
      <w:r w:rsidR="00A46F33" w:rsidRPr="00564A46">
        <w:rPr>
          <w:rFonts w:asciiTheme="minorHAnsi" w:hAnsiTheme="minorHAnsi"/>
          <w:color w:val="000000" w:themeColor="text1"/>
        </w:rPr>
        <w:t xml:space="preserve"> the </w:t>
      </w:r>
      <w:r w:rsidR="00CD2456" w:rsidRPr="00564A46">
        <w:rPr>
          <w:rFonts w:asciiTheme="minorHAnsi" w:hAnsiTheme="minorHAnsi"/>
          <w:color w:val="000000" w:themeColor="text1"/>
        </w:rPr>
        <w:t>calculated</w:t>
      </w:r>
      <w:r w:rsidR="00E94B01" w:rsidRPr="00564A46">
        <w:rPr>
          <w:rFonts w:asciiTheme="minorHAnsi" w:hAnsiTheme="minorHAnsi"/>
          <w:color w:val="000000" w:themeColor="text1"/>
        </w:rPr>
        <w:t xml:space="preserve"> </w:t>
      </w:r>
      <w:r w:rsidR="00DA6875" w:rsidRPr="00564A46">
        <w:rPr>
          <w:rFonts w:asciiTheme="minorHAnsi" w:hAnsiTheme="minorHAnsi"/>
          <w:color w:val="000000" w:themeColor="text1"/>
        </w:rPr>
        <w:t>relative</w:t>
      </w:r>
      <w:r w:rsidR="00E94B01" w:rsidRPr="00564A46">
        <w:rPr>
          <w:rFonts w:asciiTheme="minorHAnsi" w:hAnsiTheme="minorHAnsi"/>
          <w:color w:val="000000" w:themeColor="text1"/>
        </w:rPr>
        <w:t xml:space="preserve"> solubilit</w:t>
      </w:r>
      <w:r w:rsidR="0056324A" w:rsidRPr="00564A46">
        <w:rPr>
          <w:rFonts w:asciiTheme="minorHAnsi" w:hAnsiTheme="minorHAnsi"/>
          <w:color w:val="000000" w:themeColor="text1"/>
        </w:rPr>
        <w:t>ies</w:t>
      </w:r>
      <w:r w:rsidR="00E94B01" w:rsidRPr="00564A46">
        <w:rPr>
          <w:rFonts w:asciiTheme="minorHAnsi" w:hAnsiTheme="minorHAnsi"/>
          <w:color w:val="000000" w:themeColor="text1"/>
        </w:rPr>
        <w:t xml:space="preserve"> for </w:t>
      </w:r>
      <w:r w:rsidR="0056324A" w:rsidRPr="00564A46">
        <w:rPr>
          <w:rFonts w:asciiTheme="minorHAnsi" w:hAnsiTheme="minorHAnsi"/>
          <w:color w:val="000000" w:themeColor="text1"/>
        </w:rPr>
        <w:t xml:space="preserve">monoprotic weak </w:t>
      </w:r>
      <w:r w:rsidR="00E94B01" w:rsidRPr="00564A46">
        <w:rPr>
          <w:rFonts w:asciiTheme="minorHAnsi" w:hAnsiTheme="minorHAnsi"/>
          <w:color w:val="000000" w:themeColor="text1"/>
        </w:rPr>
        <w:t>acids and bases</w:t>
      </w:r>
      <w:r w:rsidR="00A46F33" w:rsidRPr="00564A46">
        <w:rPr>
          <w:rFonts w:asciiTheme="minorHAnsi" w:hAnsiTheme="minorHAnsi"/>
          <w:color w:val="000000" w:themeColor="text1"/>
        </w:rPr>
        <w:t xml:space="preserve"> </w:t>
      </w:r>
      <w:r w:rsidR="0056324A" w:rsidRPr="00564A46">
        <w:rPr>
          <w:rFonts w:asciiTheme="minorHAnsi" w:hAnsiTheme="minorHAnsi"/>
          <w:color w:val="000000" w:themeColor="text1"/>
        </w:rPr>
        <w:t>as a function of</w:t>
      </w:r>
      <w:r w:rsidR="00E94B01" w:rsidRPr="00564A46">
        <w:rPr>
          <w:rFonts w:asciiTheme="minorHAnsi" w:hAnsiTheme="minorHAnsi"/>
          <w:color w:val="000000" w:themeColor="text1"/>
        </w:rPr>
        <w:t xml:space="preserve"> pK</w:t>
      </w:r>
      <w:r w:rsidR="00E94B01" w:rsidRPr="00564A46">
        <w:rPr>
          <w:rFonts w:asciiTheme="minorHAnsi" w:hAnsiTheme="minorHAnsi"/>
          <w:color w:val="000000" w:themeColor="text1"/>
          <w:vertAlign w:val="subscript"/>
        </w:rPr>
        <w:t>a</w:t>
      </w:r>
      <w:r w:rsidR="0056324A" w:rsidRPr="00564A46">
        <w:rPr>
          <w:rFonts w:asciiTheme="minorHAnsi" w:hAnsiTheme="minorHAnsi"/>
          <w:color w:val="000000" w:themeColor="text1"/>
        </w:rPr>
        <w:t xml:space="preserve"> and pH according to </w:t>
      </w:r>
      <w:r w:rsidR="0056324A" w:rsidRPr="00564A46">
        <w:rPr>
          <w:rFonts w:asciiTheme="minorHAnsi" w:hAnsiTheme="minorHAnsi"/>
          <w:b/>
          <w:color w:val="000000" w:themeColor="text1"/>
        </w:rPr>
        <w:t>Equation S1a</w:t>
      </w:r>
      <w:r w:rsidR="0056324A" w:rsidRPr="00564A46">
        <w:rPr>
          <w:rFonts w:asciiTheme="minorHAnsi" w:hAnsiTheme="minorHAnsi"/>
          <w:color w:val="000000" w:themeColor="text1"/>
        </w:rPr>
        <w:t xml:space="preserve"> and </w:t>
      </w:r>
      <w:r w:rsidR="0056324A" w:rsidRPr="00564A46">
        <w:rPr>
          <w:rFonts w:asciiTheme="minorHAnsi" w:hAnsiTheme="minorHAnsi"/>
          <w:b/>
          <w:color w:val="000000" w:themeColor="text1"/>
        </w:rPr>
        <w:t>S1b</w:t>
      </w:r>
      <w:r w:rsidR="0056324A" w:rsidRPr="00564A46">
        <w:rPr>
          <w:rFonts w:asciiTheme="minorHAnsi" w:hAnsiTheme="minorHAnsi"/>
          <w:color w:val="000000" w:themeColor="text1"/>
        </w:rPr>
        <w:t>, respectively.</w:t>
      </w:r>
    </w:p>
    <w:p w14:paraId="0DA2EF66" w14:textId="770A9952" w:rsidR="00EB28CE" w:rsidRPr="00564A46" w:rsidRDefault="00EB28CE" w:rsidP="00963D35">
      <w:pPr>
        <w:spacing w:after="240"/>
        <w:rPr>
          <w:rFonts w:asciiTheme="minorHAnsi" w:hAnsiTheme="minorHAnsi"/>
          <w:b/>
          <w:color w:val="000000" w:themeColor="text1"/>
        </w:rPr>
      </w:pPr>
    </w:p>
    <w:p w14:paraId="233807D8" w14:textId="77777777" w:rsidR="004926D1" w:rsidRPr="00564A46" w:rsidRDefault="004926D1" w:rsidP="00963D35">
      <w:pPr>
        <w:spacing w:after="240"/>
        <w:rPr>
          <w:rFonts w:asciiTheme="minorHAnsi" w:hAnsiTheme="minorHAnsi"/>
          <w:b/>
          <w:color w:val="000000" w:themeColor="text1"/>
        </w:rPr>
      </w:pPr>
    </w:p>
    <w:p w14:paraId="0F82C090" w14:textId="1B031C2F" w:rsidR="004926D1" w:rsidRPr="00564A46" w:rsidRDefault="004926D1" w:rsidP="00963D35">
      <w:pPr>
        <w:spacing w:after="240"/>
        <w:rPr>
          <w:rFonts w:asciiTheme="minorHAnsi" w:hAnsiTheme="minorHAnsi"/>
          <w:b/>
          <w:color w:val="000000" w:themeColor="text1"/>
        </w:rPr>
      </w:pPr>
      <w:r w:rsidRPr="00564A46">
        <w:rPr>
          <w:noProof/>
          <w:color w:val="000000" w:themeColor="text1"/>
        </w:rPr>
        <w:lastRenderedPageBreak/>
        <w:drawing>
          <wp:inline distT="0" distB="0" distL="0" distR="0" wp14:anchorId="3FED4836" wp14:editId="51DE6959">
            <wp:extent cx="5212080" cy="3474720"/>
            <wp:effectExtent l="0" t="0" r="7620" b="0"/>
            <wp:docPr id="20" name="Chart 20">
              <a:extLst xmlns:a="http://schemas.openxmlformats.org/drawingml/2006/main">
                <a:ext uri="{FF2B5EF4-FFF2-40B4-BE49-F238E27FC236}">
                  <a16:creationId xmlns:a16="http://schemas.microsoft.com/office/drawing/2014/main" id="{534801B8-AF17-493C-9933-A8D2F3CBE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564A46">
        <w:rPr>
          <w:noProof/>
          <w:color w:val="000000" w:themeColor="text1"/>
        </w:rPr>
        <w:t xml:space="preserve"> </w:t>
      </w:r>
    </w:p>
    <w:p w14:paraId="21F30963" w14:textId="77777777" w:rsidR="00F66D72" w:rsidRPr="00564A46" w:rsidRDefault="009C6E43" w:rsidP="009C6E43">
      <w:pPr>
        <w:spacing w:after="240" w:line="240" w:lineRule="auto"/>
        <w:rPr>
          <w:rFonts w:asciiTheme="minorHAnsi" w:hAnsiTheme="minorHAnsi"/>
          <w:b/>
          <w:color w:val="000000" w:themeColor="text1"/>
        </w:rPr>
      </w:pPr>
      <w:r w:rsidRPr="00564A46">
        <w:rPr>
          <w:noProof/>
          <w:color w:val="000000" w:themeColor="text1"/>
        </w:rPr>
        <w:drawing>
          <wp:inline distT="0" distB="0" distL="0" distR="0" wp14:anchorId="4202EC60" wp14:editId="6F4DD91D">
            <wp:extent cx="5212080" cy="3474720"/>
            <wp:effectExtent l="0" t="0" r="7620" b="0"/>
            <wp:docPr id="3" name="Chart 3">
              <a:extLst xmlns:a="http://schemas.openxmlformats.org/drawingml/2006/main">
                <a:ext uri="{FF2B5EF4-FFF2-40B4-BE49-F238E27FC236}">
                  <a16:creationId xmlns:a16="http://schemas.microsoft.com/office/drawing/2014/main" id="{1AC8CA95-69E2-4A82-A705-F5E5B1FA9B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0887B83" w14:textId="432FF5BC" w:rsidR="00394FB0" w:rsidRPr="00564A46" w:rsidRDefault="00394FB0" w:rsidP="009C6E43">
      <w:pPr>
        <w:spacing w:after="240" w:line="240" w:lineRule="auto"/>
        <w:rPr>
          <w:rFonts w:asciiTheme="minorHAnsi" w:hAnsiTheme="minorHAnsi"/>
          <w:b/>
          <w:color w:val="000000" w:themeColor="text1"/>
        </w:rPr>
      </w:pPr>
      <w:r w:rsidRPr="00564A46">
        <w:rPr>
          <w:rFonts w:asciiTheme="minorHAnsi" w:hAnsiTheme="minorHAnsi"/>
          <w:b/>
          <w:color w:val="000000" w:themeColor="text1"/>
        </w:rPr>
        <w:t xml:space="preserve">Figure S1. </w:t>
      </w:r>
      <w:r w:rsidRPr="00564A46">
        <w:rPr>
          <w:rFonts w:asciiTheme="minorHAnsi" w:hAnsiTheme="minorHAnsi"/>
          <w:color w:val="000000" w:themeColor="text1"/>
        </w:rPr>
        <w:t>Calculated relative solubility (C</w:t>
      </w:r>
      <w:r w:rsidRPr="00564A46">
        <w:rPr>
          <w:rFonts w:asciiTheme="minorHAnsi" w:hAnsiTheme="minorHAnsi"/>
          <w:color w:val="000000" w:themeColor="text1"/>
          <w:vertAlign w:val="subscript"/>
        </w:rPr>
        <w:t>s</w:t>
      </w:r>
      <w:r w:rsidRPr="00564A46">
        <w:rPr>
          <w:rFonts w:asciiTheme="minorHAnsi" w:hAnsiTheme="minorHAnsi"/>
          <w:color w:val="000000" w:themeColor="text1"/>
        </w:rPr>
        <w:t>/S</w:t>
      </w:r>
      <w:r w:rsidRPr="00564A46">
        <w:rPr>
          <w:rFonts w:asciiTheme="minorHAnsi" w:hAnsiTheme="minorHAnsi"/>
          <w:color w:val="000000" w:themeColor="text1"/>
          <w:vertAlign w:val="subscript"/>
        </w:rPr>
        <w:t>o</w:t>
      </w:r>
      <w:r w:rsidRPr="00564A46">
        <w:rPr>
          <w:rFonts w:asciiTheme="minorHAnsi" w:hAnsiTheme="minorHAnsi"/>
          <w:color w:val="000000" w:themeColor="text1"/>
        </w:rPr>
        <w:t>) for monoprotic weak acids (top) and weak bases (bottom) as a function of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and pH according to </w:t>
      </w:r>
      <w:r w:rsidRPr="00564A46">
        <w:rPr>
          <w:rFonts w:asciiTheme="minorHAnsi" w:hAnsiTheme="minorHAnsi"/>
          <w:b/>
          <w:color w:val="000000" w:themeColor="text1"/>
        </w:rPr>
        <w:t>Equation S1a</w:t>
      </w:r>
      <w:r w:rsidRPr="00564A46">
        <w:rPr>
          <w:rFonts w:asciiTheme="minorHAnsi" w:hAnsiTheme="minorHAnsi"/>
          <w:color w:val="000000" w:themeColor="text1"/>
        </w:rPr>
        <w:t xml:space="preserve"> and </w:t>
      </w:r>
      <w:r w:rsidRPr="00564A46">
        <w:rPr>
          <w:rFonts w:asciiTheme="minorHAnsi" w:hAnsiTheme="minorHAnsi"/>
          <w:b/>
          <w:color w:val="000000" w:themeColor="text1"/>
        </w:rPr>
        <w:t>S1b</w:t>
      </w:r>
      <w:r w:rsidRPr="00564A46">
        <w:rPr>
          <w:rFonts w:asciiTheme="minorHAnsi" w:hAnsiTheme="minorHAnsi"/>
          <w:color w:val="000000" w:themeColor="text1"/>
        </w:rPr>
        <w:t>, respectively. These calculations assume a constant pH that is not impacted by dissolved drug.</w:t>
      </w:r>
    </w:p>
    <w:p w14:paraId="751E2CBB" w14:textId="1C98139C" w:rsidR="0058664D" w:rsidRPr="00564A46" w:rsidRDefault="0058664D" w:rsidP="0058664D">
      <w:pPr>
        <w:spacing w:after="240" w:line="240" w:lineRule="auto"/>
        <w:rPr>
          <w:rFonts w:asciiTheme="minorHAnsi" w:hAnsiTheme="minorHAnsi"/>
          <w:b/>
          <w:color w:val="000000" w:themeColor="text1"/>
        </w:rPr>
      </w:pPr>
      <w:r w:rsidRPr="00564A46">
        <w:rPr>
          <w:noProof/>
          <w:color w:val="000000" w:themeColor="text1"/>
        </w:rPr>
        <w:lastRenderedPageBreak/>
        <w:drawing>
          <wp:inline distT="0" distB="0" distL="0" distR="0" wp14:anchorId="11350245" wp14:editId="409D2E29">
            <wp:extent cx="5796915" cy="4856672"/>
            <wp:effectExtent l="0" t="0" r="0" b="1270"/>
            <wp:docPr id="2" name="Chart 2">
              <a:extLst xmlns:a="http://schemas.openxmlformats.org/drawingml/2006/main">
                <a:ext uri="{FF2B5EF4-FFF2-40B4-BE49-F238E27FC236}">
                  <a16:creationId xmlns:a16="http://schemas.microsoft.com/office/drawing/2014/main" id="{1FA7CC94-1CBC-46BE-82DD-D139ECBD6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44FA14" w14:textId="786D0A0C" w:rsidR="00394FB0" w:rsidRPr="00564A46" w:rsidRDefault="00394FB0" w:rsidP="00E80C7A">
      <w:pPr>
        <w:spacing w:after="240" w:line="240" w:lineRule="auto"/>
        <w:rPr>
          <w:rFonts w:asciiTheme="minorHAnsi" w:hAnsiTheme="minorHAnsi"/>
          <w:b/>
          <w:color w:val="000000" w:themeColor="text1"/>
        </w:rPr>
      </w:pPr>
      <w:r w:rsidRPr="00564A46">
        <w:rPr>
          <w:rFonts w:asciiTheme="minorHAnsi" w:hAnsiTheme="minorHAnsi"/>
          <w:b/>
          <w:color w:val="000000" w:themeColor="text1"/>
        </w:rPr>
        <w:t xml:space="preserve">Figure S2. </w:t>
      </w:r>
      <w:r w:rsidRPr="00564A46">
        <w:rPr>
          <w:rFonts w:asciiTheme="minorHAnsi" w:hAnsiTheme="minorHAnsi"/>
          <w:color w:val="000000" w:themeColor="text1"/>
        </w:rPr>
        <w:t>Calculated C</w:t>
      </w:r>
      <w:r w:rsidRPr="00564A46">
        <w:rPr>
          <w:rFonts w:asciiTheme="minorHAnsi" w:hAnsiTheme="minorHAnsi"/>
          <w:color w:val="000000" w:themeColor="text1"/>
          <w:vertAlign w:val="subscript"/>
        </w:rPr>
        <w:t>s</w:t>
      </w:r>
      <w:r w:rsidR="00E80C7A" w:rsidRPr="00564A46">
        <w:rPr>
          <w:rFonts w:asciiTheme="minorHAnsi" w:hAnsiTheme="minorHAnsi"/>
          <w:color w:val="000000" w:themeColor="text1"/>
        </w:rPr>
        <w:t xml:space="preserve"> at pH 7 relative to C</w:t>
      </w:r>
      <w:r w:rsidR="00E80C7A" w:rsidRPr="00564A46">
        <w:rPr>
          <w:rFonts w:asciiTheme="minorHAnsi" w:hAnsiTheme="minorHAnsi"/>
          <w:color w:val="000000" w:themeColor="text1"/>
          <w:vertAlign w:val="subscript"/>
        </w:rPr>
        <w:t>s</w:t>
      </w:r>
      <w:r w:rsidR="00E80C7A" w:rsidRPr="00564A46">
        <w:rPr>
          <w:rFonts w:asciiTheme="minorHAnsi" w:hAnsiTheme="minorHAnsi"/>
          <w:color w:val="000000" w:themeColor="text1"/>
        </w:rPr>
        <w:t xml:space="preserve"> at pH 5.5 (monoprotic weak acids) and calculated C</w:t>
      </w:r>
      <w:r w:rsidR="00E80C7A" w:rsidRPr="00564A46">
        <w:rPr>
          <w:rFonts w:asciiTheme="minorHAnsi" w:hAnsiTheme="minorHAnsi"/>
          <w:color w:val="000000" w:themeColor="text1"/>
          <w:vertAlign w:val="subscript"/>
        </w:rPr>
        <w:t>s</w:t>
      </w:r>
      <w:r w:rsidR="00E80C7A" w:rsidRPr="00564A46">
        <w:rPr>
          <w:rFonts w:asciiTheme="minorHAnsi" w:hAnsiTheme="minorHAnsi"/>
          <w:color w:val="000000" w:themeColor="text1"/>
        </w:rPr>
        <w:t xml:space="preserve"> at pH 5.5 relative to C</w:t>
      </w:r>
      <w:r w:rsidR="00E80C7A" w:rsidRPr="00564A46">
        <w:rPr>
          <w:rFonts w:asciiTheme="minorHAnsi" w:hAnsiTheme="minorHAnsi"/>
          <w:color w:val="000000" w:themeColor="text1"/>
          <w:vertAlign w:val="subscript"/>
        </w:rPr>
        <w:t>s</w:t>
      </w:r>
      <w:r w:rsidR="00E80C7A" w:rsidRPr="00564A46">
        <w:rPr>
          <w:rFonts w:asciiTheme="minorHAnsi" w:hAnsiTheme="minorHAnsi"/>
          <w:color w:val="000000" w:themeColor="text1"/>
        </w:rPr>
        <w:t xml:space="preserve"> </w:t>
      </w:r>
      <w:r w:rsidR="007817D3" w:rsidRPr="00564A46">
        <w:rPr>
          <w:rFonts w:asciiTheme="minorHAnsi" w:hAnsiTheme="minorHAnsi"/>
          <w:color w:val="000000" w:themeColor="text1"/>
        </w:rPr>
        <w:t xml:space="preserve">at pH </w:t>
      </w:r>
      <w:r w:rsidR="00E80C7A" w:rsidRPr="00564A46">
        <w:rPr>
          <w:rFonts w:asciiTheme="minorHAnsi" w:hAnsiTheme="minorHAnsi"/>
          <w:color w:val="000000" w:themeColor="text1"/>
        </w:rPr>
        <w:t>7 (monoprotic weak bases)</w:t>
      </w:r>
      <w:r w:rsidRPr="00564A46">
        <w:rPr>
          <w:rFonts w:asciiTheme="minorHAnsi" w:hAnsiTheme="minorHAnsi"/>
          <w:color w:val="000000" w:themeColor="text1"/>
        </w:rPr>
        <w:t xml:space="preserve"> as a function of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These calculations assume a constant pH that is not impacted by dissolved drug.</w:t>
      </w:r>
    </w:p>
    <w:p w14:paraId="0DFA5F5D" w14:textId="77777777" w:rsidR="00394FB0" w:rsidRPr="00564A46" w:rsidRDefault="00394FB0" w:rsidP="00902490">
      <w:pPr>
        <w:spacing w:after="240" w:line="240" w:lineRule="auto"/>
        <w:rPr>
          <w:rFonts w:asciiTheme="minorHAnsi" w:hAnsiTheme="minorHAnsi"/>
          <w:color w:val="000000" w:themeColor="text1"/>
        </w:rPr>
      </w:pPr>
    </w:p>
    <w:p w14:paraId="32BC61A8" w14:textId="438AF1FE" w:rsidR="00081F9F" w:rsidRPr="00564A46" w:rsidRDefault="00585D65" w:rsidP="005D704A">
      <w:pPr>
        <w:pStyle w:val="Heading2"/>
        <w:rPr>
          <w:color w:val="000000" w:themeColor="text1"/>
        </w:rPr>
      </w:pPr>
      <w:r w:rsidRPr="00564A46">
        <w:rPr>
          <w:color w:val="000000" w:themeColor="text1"/>
        </w:rPr>
        <w:t xml:space="preserve">Section 2. </w:t>
      </w:r>
      <w:r w:rsidR="00081F9F" w:rsidRPr="00564A46">
        <w:rPr>
          <w:color w:val="000000" w:themeColor="text1"/>
        </w:rPr>
        <w:t xml:space="preserve">Relative </w:t>
      </w:r>
      <w:r w:rsidR="005F0621" w:rsidRPr="00564A46">
        <w:rPr>
          <w:color w:val="000000" w:themeColor="text1"/>
        </w:rPr>
        <w:t>D</w:t>
      </w:r>
      <w:r w:rsidR="00081F9F" w:rsidRPr="00564A46">
        <w:rPr>
          <w:color w:val="000000" w:themeColor="text1"/>
        </w:rPr>
        <w:t xml:space="preserve">issolution </w:t>
      </w:r>
      <w:r w:rsidR="005F0621" w:rsidRPr="00564A46">
        <w:rPr>
          <w:color w:val="000000" w:themeColor="text1"/>
        </w:rPr>
        <w:t>R</w:t>
      </w:r>
      <w:r w:rsidR="00081F9F" w:rsidRPr="00564A46">
        <w:rPr>
          <w:color w:val="000000" w:themeColor="text1"/>
        </w:rPr>
        <w:t xml:space="preserve">ate versus </w:t>
      </w:r>
      <w:r w:rsidR="005F0621" w:rsidRPr="00564A46">
        <w:rPr>
          <w:color w:val="000000" w:themeColor="text1"/>
        </w:rPr>
        <w:t>B</w:t>
      </w:r>
      <w:r w:rsidR="00081F9F" w:rsidRPr="00564A46">
        <w:rPr>
          <w:color w:val="000000" w:themeColor="text1"/>
        </w:rPr>
        <w:t xml:space="preserve">uffer </w:t>
      </w:r>
      <w:r w:rsidR="005F0621" w:rsidRPr="00564A46">
        <w:rPr>
          <w:color w:val="000000" w:themeColor="text1"/>
        </w:rPr>
        <w:t>C</w:t>
      </w:r>
      <w:r w:rsidR="00081F9F" w:rsidRPr="00564A46">
        <w:rPr>
          <w:color w:val="000000" w:themeColor="text1"/>
        </w:rPr>
        <w:t>oncentration/</w:t>
      </w:r>
      <w:r w:rsidR="005F0621" w:rsidRPr="00564A46">
        <w:rPr>
          <w:color w:val="000000" w:themeColor="text1"/>
        </w:rPr>
        <w:t>C</w:t>
      </w:r>
      <w:r w:rsidR="00081F9F" w:rsidRPr="00564A46">
        <w:rPr>
          <w:color w:val="000000" w:themeColor="text1"/>
        </w:rPr>
        <w:t>apacity</w:t>
      </w:r>
    </w:p>
    <w:p w14:paraId="54D375E4" w14:textId="24ED8A6C" w:rsidR="00585D65" w:rsidRPr="00564A46" w:rsidRDefault="00081F9F" w:rsidP="00081F9F">
      <w:pPr>
        <w:pStyle w:val="Heading3"/>
        <w:rPr>
          <w:color w:val="000000" w:themeColor="text1"/>
        </w:rPr>
      </w:pPr>
      <w:r w:rsidRPr="00564A46">
        <w:rPr>
          <w:color w:val="000000" w:themeColor="text1"/>
        </w:rPr>
        <w:t>Calculated relative dissolution rates at pH 5.5 and 7</w:t>
      </w:r>
    </w:p>
    <w:p w14:paraId="48B222AF" w14:textId="495EC5E0" w:rsidR="00081F9F" w:rsidRPr="00564A46" w:rsidRDefault="00081F9F" w:rsidP="00963D35">
      <w:pPr>
        <w:spacing w:after="240"/>
        <w:rPr>
          <w:rFonts w:ascii="Calibri" w:hAnsi="Calibri"/>
          <w:color w:val="000000" w:themeColor="text1"/>
        </w:rPr>
      </w:pPr>
      <w:r w:rsidRPr="00564A46">
        <w:rPr>
          <w:rFonts w:ascii="Calibri" w:hAnsi="Calibri"/>
          <w:b/>
          <w:color w:val="000000" w:themeColor="text1"/>
        </w:rPr>
        <w:t>Figure S3</w:t>
      </w:r>
      <w:r w:rsidRPr="00564A46">
        <w:rPr>
          <w:rFonts w:ascii="Calibri" w:hAnsi="Calibri"/>
          <w:color w:val="000000" w:themeColor="text1"/>
        </w:rPr>
        <w:t xml:space="preserve"> (acids) and </w:t>
      </w:r>
      <w:r w:rsidRPr="00564A46">
        <w:rPr>
          <w:rFonts w:ascii="Calibri" w:hAnsi="Calibri"/>
          <w:b/>
          <w:color w:val="000000" w:themeColor="text1"/>
        </w:rPr>
        <w:t>Figure S</w:t>
      </w:r>
      <w:r w:rsidR="00EF068F" w:rsidRPr="00564A46">
        <w:rPr>
          <w:rFonts w:ascii="Calibri" w:hAnsi="Calibri"/>
          <w:b/>
          <w:color w:val="000000" w:themeColor="text1"/>
        </w:rPr>
        <w:t>4</w:t>
      </w:r>
      <w:r w:rsidRPr="00564A46">
        <w:rPr>
          <w:rFonts w:ascii="Calibri" w:hAnsi="Calibri"/>
          <w:color w:val="000000" w:themeColor="text1"/>
        </w:rPr>
        <w:t xml:space="preserve"> (bases) show </w:t>
      </w:r>
      <w:r w:rsidR="00EF068F" w:rsidRPr="00564A46">
        <w:rPr>
          <w:rFonts w:ascii="Calibri" w:hAnsi="Calibri"/>
          <w:color w:val="000000" w:themeColor="text1"/>
        </w:rPr>
        <w:t xml:space="preserve">calculated </w:t>
      </w:r>
      <w:r w:rsidRPr="00564A46">
        <w:rPr>
          <w:rFonts w:ascii="Calibri" w:hAnsi="Calibri"/>
          <w:color w:val="000000" w:themeColor="text1"/>
        </w:rPr>
        <w:t xml:space="preserve">surface-area-normalized relative dissolution rates in a pH 5.5 and 7 phosphate buffer as a function of </w:t>
      </w:r>
      <w:r w:rsidRPr="00564A46">
        <w:rPr>
          <w:rFonts w:ascii="Calibri" w:hAnsi="Calibri"/>
          <w:color w:val="000000" w:themeColor="text1"/>
        </w:rPr>
        <w:sym w:font="Symbol" w:char="F061"/>
      </w:r>
      <w:r w:rsidRPr="00564A46">
        <w:rPr>
          <w:rFonts w:ascii="Calibri" w:hAnsi="Calibri"/>
          <w:color w:val="000000" w:themeColor="text1"/>
        </w:rPr>
        <w:t xml:space="preserve"> or </w:t>
      </w:r>
      <w:r w:rsidRPr="00564A46">
        <w:rPr>
          <w:rFonts w:ascii="Calibri" w:hAnsi="Calibri"/>
          <w:color w:val="000000" w:themeColor="text1"/>
        </w:rPr>
        <w:sym w:font="Symbol" w:char="F062"/>
      </w:r>
      <w:r w:rsidRPr="00564A46">
        <w:rPr>
          <w:rFonts w:ascii="Calibri" w:hAnsi="Calibri"/>
          <w:color w:val="000000" w:themeColor="text1"/>
        </w:rPr>
        <w:t xml:space="preserve">. The relative dissolution rate is the calculated dissolution rate at high buffer concentration (50 mM) divided by the calculated dissolution </w:t>
      </w:r>
      <w:r w:rsidRPr="00564A46">
        <w:rPr>
          <w:rFonts w:ascii="Calibri" w:hAnsi="Calibri"/>
          <w:color w:val="000000" w:themeColor="text1"/>
        </w:rPr>
        <w:lastRenderedPageBreak/>
        <w:t>rate at low buffer concentration (1 mM). When the relative dissolution rate equals unity, no differences in rate are expected over this range in buffer concentration.</w:t>
      </w:r>
    </w:p>
    <w:p w14:paraId="70A2D834" w14:textId="7F5170C7" w:rsidR="00065893" w:rsidRPr="00564A46" w:rsidRDefault="00870E51" w:rsidP="00963D35">
      <w:pPr>
        <w:spacing w:after="240"/>
        <w:rPr>
          <w:rFonts w:asciiTheme="minorHAnsi" w:hAnsiTheme="minorHAnsi"/>
          <w:color w:val="000000" w:themeColor="text1"/>
        </w:rPr>
      </w:pPr>
      <w:r w:rsidRPr="00564A46">
        <w:rPr>
          <w:noProof/>
          <w:color w:val="000000" w:themeColor="text1"/>
        </w:rPr>
        <w:drawing>
          <wp:inline distT="0" distB="0" distL="0" distR="0" wp14:anchorId="72608CC2" wp14:editId="1C566337">
            <wp:extent cx="5212080" cy="2743200"/>
            <wp:effectExtent l="0" t="0" r="7620" b="0"/>
            <wp:docPr id="7" name="Chart 7">
              <a:extLst xmlns:a="http://schemas.openxmlformats.org/drawingml/2006/main">
                <a:ext uri="{FF2B5EF4-FFF2-40B4-BE49-F238E27FC236}">
                  <a16:creationId xmlns:a16="http://schemas.microsoft.com/office/drawing/2014/main" id="{2F861E38-2114-4FEF-A94C-A242B30D1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BC2BFF" w14:textId="076DE08A" w:rsidR="00FC602E" w:rsidRPr="00564A46" w:rsidRDefault="00870E51" w:rsidP="00963D35">
      <w:pPr>
        <w:spacing w:after="240"/>
        <w:rPr>
          <w:rFonts w:asciiTheme="minorHAnsi" w:hAnsiTheme="minorHAnsi"/>
          <w:color w:val="000000" w:themeColor="text1"/>
        </w:rPr>
      </w:pPr>
      <w:r w:rsidRPr="00564A46">
        <w:rPr>
          <w:noProof/>
          <w:color w:val="000000" w:themeColor="text1"/>
        </w:rPr>
        <w:drawing>
          <wp:inline distT="0" distB="0" distL="0" distR="0" wp14:anchorId="1D4BD3E5" wp14:editId="52E93911">
            <wp:extent cx="5212080" cy="2743200"/>
            <wp:effectExtent l="0" t="0" r="7620" b="0"/>
            <wp:docPr id="15" name="Chart 15">
              <a:extLst xmlns:a="http://schemas.openxmlformats.org/drawingml/2006/main">
                <a:ext uri="{FF2B5EF4-FFF2-40B4-BE49-F238E27FC236}">
                  <a16:creationId xmlns:a16="http://schemas.microsoft.com/office/drawing/2014/main" id="{7059C349-E1D7-4417-87A7-64E0CB87C0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487FF4" w14:textId="114C1712" w:rsidR="007817D3" w:rsidRPr="00564A46" w:rsidRDefault="007817D3" w:rsidP="00EF068F">
      <w:pPr>
        <w:spacing w:after="240" w:line="240" w:lineRule="auto"/>
        <w:rPr>
          <w:rFonts w:asciiTheme="minorHAnsi" w:hAnsiTheme="minorHAnsi"/>
          <w:color w:val="000000" w:themeColor="text1"/>
        </w:rPr>
      </w:pPr>
      <w:r w:rsidRPr="00564A46">
        <w:rPr>
          <w:rFonts w:asciiTheme="minorHAnsi" w:hAnsiTheme="minorHAnsi"/>
          <w:b/>
          <w:color w:val="000000" w:themeColor="text1"/>
        </w:rPr>
        <w:t>Figure S3</w:t>
      </w:r>
      <w:r w:rsidR="00EF068F" w:rsidRPr="00564A46">
        <w:rPr>
          <w:rFonts w:asciiTheme="minorHAnsi" w:hAnsiTheme="minorHAnsi"/>
          <w:color w:val="000000" w:themeColor="text1"/>
        </w:rPr>
        <w:t>. R</w:t>
      </w:r>
      <w:r w:rsidRPr="00564A46">
        <w:rPr>
          <w:rFonts w:asciiTheme="minorHAnsi" w:hAnsiTheme="minorHAnsi"/>
          <w:color w:val="000000" w:themeColor="text1"/>
        </w:rPr>
        <w:t xml:space="preserve">elative calculated surface-area normalized dissolution rate for a monoprotic weak acid at pH 5.5 (top) and pH </w:t>
      </w:r>
      <w:r w:rsidR="00EF068F" w:rsidRPr="00564A46">
        <w:rPr>
          <w:rFonts w:asciiTheme="minorHAnsi" w:hAnsiTheme="minorHAnsi"/>
          <w:color w:val="000000" w:themeColor="text1"/>
        </w:rPr>
        <w:t>7 (</w:t>
      </w:r>
      <w:r w:rsidRPr="00564A46">
        <w:rPr>
          <w:rFonts w:asciiTheme="minorHAnsi" w:hAnsiTheme="minorHAnsi"/>
          <w:color w:val="000000" w:themeColor="text1"/>
        </w:rPr>
        <w:t>bottom</w:t>
      </w:r>
      <w:r w:rsidR="00EF068F" w:rsidRPr="00564A46">
        <w:rPr>
          <w:rFonts w:asciiTheme="minorHAnsi" w:hAnsiTheme="minorHAnsi"/>
          <w:color w:val="000000" w:themeColor="text1"/>
        </w:rPr>
        <w:t>)</w:t>
      </w:r>
      <w:r w:rsidRPr="00564A46">
        <w:rPr>
          <w:rFonts w:asciiTheme="minorHAnsi" w:hAnsiTheme="minorHAnsi"/>
          <w:color w:val="000000" w:themeColor="text1"/>
        </w:rPr>
        <w:t xml:space="preserve"> as a function of </w:t>
      </w:r>
      <w:r w:rsidR="00B56C19" w:rsidRPr="00564A46">
        <w:rPr>
          <w:rFonts w:asciiTheme="minorHAnsi" w:hAnsiTheme="minorHAnsi" w:cstheme="minorHAnsi"/>
          <w:color w:val="000000" w:themeColor="text1"/>
        </w:rPr>
        <w:t>α</w:t>
      </w:r>
      <w:r w:rsidR="00B56C19" w:rsidRPr="00564A46">
        <w:rPr>
          <w:rFonts w:asciiTheme="minorHAnsi" w:hAnsiTheme="minorHAnsi"/>
          <w:color w:val="000000" w:themeColor="text1"/>
        </w:rPr>
        <w:t>.</w:t>
      </w:r>
      <w:r w:rsidR="00177326" w:rsidRPr="00564A46">
        <w:rPr>
          <w:rFonts w:asciiTheme="minorHAnsi" w:hAnsiTheme="minorHAnsi"/>
          <w:color w:val="000000" w:themeColor="text1"/>
        </w:rPr>
        <w:t xml:space="preserve"> Dashed line represents a factor of 2 difference.</w:t>
      </w:r>
    </w:p>
    <w:p w14:paraId="3CD4B49E" w14:textId="4BC3E2C7" w:rsidR="004F5467" w:rsidRPr="00564A46" w:rsidRDefault="004F5467" w:rsidP="00EF068F">
      <w:pPr>
        <w:spacing w:after="240" w:line="240" w:lineRule="auto"/>
        <w:rPr>
          <w:rFonts w:asciiTheme="minorHAnsi" w:hAnsiTheme="minorHAnsi"/>
          <w:color w:val="000000" w:themeColor="text1"/>
        </w:rPr>
      </w:pPr>
    </w:p>
    <w:p w14:paraId="34DFBC05" w14:textId="1BEF39DD" w:rsidR="004F5467" w:rsidRPr="00564A46" w:rsidRDefault="004F5467" w:rsidP="00EF068F">
      <w:pPr>
        <w:spacing w:after="240" w:line="240" w:lineRule="auto"/>
        <w:rPr>
          <w:noProof/>
          <w:color w:val="000000" w:themeColor="text1"/>
        </w:rPr>
      </w:pPr>
    </w:p>
    <w:p w14:paraId="438B8616" w14:textId="1EE22AA6" w:rsidR="006C4E5D" w:rsidRPr="00564A46" w:rsidRDefault="006C4E5D" w:rsidP="00EF068F">
      <w:pPr>
        <w:spacing w:after="240" w:line="240" w:lineRule="auto"/>
        <w:rPr>
          <w:rFonts w:asciiTheme="minorHAnsi" w:hAnsiTheme="minorHAnsi"/>
          <w:color w:val="000000" w:themeColor="text1"/>
        </w:rPr>
      </w:pPr>
      <w:r w:rsidRPr="00564A46">
        <w:rPr>
          <w:noProof/>
          <w:color w:val="000000" w:themeColor="text1"/>
        </w:rPr>
        <w:lastRenderedPageBreak/>
        <w:drawing>
          <wp:inline distT="0" distB="0" distL="0" distR="0" wp14:anchorId="658AD375" wp14:editId="21EC31E1">
            <wp:extent cx="5212080" cy="2743200"/>
            <wp:effectExtent l="0" t="0" r="7620" b="0"/>
            <wp:docPr id="16" name="Chart 16">
              <a:extLst xmlns:a="http://schemas.openxmlformats.org/drawingml/2006/main">
                <a:ext uri="{FF2B5EF4-FFF2-40B4-BE49-F238E27FC236}">
                  <a16:creationId xmlns:a16="http://schemas.microsoft.com/office/drawing/2014/main" id="{FB6DA0EE-8CAD-4BA8-974F-C025E638AF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823A35" w14:textId="60334DB1" w:rsidR="004F5467" w:rsidRPr="00564A46" w:rsidRDefault="006E695A" w:rsidP="00EF068F">
      <w:pPr>
        <w:spacing w:after="240" w:line="240" w:lineRule="auto"/>
        <w:rPr>
          <w:rFonts w:asciiTheme="minorHAnsi" w:hAnsiTheme="minorHAnsi"/>
          <w:color w:val="000000" w:themeColor="text1"/>
        </w:rPr>
      </w:pPr>
      <w:r w:rsidRPr="00564A46">
        <w:rPr>
          <w:noProof/>
          <w:color w:val="000000" w:themeColor="text1"/>
        </w:rPr>
        <w:drawing>
          <wp:inline distT="0" distB="0" distL="0" distR="0" wp14:anchorId="2B385ED6" wp14:editId="02EE232E">
            <wp:extent cx="5212080" cy="2743200"/>
            <wp:effectExtent l="0" t="0" r="7620" b="0"/>
            <wp:docPr id="18" name="Chart 18">
              <a:extLst xmlns:a="http://schemas.openxmlformats.org/drawingml/2006/main">
                <a:ext uri="{FF2B5EF4-FFF2-40B4-BE49-F238E27FC236}">
                  <a16:creationId xmlns:a16="http://schemas.microsoft.com/office/drawing/2014/main" id="{BB53FC70-1CA0-4CC9-971C-F99A80822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934628" w14:textId="0DBA011A" w:rsidR="00B56C19" w:rsidRPr="00564A46" w:rsidRDefault="00B56C19" w:rsidP="00B56C19">
      <w:pPr>
        <w:spacing w:after="240" w:line="240" w:lineRule="auto"/>
        <w:rPr>
          <w:rFonts w:asciiTheme="minorHAnsi" w:hAnsiTheme="minorHAnsi"/>
          <w:color w:val="000000" w:themeColor="text1"/>
        </w:rPr>
      </w:pPr>
      <w:r w:rsidRPr="00564A46">
        <w:rPr>
          <w:rFonts w:asciiTheme="minorHAnsi" w:hAnsiTheme="minorHAnsi"/>
          <w:b/>
          <w:color w:val="000000" w:themeColor="text1"/>
        </w:rPr>
        <w:t>Figure S4</w:t>
      </w:r>
      <w:r w:rsidRPr="00564A46">
        <w:rPr>
          <w:rFonts w:asciiTheme="minorHAnsi" w:hAnsiTheme="minorHAnsi"/>
          <w:color w:val="000000" w:themeColor="text1"/>
        </w:rPr>
        <w:t xml:space="preserve">. Relative calculated surface-area normalized dissolution rate for a monoprotic weak base at pH 5.5 (top) and pH 7 (bottom) as a function of </w:t>
      </w:r>
      <w:r w:rsidRPr="00564A46">
        <w:rPr>
          <w:rFonts w:asciiTheme="minorHAnsi" w:hAnsiTheme="minorHAnsi" w:cstheme="minorHAnsi"/>
          <w:color w:val="000000" w:themeColor="text1"/>
        </w:rPr>
        <w:t>β</w:t>
      </w:r>
      <w:r w:rsidRPr="00564A46">
        <w:rPr>
          <w:rFonts w:asciiTheme="minorHAnsi" w:hAnsiTheme="minorHAnsi"/>
          <w:color w:val="000000" w:themeColor="text1"/>
        </w:rPr>
        <w:t>. Dashed line represents a factor of 2 difference.</w:t>
      </w:r>
    </w:p>
    <w:p w14:paraId="70C6A0BE" w14:textId="77777777" w:rsidR="004F5467" w:rsidRPr="00564A46" w:rsidRDefault="004F5467" w:rsidP="00EF068F">
      <w:pPr>
        <w:spacing w:after="240" w:line="240" w:lineRule="auto"/>
        <w:rPr>
          <w:rFonts w:asciiTheme="minorHAnsi" w:hAnsiTheme="minorHAnsi"/>
          <w:color w:val="000000" w:themeColor="text1"/>
        </w:rPr>
      </w:pPr>
    </w:p>
    <w:p w14:paraId="6287C487" w14:textId="0F973F3B" w:rsidR="00081F9F" w:rsidRPr="00564A46" w:rsidRDefault="00081F9F" w:rsidP="00081F9F">
      <w:pPr>
        <w:pStyle w:val="Heading3"/>
        <w:rPr>
          <w:rFonts w:ascii="Arial" w:hAnsi="Arial"/>
          <w:color w:val="000000" w:themeColor="text1"/>
        </w:rPr>
      </w:pPr>
      <w:r w:rsidRPr="00564A46">
        <w:rPr>
          <w:color w:val="000000" w:themeColor="text1"/>
        </w:rPr>
        <w:t>Calculated relative dissolution rates versus infinite buffer capacity</w:t>
      </w:r>
    </w:p>
    <w:p w14:paraId="3A647AEE" w14:textId="1A93BB77" w:rsidR="00585D65" w:rsidRPr="00564A46" w:rsidRDefault="00585D65" w:rsidP="00963D35">
      <w:pPr>
        <w:spacing w:after="240"/>
        <w:rPr>
          <w:rFonts w:asciiTheme="minorHAnsi" w:hAnsiTheme="minorHAnsi"/>
          <w:color w:val="000000" w:themeColor="text1"/>
        </w:rPr>
      </w:pPr>
      <w:r w:rsidRPr="00564A46">
        <w:rPr>
          <w:rFonts w:asciiTheme="minorHAnsi" w:hAnsiTheme="minorHAnsi"/>
          <w:color w:val="000000" w:themeColor="text1"/>
        </w:rPr>
        <w:t xml:space="preserve">In </w:t>
      </w:r>
      <w:r w:rsidRPr="00564A46">
        <w:rPr>
          <w:rFonts w:asciiTheme="minorHAnsi" w:hAnsiTheme="minorHAnsi"/>
          <w:b/>
          <w:color w:val="000000" w:themeColor="text1"/>
        </w:rPr>
        <w:t>Figure S</w:t>
      </w:r>
      <w:r w:rsidR="0063738A" w:rsidRPr="00564A46">
        <w:rPr>
          <w:rFonts w:asciiTheme="minorHAnsi" w:hAnsiTheme="minorHAnsi"/>
          <w:b/>
          <w:color w:val="000000" w:themeColor="text1"/>
        </w:rPr>
        <w:t>5</w:t>
      </w:r>
      <w:r w:rsidR="00A72333" w:rsidRPr="00564A46">
        <w:rPr>
          <w:rFonts w:asciiTheme="minorHAnsi" w:hAnsiTheme="minorHAnsi"/>
          <w:color w:val="000000" w:themeColor="text1"/>
        </w:rPr>
        <w:t>, dissolution rate</w:t>
      </w:r>
      <w:r w:rsidRPr="00564A46">
        <w:rPr>
          <w:rFonts w:asciiTheme="minorHAnsi" w:hAnsiTheme="minorHAnsi"/>
          <w:color w:val="000000" w:themeColor="text1"/>
        </w:rPr>
        <w:t xml:space="preserve"> is normalized to </w:t>
      </w:r>
      <w:r w:rsidR="000037AA" w:rsidRPr="00564A46">
        <w:rPr>
          <w:rFonts w:asciiTheme="minorHAnsi" w:hAnsiTheme="minorHAnsi"/>
          <w:color w:val="000000" w:themeColor="text1"/>
        </w:rPr>
        <w:t xml:space="preserve">the </w:t>
      </w:r>
      <w:r w:rsidRPr="00564A46">
        <w:rPr>
          <w:rFonts w:asciiTheme="minorHAnsi" w:hAnsiTheme="minorHAnsi"/>
          <w:color w:val="000000" w:themeColor="text1"/>
        </w:rPr>
        <w:t xml:space="preserve">maximum </w:t>
      </w:r>
      <w:r w:rsidR="00A72333" w:rsidRPr="00564A46">
        <w:rPr>
          <w:rFonts w:asciiTheme="minorHAnsi" w:hAnsiTheme="minorHAnsi"/>
          <w:color w:val="000000" w:themeColor="text1"/>
        </w:rPr>
        <w:t>dissolution rate</w:t>
      </w:r>
      <w:r w:rsidRPr="00564A46">
        <w:rPr>
          <w:rFonts w:asciiTheme="minorHAnsi" w:hAnsiTheme="minorHAnsi"/>
          <w:color w:val="000000" w:themeColor="text1"/>
        </w:rPr>
        <w:t xml:space="preserve"> (i.e.</w:t>
      </w:r>
      <w:r w:rsidR="00A46F33" w:rsidRPr="00564A46">
        <w:rPr>
          <w:rFonts w:asciiTheme="minorHAnsi" w:hAnsiTheme="minorHAnsi"/>
          <w:color w:val="000000" w:themeColor="text1"/>
        </w:rPr>
        <w:t>,</w:t>
      </w:r>
      <w:r w:rsidRPr="00564A46">
        <w:rPr>
          <w:rFonts w:asciiTheme="minorHAnsi" w:hAnsiTheme="minorHAnsi"/>
          <w:color w:val="000000" w:themeColor="text1"/>
        </w:rPr>
        <w:t xml:space="preserve"> when no pH change occurs at the </w:t>
      </w:r>
      <w:r w:rsidR="00A46F33" w:rsidRPr="00564A46">
        <w:rPr>
          <w:rFonts w:asciiTheme="minorHAnsi" w:hAnsiTheme="minorHAnsi"/>
          <w:color w:val="000000" w:themeColor="text1"/>
        </w:rPr>
        <w:t>solid-</w:t>
      </w:r>
      <w:r w:rsidRPr="00564A46">
        <w:rPr>
          <w:rFonts w:asciiTheme="minorHAnsi" w:hAnsiTheme="minorHAnsi"/>
          <w:color w:val="000000" w:themeColor="text1"/>
        </w:rPr>
        <w:t>particle surface as a drug dissolves) versus the fluid buffer capacity relative to the concentration of ionized species at the starting pH. The theoretical concentration of ionized species at the starting pH is dependent upon the intrinsic solubility and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of the drug and the starting pH of the </w:t>
      </w:r>
      <w:r w:rsidRPr="00564A46">
        <w:rPr>
          <w:rFonts w:asciiTheme="minorHAnsi" w:hAnsiTheme="minorHAnsi"/>
          <w:color w:val="000000" w:themeColor="text1"/>
        </w:rPr>
        <w:lastRenderedPageBreak/>
        <w:t>buffer, whereas the buffer capacity is calculated using the Van Slyke equation (</w:t>
      </w:r>
      <w:r w:rsidR="00A46F33" w:rsidRPr="00564A46">
        <w:rPr>
          <w:rFonts w:asciiTheme="minorHAnsi" w:hAnsiTheme="minorHAnsi"/>
          <w:color w:val="000000" w:themeColor="text1"/>
        </w:rPr>
        <w:t>i.e.,</w:t>
      </w:r>
      <w:r w:rsidRPr="00564A46">
        <w:rPr>
          <w:rFonts w:asciiTheme="minorHAnsi" w:hAnsiTheme="minorHAnsi"/>
          <w:color w:val="000000" w:themeColor="text1"/>
        </w:rPr>
        <w:t xml:space="preserve"> as a function of buffer concentration, buffer pK</w:t>
      </w:r>
      <w:r w:rsidRPr="00564A46">
        <w:rPr>
          <w:rFonts w:asciiTheme="minorHAnsi" w:hAnsiTheme="minorHAnsi"/>
          <w:color w:val="000000" w:themeColor="text1"/>
          <w:vertAlign w:val="subscript"/>
        </w:rPr>
        <w:t>a</w:t>
      </w:r>
      <w:r w:rsidR="00A46F33" w:rsidRPr="00564A46">
        <w:rPr>
          <w:rFonts w:asciiTheme="minorHAnsi" w:hAnsiTheme="minorHAnsi"/>
          <w:color w:val="000000" w:themeColor="text1"/>
        </w:rPr>
        <w:t>,</w:t>
      </w:r>
      <w:r w:rsidRPr="00564A46">
        <w:rPr>
          <w:rFonts w:asciiTheme="minorHAnsi" w:hAnsiTheme="minorHAnsi"/>
          <w:color w:val="000000" w:themeColor="text1"/>
        </w:rPr>
        <w:t xml:space="preserve"> and starting pH). As shown in </w:t>
      </w:r>
      <w:r w:rsidRPr="00564A46">
        <w:rPr>
          <w:rFonts w:asciiTheme="minorHAnsi" w:hAnsiTheme="minorHAnsi"/>
          <w:b/>
          <w:color w:val="000000" w:themeColor="text1"/>
        </w:rPr>
        <w:t>Figure S</w:t>
      </w:r>
      <w:r w:rsidR="0063738A" w:rsidRPr="00564A46">
        <w:rPr>
          <w:rFonts w:asciiTheme="minorHAnsi" w:hAnsiTheme="minorHAnsi"/>
          <w:b/>
          <w:color w:val="000000" w:themeColor="text1"/>
        </w:rPr>
        <w:t>5</w:t>
      </w:r>
      <w:r w:rsidR="00A72333" w:rsidRPr="00564A46">
        <w:rPr>
          <w:rFonts w:asciiTheme="minorHAnsi" w:hAnsiTheme="minorHAnsi"/>
          <w:color w:val="000000" w:themeColor="text1"/>
        </w:rPr>
        <w:t xml:space="preserve">, </w:t>
      </w:r>
      <w:r w:rsidR="00A46F33" w:rsidRPr="00564A46">
        <w:rPr>
          <w:rFonts w:asciiTheme="minorHAnsi" w:hAnsiTheme="minorHAnsi"/>
          <w:color w:val="000000" w:themeColor="text1"/>
        </w:rPr>
        <w:t xml:space="preserve">the </w:t>
      </w:r>
      <w:r w:rsidR="00A72333" w:rsidRPr="00564A46">
        <w:rPr>
          <w:rFonts w:asciiTheme="minorHAnsi" w:hAnsiTheme="minorHAnsi"/>
          <w:color w:val="000000" w:themeColor="text1"/>
        </w:rPr>
        <w:t>dissolution rate</w:t>
      </w:r>
      <w:r w:rsidRPr="00564A46">
        <w:rPr>
          <w:rFonts w:asciiTheme="minorHAnsi" w:hAnsiTheme="minorHAnsi"/>
          <w:color w:val="000000" w:themeColor="text1"/>
        </w:rPr>
        <w:t xml:space="preserve"> from the </w:t>
      </w:r>
      <w:r w:rsidR="00A46F33" w:rsidRPr="00564A46">
        <w:rPr>
          <w:rFonts w:asciiTheme="minorHAnsi" w:hAnsiTheme="minorHAnsi"/>
          <w:color w:val="000000" w:themeColor="text1"/>
        </w:rPr>
        <w:t>solid-</w:t>
      </w:r>
      <w:r w:rsidRPr="00564A46">
        <w:rPr>
          <w:rFonts w:asciiTheme="minorHAnsi" w:hAnsiTheme="minorHAnsi"/>
          <w:color w:val="000000" w:themeColor="text1"/>
        </w:rPr>
        <w:t xml:space="preserve">particle surface will be lower than the </w:t>
      </w:r>
      <w:r w:rsidR="00A72333" w:rsidRPr="00564A46">
        <w:rPr>
          <w:rFonts w:asciiTheme="minorHAnsi" w:hAnsiTheme="minorHAnsi"/>
          <w:color w:val="000000" w:themeColor="text1"/>
        </w:rPr>
        <w:t>dissolution rate</w:t>
      </w:r>
      <w:r w:rsidRPr="00564A46">
        <w:rPr>
          <w:rFonts w:asciiTheme="minorHAnsi" w:hAnsiTheme="minorHAnsi"/>
          <w:color w:val="000000" w:themeColor="text1"/>
        </w:rPr>
        <w:t xml:space="preserve"> occurring in a buffer with infinite buffer capacity when 1) the buffer capacity is within two orders of magnitude of the concentration of ionized drug species in solution at the starting p</w:t>
      </w:r>
      <w:r w:rsidR="000037AA" w:rsidRPr="00564A46">
        <w:rPr>
          <w:rFonts w:asciiTheme="minorHAnsi" w:hAnsiTheme="minorHAnsi"/>
          <w:color w:val="000000" w:themeColor="text1"/>
        </w:rPr>
        <w:t>H</w:t>
      </w:r>
      <w:r w:rsidRPr="00564A46">
        <w:rPr>
          <w:rFonts w:asciiTheme="minorHAnsi" w:hAnsiTheme="minorHAnsi"/>
          <w:color w:val="000000" w:themeColor="text1"/>
        </w:rPr>
        <w:t>, and 2) pH - pK</w:t>
      </w:r>
      <w:r w:rsidRPr="00564A46">
        <w:rPr>
          <w:rFonts w:asciiTheme="minorHAnsi" w:hAnsiTheme="minorHAnsi"/>
          <w:color w:val="000000" w:themeColor="text1"/>
          <w:vertAlign w:val="subscript"/>
        </w:rPr>
        <w:t>a</w:t>
      </w:r>
      <w:r w:rsidR="00A04D90" w:rsidRPr="00564A46">
        <w:rPr>
          <w:rFonts w:asciiTheme="minorHAnsi" w:hAnsiTheme="minorHAnsi"/>
          <w:color w:val="000000" w:themeColor="text1"/>
          <w:vertAlign w:val="subscript"/>
        </w:rPr>
        <w:t xml:space="preserve"> </w:t>
      </w:r>
      <w:r w:rsidRPr="00564A46">
        <w:rPr>
          <w:rFonts w:asciiTheme="minorHAnsi" w:hAnsiTheme="minorHAnsi"/>
          <w:color w:val="000000" w:themeColor="text1"/>
        </w:rPr>
        <w:t xml:space="preserve"> &gt; -1 (weak acids) or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 pH) &gt; -1 (weak bases), where pH equals the starting pH of the buffer.  When </w:t>
      </w:r>
      <w:r w:rsidR="00A04D90" w:rsidRPr="00564A46">
        <w:rPr>
          <w:rFonts w:asciiTheme="minorHAnsi" w:hAnsiTheme="minorHAnsi"/>
          <w:color w:val="000000" w:themeColor="text1"/>
        </w:rPr>
        <w:t xml:space="preserve">the first </w:t>
      </w:r>
      <w:r w:rsidRPr="00564A46">
        <w:rPr>
          <w:rFonts w:asciiTheme="minorHAnsi" w:hAnsiTheme="minorHAnsi"/>
          <w:color w:val="000000" w:themeColor="text1"/>
        </w:rPr>
        <w:t>criterion is met, the pH at the solid-liquid interface (</w:t>
      </w:r>
      <w:r w:rsidR="00A04D90" w:rsidRPr="00564A46">
        <w:rPr>
          <w:rFonts w:asciiTheme="minorHAnsi" w:hAnsiTheme="minorHAnsi"/>
          <w:color w:val="000000" w:themeColor="text1"/>
        </w:rPr>
        <w:t xml:space="preserve">i.e., the </w:t>
      </w:r>
      <w:r w:rsidRPr="00564A46">
        <w:rPr>
          <w:rFonts w:asciiTheme="minorHAnsi" w:hAnsiTheme="minorHAnsi"/>
          <w:color w:val="000000" w:themeColor="text1"/>
        </w:rPr>
        <w:t>“surface pH”) of the dissolving drug particle can range between the starting pH and fall as low as two pH units below (weak acid) or above (weak base) the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of the compound. When </w:t>
      </w:r>
      <w:r w:rsidR="00A04D90" w:rsidRPr="00564A46">
        <w:rPr>
          <w:rFonts w:asciiTheme="minorHAnsi" w:hAnsiTheme="minorHAnsi"/>
          <w:color w:val="000000" w:themeColor="text1"/>
        </w:rPr>
        <w:t xml:space="preserve">the second </w:t>
      </w:r>
      <w:r w:rsidR="001045C6" w:rsidRPr="00564A46">
        <w:rPr>
          <w:rFonts w:asciiTheme="minorHAnsi" w:hAnsiTheme="minorHAnsi"/>
          <w:color w:val="000000" w:themeColor="text1"/>
        </w:rPr>
        <w:t>criterion</w:t>
      </w:r>
      <w:r w:rsidRPr="00564A46">
        <w:rPr>
          <w:rFonts w:asciiTheme="minorHAnsi" w:hAnsiTheme="minorHAnsi"/>
          <w:color w:val="000000" w:themeColor="text1"/>
        </w:rPr>
        <w:t xml:space="preserve"> is met, the maximum percent ionized </w:t>
      </w:r>
      <w:r w:rsidR="00A04D90" w:rsidRPr="00564A46">
        <w:rPr>
          <w:rFonts w:asciiTheme="minorHAnsi" w:hAnsiTheme="minorHAnsi"/>
          <w:color w:val="000000" w:themeColor="text1"/>
        </w:rPr>
        <w:t xml:space="preserve">drug </w:t>
      </w:r>
      <w:r w:rsidRPr="00564A46">
        <w:rPr>
          <w:rFonts w:asciiTheme="minorHAnsi" w:hAnsiTheme="minorHAnsi"/>
          <w:color w:val="000000" w:themeColor="text1"/>
        </w:rPr>
        <w:t>is 10% or greater. For poorly buffered systems, the percent ionization decreases as the pH drifts below (</w:t>
      </w:r>
      <w:r w:rsidR="00A04D90" w:rsidRPr="00564A46">
        <w:rPr>
          <w:rFonts w:asciiTheme="minorHAnsi" w:hAnsiTheme="minorHAnsi"/>
          <w:color w:val="000000" w:themeColor="text1"/>
        </w:rPr>
        <w:t xml:space="preserve">for </w:t>
      </w:r>
      <w:r w:rsidRPr="00564A46">
        <w:rPr>
          <w:rFonts w:asciiTheme="minorHAnsi" w:hAnsiTheme="minorHAnsi"/>
          <w:color w:val="000000" w:themeColor="text1"/>
        </w:rPr>
        <w:t>weak acid</w:t>
      </w:r>
      <w:r w:rsidR="00A04D90" w:rsidRPr="00564A46">
        <w:rPr>
          <w:rFonts w:asciiTheme="minorHAnsi" w:hAnsiTheme="minorHAnsi"/>
          <w:color w:val="000000" w:themeColor="text1"/>
        </w:rPr>
        <w:t>s</w:t>
      </w:r>
      <w:r w:rsidRPr="00564A46">
        <w:rPr>
          <w:rFonts w:asciiTheme="minorHAnsi" w:hAnsiTheme="minorHAnsi"/>
          <w:color w:val="000000" w:themeColor="text1"/>
        </w:rPr>
        <w:t>) or above the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w:t>
      </w:r>
      <w:r w:rsidR="00A04D90" w:rsidRPr="00564A46">
        <w:rPr>
          <w:rFonts w:asciiTheme="minorHAnsi" w:hAnsiTheme="minorHAnsi"/>
          <w:color w:val="000000" w:themeColor="text1"/>
        </w:rPr>
        <w:t xml:space="preserve">for </w:t>
      </w:r>
      <w:r w:rsidRPr="00564A46">
        <w:rPr>
          <w:rFonts w:asciiTheme="minorHAnsi" w:hAnsiTheme="minorHAnsi"/>
          <w:color w:val="000000" w:themeColor="text1"/>
        </w:rPr>
        <w:t>weak base</w:t>
      </w:r>
      <w:r w:rsidR="00A04D90" w:rsidRPr="00564A46">
        <w:rPr>
          <w:rFonts w:asciiTheme="minorHAnsi" w:hAnsiTheme="minorHAnsi"/>
          <w:color w:val="000000" w:themeColor="text1"/>
        </w:rPr>
        <w:t>s</w:t>
      </w:r>
      <w:r w:rsidRPr="00564A46">
        <w:rPr>
          <w:rFonts w:asciiTheme="minorHAnsi" w:hAnsiTheme="minorHAnsi"/>
          <w:color w:val="000000" w:themeColor="text1"/>
        </w:rPr>
        <w:t>), resulting in a decrease in solubility and dissolution rate.</w:t>
      </w:r>
    </w:p>
    <w:p w14:paraId="7D47C8EC" w14:textId="1520CD8A" w:rsidR="00220951" w:rsidRPr="00564A46" w:rsidRDefault="003205C9">
      <w:pPr>
        <w:spacing w:after="240"/>
        <w:rPr>
          <w:rFonts w:asciiTheme="minorHAnsi" w:hAnsiTheme="minorHAnsi"/>
          <w:color w:val="000000" w:themeColor="text1"/>
        </w:rPr>
      </w:pPr>
      <w:r w:rsidRPr="00564A46">
        <w:rPr>
          <w:rFonts w:asciiTheme="minorHAnsi" w:hAnsiTheme="minorHAnsi"/>
          <w:b/>
          <w:bCs/>
          <w:color w:val="000000" w:themeColor="text1"/>
        </w:rPr>
        <w:t xml:space="preserve">Figure </w:t>
      </w:r>
      <w:r w:rsidR="00A04D90" w:rsidRPr="00564A46">
        <w:rPr>
          <w:rFonts w:asciiTheme="minorHAnsi" w:hAnsiTheme="minorHAnsi"/>
          <w:b/>
          <w:bCs/>
          <w:color w:val="000000" w:themeColor="text1"/>
        </w:rPr>
        <w:t>S</w:t>
      </w:r>
      <w:r w:rsidR="0063738A" w:rsidRPr="00564A46">
        <w:rPr>
          <w:rFonts w:asciiTheme="minorHAnsi" w:hAnsiTheme="minorHAnsi"/>
          <w:b/>
          <w:bCs/>
          <w:color w:val="000000" w:themeColor="text1"/>
        </w:rPr>
        <w:t>5</w:t>
      </w:r>
      <w:r w:rsidR="000037AA" w:rsidRPr="00564A46">
        <w:rPr>
          <w:rFonts w:asciiTheme="minorHAnsi" w:hAnsiTheme="minorHAnsi"/>
          <w:color w:val="000000" w:themeColor="text1"/>
        </w:rPr>
        <w:t xml:space="preserve"> shows the p</w:t>
      </w:r>
      <w:r w:rsidR="003D61BC" w:rsidRPr="00564A46">
        <w:rPr>
          <w:rFonts w:ascii="Calibri" w:hAnsi="Calibri"/>
          <w:color w:val="000000" w:themeColor="text1"/>
        </w:rPr>
        <w:t xml:space="preserve">redicted </w:t>
      </w:r>
      <w:r w:rsidR="00A04D90" w:rsidRPr="00564A46">
        <w:rPr>
          <w:rFonts w:ascii="Calibri" w:hAnsi="Calibri"/>
          <w:color w:val="000000" w:themeColor="text1"/>
        </w:rPr>
        <w:t>surface-area-</w:t>
      </w:r>
      <w:r w:rsidR="003D61BC" w:rsidRPr="00564A46">
        <w:rPr>
          <w:rFonts w:ascii="Calibri" w:hAnsi="Calibri"/>
          <w:color w:val="000000" w:themeColor="text1"/>
        </w:rPr>
        <w:t xml:space="preserve">normalized relative dissolution rate of a </w:t>
      </w:r>
      <w:r w:rsidR="00E24EDF" w:rsidRPr="00564A46">
        <w:rPr>
          <w:rFonts w:ascii="Calibri" w:hAnsi="Calibri"/>
          <w:color w:val="000000" w:themeColor="text1"/>
        </w:rPr>
        <w:t>monoprotic</w:t>
      </w:r>
      <w:r w:rsidR="003D61BC" w:rsidRPr="00564A46">
        <w:rPr>
          <w:rFonts w:ascii="Calibri" w:hAnsi="Calibri"/>
          <w:color w:val="000000" w:themeColor="text1"/>
        </w:rPr>
        <w:t xml:space="preserve"> drug (with a given intrinsic solubility and pK</w:t>
      </w:r>
      <w:r w:rsidR="003D61BC" w:rsidRPr="00564A46">
        <w:rPr>
          <w:rFonts w:ascii="Calibri" w:hAnsi="Calibri"/>
          <w:color w:val="000000" w:themeColor="text1"/>
          <w:vertAlign w:val="subscript"/>
        </w:rPr>
        <w:t>a</w:t>
      </w:r>
      <w:r w:rsidR="003D61BC" w:rsidRPr="00564A46">
        <w:rPr>
          <w:rFonts w:ascii="Calibri" w:hAnsi="Calibri"/>
          <w:color w:val="000000" w:themeColor="text1"/>
        </w:rPr>
        <w:t xml:space="preserve">) dissolving in a </w:t>
      </w:r>
      <w:r w:rsidR="00E24EDF" w:rsidRPr="00564A46">
        <w:rPr>
          <w:rFonts w:ascii="Calibri" w:hAnsi="Calibri"/>
          <w:color w:val="000000" w:themeColor="text1"/>
        </w:rPr>
        <w:t>monoprotic</w:t>
      </w:r>
      <w:r w:rsidR="003D61BC" w:rsidRPr="00564A46">
        <w:rPr>
          <w:rFonts w:ascii="Calibri" w:hAnsi="Calibri"/>
          <w:color w:val="000000" w:themeColor="text1"/>
        </w:rPr>
        <w:t xml:space="preserve"> buffer (at a given pH with a given pK</w:t>
      </w:r>
      <w:r w:rsidR="003D61BC" w:rsidRPr="00564A46">
        <w:rPr>
          <w:rFonts w:ascii="Calibri" w:hAnsi="Calibri"/>
          <w:color w:val="000000" w:themeColor="text1"/>
          <w:vertAlign w:val="subscript"/>
        </w:rPr>
        <w:t>a</w:t>
      </w:r>
      <w:r w:rsidR="003D61BC" w:rsidRPr="00564A46">
        <w:rPr>
          <w:rFonts w:ascii="Calibri" w:hAnsi="Calibri"/>
          <w:color w:val="000000" w:themeColor="text1"/>
        </w:rPr>
        <w:t xml:space="preserve"> and buffer concentration).</w:t>
      </w:r>
      <w:r w:rsidR="00D9380B" w:rsidRPr="00564A46">
        <w:rPr>
          <w:rFonts w:ascii="Calibri" w:hAnsi="Calibri"/>
          <w:color w:val="000000" w:themeColor="text1"/>
        </w:rPr>
        <w:t xml:space="preserve"> </w:t>
      </w:r>
      <w:r w:rsidR="00A04D90" w:rsidRPr="00564A46">
        <w:rPr>
          <w:rFonts w:ascii="Calibri" w:hAnsi="Calibri"/>
          <w:color w:val="000000" w:themeColor="text1"/>
        </w:rPr>
        <w:t xml:space="preserve">The </w:t>
      </w:r>
      <w:r w:rsidR="00D9380B" w:rsidRPr="00564A46">
        <w:rPr>
          <w:rFonts w:asciiTheme="minorHAnsi" w:hAnsiTheme="minorHAnsi"/>
          <w:color w:val="000000" w:themeColor="text1"/>
        </w:rPr>
        <w:t>y</w:t>
      </w:r>
      <w:r w:rsidR="00A04D90" w:rsidRPr="00564A46">
        <w:rPr>
          <w:rFonts w:asciiTheme="minorHAnsi" w:hAnsiTheme="minorHAnsi"/>
          <w:color w:val="000000" w:themeColor="text1"/>
        </w:rPr>
        <w:t xml:space="preserve"> </w:t>
      </w:r>
      <w:r w:rsidR="00D9380B" w:rsidRPr="00564A46">
        <w:rPr>
          <w:rFonts w:asciiTheme="minorHAnsi" w:hAnsiTheme="minorHAnsi"/>
          <w:color w:val="000000" w:themeColor="text1"/>
        </w:rPr>
        <w:t xml:space="preserve">axis </w:t>
      </w:r>
      <w:r w:rsidR="00A04D90" w:rsidRPr="00564A46">
        <w:rPr>
          <w:rFonts w:asciiTheme="minorHAnsi" w:hAnsiTheme="minorHAnsi"/>
          <w:color w:val="000000" w:themeColor="text1"/>
        </w:rPr>
        <w:t xml:space="preserve">represents the </w:t>
      </w:r>
      <w:r w:rsidR="00D9380B" w:rsidRPr="00564A46">
        <w:rPr>
          <w:rFonts w:ascii="Calibri" w:hAnsi="Calibri"/>
          <w:color w:val="000000" w:themeColor="text1"/>
        </w:rPr>
        <w:t>predicted dissolution rate in the given buffer divided by the predicted dissolution rate in a buffer at the same pH, but at infinite buffer capacity.</w:t>
      </w:r>
      <w:r w:rsidR="00D9380B" w:rsidRPr="00564A46">
        <w:rPr>
          <w:rFonts w:asciiTheme="minorHAnsi" w:hAnsiTheme="minorHAnsi"/>
          <w:color w:val="000000" w:themeColor="text1"/>
        </w:rPr>
        <w:t xml:space="preserve"> </w:t>
      </w:r>
      <w:r w:rsidR="00A04D90" w:rsidRPr="00564A46">
        <w:rPr>
          <w:rFonts w:asciiTheme="minorHAnsi" w:hAnsiTheme="minorHAnsi"/>
          <w:color w:val="000000" w:themeColor="text1"/>
        </w:rPr>
        <w:t xml:space="preserve">The x </w:t>
      </w:r>
      <w:r w:rsidR="00D9380B" w:rsidRPr="00564A46">
        <w:rPr>
          <w:rFonts w:asciiTheme="minorHAnsi" w:hAnsiTheme="minorHAnsi"/>
          <w:color w:val="000000" w:themeColor="text1"/>
        </w:rPr>
        <w:t xml:space="preserve">axis </w:t>
      </w:r>
      <w:r w:rsidR="00A04D90" w:rsidRPr="00564A46">
        <w:rPr>
          <w:rFonts w:asciiTheme="minorHAnsi" w:hAnsiTheme="minorHAnsi"/>
          <w:color w:val="000000" w:themeColor="text1"/>
        </w:rPr>
        <w:t xml:space="preserve">represents the </w:t>
      </w:r>
      <w:r w:rsidR="000037AA" w:rsidRPr="00564A46">
        <w:rPr>
          <w:rFonts w:asciiTheme="minorHAnsi" w:hAnsiTheme="minorHAnsi"/>
          <w:color w:val="000000" w:themeColor="text1"/>
        </w:rPr>
        <w:t xml:space="preserve">logarithm of </w:t>
      </w:r>
      <w:r w:rsidR="00A04D90" w:rsidRPr="00564A46">
        <w:rPr>
          <w:rFonts w:asciiTheme="minorHAnsi" w:hAnsiTheme="minorHAnsi"/>
          <w:color w:val="000000" w:themeColor="text1"/>
        </w:rPr>
        <w:t>buffer capacity</w:t>
      </w:r>
      <w:r w:rsidR="000037AA" w:rsidRPr="00564A46">
        <w:rPr>
          <w:rFonts w:asciiTheme="minorHAnsi" w:hAnsiTheme="minorHAnsi"/>
          <w:color w:val="000000" w:themeColor="text1"/>
        </w:rPr>
        <w:t xml:space="preserve"> divided by the </w:t>
      </w:r>
      <w:r w:rsidR="00D9380B" w:rsidRPr="00564A46">
        <w:rPr>
          <w:rFonts w:asciiTheme="minorHAnsi" w:hAnsiTheme="minorHAnsi"/>
          <w:color w:val="000000" w:themeColor="text1"/>
        </w:rPr>
        <w:t xml:space="preserve">concentration of ionized drug at </w:t>
      </w:r>
      <w:r w:rsidR="000037AA" w:rsidRPr="00564A46">
        <w:rPr>
          <w:rFonts w:asciiTheme="minorHAnsi" w:hAnsiTheme="minorHAnsi"/>
          <w:color w:val="000000" w:themeColor="text1"/>
        </w:rPr>
        <w:t xml:space="preserve">the </w:t>
      </w:r>
      <w:r w:rsidR="00D9380B" w:rsidRPr="00564A46">
        <w:rPr>
          <w:rFonts w:asciiTheme="minorHAnsi" w:hAnsiTheme="minorHAnsi"/>
          <w:color w:val="000000" w:themeColor="text1"/>
        </w:rPr>
        <w:t xml:space="preserve">starting pH, where buffer capacity is calculated using the Van Slyke equation and </w:t>
      </w:r>
      <w:r w:rsidR="00A04D90" w:rsidRPr="00564A46">
        <w:rPr>
          <w:rFonts w:asciiTheme="minorHAnsi" w:hAnsiTheme="minorHAnsi"/>
          <w:color w:val="000000" w:themeColor="text1"/>
        </w:rPr>
        <w:t xml:space="preserve">the </w:t>
      </w:r>
      <w:r w:rsidR="00D9380B" w:rsidRPr="00564A46">
        <w:rPr>
          <w:rFonts w:asciiTheme="minorHAnsi" w:hAnsiTheme="minorHAnsi"/>
          <w:color w:val="000000" w:themeColor="text1"/>
        </w:rPr>
        <w:t xml:space="preserve">concentration of ionized drug at starting pH = </w:t>
      </w:r>
      <w:r w:rsidR="00A04D90" w:rsidRPr="00564A46">
        <w:rPr>
          <w:rFonts w:asciiTheme="minorHAnsi" w:hAnsiTheme="minorHAnsi"/>
          <w:color w:val="000000" w:themeColor="text1"/>
        </w:rPr>
        <w:t>S</w:t>
      </w:r>
      <w:r w:rsidR="00A04D90" w:rsidRPr="00564A46">
        <w:rPr>
          <w:rFonts w:asciiTheme="minorHAnsi" w:hAnsiTheme="minorHAnsi"/>
          <w:color w:val="000000" w:themeColor="text1"/>
          <w:vertAlign w:val="subscript"/>
        </w:rPr>
        <w:t>0</w:t>
      </w:r>
      <w:r w:rsidR="00D9380B" w:rsidRPr="00564A46">
        <w:rPr>
          <w:rFonts w:asciiTheme="minorHAnsi" w:hAnsiTheme="minorHAnsi"/>
          <w:color w:val="000000" w:themeColor="text1"/>
        </w:rPr>
        <w:t>(10</w:t>
      </w:r>
      <w:r w:rsidR="00D9380B" w:rsidRPr="00564A46">
        <w:rPr>
          <w:rFonts w:asciiTheme="minorHAnsi" w:hAnsiTheme="minorHAnsi"/>
          <w:color w:val="000000" w:themeColor="text1"/>
          <w:vertAlign w:val="superscript"/>
        </w:rPr>
        <w:t>pH-pKa</w:t>
      </w:r>
      <w:r w:rsidR="00D9380B" w:rsidRPr="00564A46">
        <w:rPr>
          <w:rFonts w:asciiTheme="minorHAnsi" w:hAnsiTheme="minorHAnsi"/>
          <w:color w:val="000000" w:themeColor="text1"/>
        </w:rPr>
        <w:t xml:space="preserve">) for acids and = </w:t>
      </w:r>
      <w:r w:rsidR="00A04D90" w:rsidRPr="00564A46">
        <w:rPr>
          <w:rFonts w:asciiTheme="minorHAnsi" w:hAnsiTheme="minorHAnsi"/>
          <w:color w:val="000000" w:themeColor="text1"/>
        </w:rPr>
        <w:t>S</w:t>
      </w:r>
      <w:r w:rsidR="00A04D90" w:rsidRPr="00564A46">
        <w:rPr>
          <w:rFonts w:asciiTheme="minorHAnsi" w:hAnsiTheme="minorHAnsi"/>
          <w:color w:val="000000" w:themeColor="text1"/>
          <w:vertAlign w:val="subscript"/>
        </w:rPr>
        <w:t>0</w:t>
      </w:r>
      <w:r w:rsidR="00D9380B" w:rsidRPr="00564A46">
        <w:rPr>
          <w:rFonts w:asciiTheme="minorHAnsi" w:hAnsiTheme="minorHAnsi"/>
          <w:color w:val="000000" w:themeColor="text1"/>
        </w:rPr>
        <w:t>(10</w:t>
      </w:r>
      <w:r w:rsidR="00D9380B" w:rsidRPr="00564A46">
        <w:rPr>
          <w:rFonts w:asciiTheme="minorHAnsi" w:hAnsiTheme="minorHAnsi"/>
          <w:color w:val="000000" w:themeColor="text1"/>
          <w:vertAlign w:val="superscript"/>
        </w:rPr>
        <w:t>pKa-pH</w:t>
      </w:r>
      <w:r w:rsidR="00D9380B" w:rsidRPr="00564A46">
        <w:rPr>
          <w:rFonts w:asciiTheme="minorHAnsi" w:hAnsiTheme="minorHAnsi"/>
          <w:color w:val="000000" w:themeColor="text1"/>
        </w:rPr>
        <w:t xml:space="preserve">) for bases. </w:t>
      </w:r>
      <w:r w:rsidR="00554389" w:rsidRPr="00564A46">
        <w:rPr>
          <w:rFonts w:asciiTheme="minorHAnsi" w:hAnsiTheme="minorHAnsi"/>
          <w:color w:val="000000" w:themeColor="text1"/>
        </w:rPr>
        <w:t xml:space="preserve">These calculations assume </w:t>
      </w:r>
      <w:r w:rsidR="0042460D" w:rsidRPr="00564A46">
        <w:rPr>
          <w:rFonts w:asciiTheme="minorHAnsi" w:hAnsiTheme="minorHAnsi"/>
          <w:color w:val="000000" w:themeColor="text1"/>
        </w:rPr>
        <w:t xml:space="preserve">an </w:t>
      </w:r>
      <w:r w:rsidR="00D9380B" w:rsidRPr="00564A46">
        <w:rPr>
          <w:rFonts w:asciiTheme="minorHAnsi" w:hAnsiTheme="minorHAnsi"/>
          <w:color w:val="000000" w:themeColor="text1"/>
        </w:rPr>
        <w:t xml:space="preserve">aqueous diffusion coefficient of drug </w:t>
      </w:r>
      <w:r w:rsidR="0042460D" w:rsidRPr="00564A46">
        <w:rPr>
          <w:rFonts w:asciiTheme="minorHAnsi" w:hAnsiTheme="minorHAnsi"/>
          <w:color w:val="000000" w:themeColor="text1"/>
        </w:rPr>
        <w:t xml:space="preserve">of </w:t>
      </w:r>
      <w:r w:rsidR="00D9380B" w:rsidRPr="00564A46">
        <w:rPr>
          <w:rFonts w:asciiTheme="minorHAnsi" w:hAnsiTheme="minorHAnsi"/>
          <w:color w:val="000000" w:themeColor="text1"/>
        </w:rPr>
        <w:t>7.9</w:t>
      </w:r>
      <w:r w:rsidR="0042460D" w:rsidRPr="00564A46">
        <w:rPr>
          <w:rFonts w:asciiTheme="minorHAnsi" w:hAnsiTheme="minorHAnsi"/>
          <w:color w:val="000000" w:themeColor="text1"/>
        </w:rPr>
        <w:t xml:space="preserve"> </w:t>
      </w:r>
      <w:r w:rsidR="00D9380B" w:rsidRPr="00564A46">
        <w:rPr>
          <w:rFonts w:asciiTheme="minorHAnsi" w:hAnsiTheme="minorHAnsi"/>
          <w:color w:val="000000" w:themeColor="text1"/>
        </w:rPr>
        <w:t>×</w:t>
      </w:r>
      <w:r w:rsidR="0042460D" w:rsidRPr="00564A46">
        <w:rPr>
          <w:rFonts w:asciiTheme="minorHAnsi" w:hAnsiTheme="minorHAnsi"/>
          <w:color w:val="000000" w:themeColor="text1"/>
        </w:rPr>
        <w:t xml:space="preserve"> </w:t>
      </w:r>
      <w:r w:rsidR="00D9380B" w:rsidRPr="00564A46">
        <w:rPr>
          <w:rFonts w:asciiTheme="minorHAnsi" w:hAnsiTheme="minorHAnsi"/>
          <w:color w:val="000000" w:themeColor="text1"/>
        </w:rPr>
        <w:t>10</w:t>
      </w:r>
      <w:r w:rsidR="00D9380B" w:rsidRPr="00564A46">
        <w:rPr>
          <w:rFonts w:asciiTheme="minorHAnsi" w:hAnsiTheme="minorHAnsi"/>
          <w:color w:val="000000" w:themeColor="text1"/>
          <w:vertAlign w:val="superscript"/>
        </w:rPr>
        <w:t>-6</w:t>
      </w:r>
      <w:r w:rsidR="00D9380B" w:rsidRPr="00564A46">
        <w:rPr>
          <w:rFonts w:asciiTheme="minorHAnsi" w:hAnsiTheme="minorHAnsi"/>
          <w:color w:val="000000" w:themeColor="text1"/>
        </w:rPr>
        <w:t xml:space="preserve"> and </w:t>
      </w:r>
      <w:r w:rsidR="00220951" w:rsidRPr="00564A46">
        <w:rPr>
          <w:rFonts w:asciiTheme="minorHAnsi" w:hAnsiTheme="minorHAnsi"/>
          <w:color w:val="000000" w:themeColor="text1"/>
        </w:rPr>
        <w:t xml:space="preserve">a diffusion layer </w:t>
      </w:r>
      <w:r w:rsidR="00333F57" w:rsidRPr="00564A46">
        <w:rPr>
          <w:rFonts w:asciiTheme="minorHAnsi" w:hAnsiTheme="minorHAnsi"/>
          <w:color w:val="000000" w:themeColor="text1"/>
        </w:rPr>
        <w:t>thickness =</w:t>
      </w:r>
      <w:r w:rsidR="00D9380B" w:rsidRPr="00564A46">
        <w:rPr>
          <w:rFonts w:asciiTheme="minorHAnsi" w:hAnsiTheme="minorHAnsi"/>
          <w:color w:val="000000" w:themeColor="text1"/>
        </w:rPr>
        <w:t xml:space="preserve"> 30 µm. </w:t>
      </w:r>
      <w:r w:rsidR="00A04D90" w:rsidRPr="00564A46">
        <w:rPr>
          <w:rFonts w:asciiTheme="minorHAnsi" w:hAnsiTheme="minorHAnsi"/>
          <w:color w:val="000000" w:themeColor="text1"/>
        </w:rPr>
        <w:t xml:space="preserve">The shaded </w:t>
      </w:r>
      <w:r w:rsidR="00D9380B" w:rsidRPr="00564A46">
        <w:rPr>
          <w:rFonts w:asciiTheme="minorHAnsi" w:hAnsiTheme="minorHAnsi"/>
          <w:color w:val="000000" w:themeColor="text1"/>
        </w:rPr>
        <w:t xml:space="preserve">area represents </w:t>
      </w:r>
      <w:r w:rsidR="00A04D90" w:rsidRPr="00564A46">
        <w:rPr>
          <w:rFonts w:asciiTheme="minorHAnsi" w:hAnsiTheme="minorHAnsi"/>
          <w:color w:val="000000" w:themeColor="text1"/>
        </w:rPr>
        <w:t xml:space="preserve">the </w:t>
      </w:r>
      <w:r w:rsidR="00D9380B" w:rsidRPr="00564A46">
        <w:rPr>
          <w:rFonts w:asciiTheme="minorHAnsi" w:hAnsiTheme="minorHAnsi"/>
          <w:color w:val="000000" w:themeColor="text1"/>
        </w:rPr>
        <w:t xml:space="preserve">region in which buffer capacity is expected to have a significant impact on dissolution rate. </w:t>
      </w:r>
    </w:p>
    <w:p w14:paraId="3AFC97BC" w14:textId="77777777" w:rsidR="00220951" w:rsidRPr="00564A46" w:rsidRDefault="00220951">
      <w:pPr>
        <w:spacing w:after="160" w:line="259" w:lineRule="auto"/>
        <w:rPr>
          <w:rFonts w:asciiTheme="minorHAnsi" w:hAnsiTheme="minorHAnsi"/>
          <w:color w:val="000000" w:themeColor="text1"/>
        </w:rPr>
      </w:pPr>
      <w:r w:rsidRPr="00564A46">
        <w:rPr>
          <w:rFonts w:asciiTheme="minorHAnsi" w:hAnsiTheme="minorHAnsi"/>
          <w:color w:val="000000" w:themeColor="text1"/>
        </w:rPr>
        <w:br w:type="page"/>
      </w:r>
    </w:p>
    <w:p w14:paraId="544D7D6C" w14:textId="1D6E640E" w:rsidR="003205C9" w:rsidRPr="00564A46" w:rsidRDefault="001A2E76" w:rsidP="00300F65">
      <w:pPr>
        <w:spacing w:after="240"/>
        <w:rPr>
          <w:rFonts w:asciiTheme="minorHAnsi" w:hAnsiTheme="minorHAnsi"/>
          <w:color w:val="000000" w:themeColor="text1"/>
        </w:rPr>
      </w:pPr>
      <w:r w:rsidRPr="00564A46">
        <w:rPr>
          <w:rFonts w:asciiTheme="minorHAnsi" w:hAnsiTheme="minorHAnsi"/>
          <w:noProof/>
          <w:color w:val="000000" w:themeColor="text1"/>
        </w:rPr>
        <w:lastRenderedPageBreak/>
        <w:drawing>
          <wp:inline distT="0" distB="0" distL="0" distR="0" wp14:anchorId="2F012356" wp14:editId="1E5EBBE5">
            <wp:extent cx="5760720" cy="5646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ure normalized buffer capacity.tiff"/>
                    <pic:cNvPicPr/>
                  </pic:nvPicPr>
                  <pic:blipFill>
                    <a:blip r:embed="rId13">
                      <a:extLst>
                        <a:ext uri="{28A0092B-C50C-407E-A947-70E740481C1C}">
                          <a14:useLocalDpi xmlns:a14="http://schemas.microsoft.com/office/drawing/2010/main" val="0"/>
                        </a:ext>
                      </a:extLst>
                    </a:blip>
                    <a:stretch>
                      <a:fillRect/>
                    </a:stretch>
                  </pic:blipFill>
                  <pic:spPr>
                    <a:xfrm>
                      <a:off x="0" y="0"/>
                      <a:ext cx="5760720" cy="5646420"/>
                    </a:xfrm>
                    <a:prstGeom prst="rect">
                      <a:avLst/>
                    </a:prstGeom>
                  </pic:spPr>
                </pic:pic>
              </a:graphicData>
            </a:graphic>
          </wp:inline>
        </w:drawing>
      </w:r>
    </w:p>
    <w:p w14:paraId="4FD3C682" w14:textId="29E5DFD2" w:rsidR="00220951" w:rsidRPr="00564A46" w:rsidRDefault="00220951" w:rsidP="00BC796B">
      <w:pPr>
        <w:spacing w:after="240" w:line="240" w:lineRule="auto"/>
        <w:rPr>
          <w:rFonts w:asciiTheme="minorHAnsi" w:hAnsiTheme="minorHAnsi"/>
          <w:color w:val="000000" w:themeColor="text1"/>
        </w:rPr>
      </w:pPr>
      <w:r w:rsidRPr="00564A46">
        <w:rPr>
          <w:rFonts w:asciiTheme="minorHAnsi" w:hAnsiTheme="minorHAnsi"/>
          <w:b/>
          <w:color w:val="000000" w:themeColor="text1"/>
        </w:rPr>
        <w:t>Figure S</w:t>
      </w:r>
      <w:r w:rsidR="0063738A" w:rsidRPr="00564A46">
        <w:rPr>
          <w:rFonts w:asciiTheme="minorHAnsi" w:hAnsiTheme="minorHAnsi"/>
          <w:b/>
          <w:color w:val="000000" w:themeColor="text1"/>
        </w:rPr>
        <w:t>5</w:t>
      </w:r>
      <w:r w:rsidRPr="00564A46">
        <w:rPr>
          <w:rFonts w:asciiTheme="minorHAnsi" w:hAnsiTheme="minorHAnsi"/>
          <w:b/>
          <w:color w:val="000000" w:themeColor="text1"/>
        </w:rPr>
        <w:t xml:space="preserve">. </w:t>
      </w:r>
      <w:r w:rsidRPr="00564A46">
        <w:rPr>
          <w:rFonts w:asciiTheme="minorHAnsi" w:hAnsiTheme="minorHAnsi"/>
          <w:color w:val="000000" w:themeColor="text1"/>
        </w:rPr>
        <w:t>P</w:t>
      </w:r>
      <w:r w:rsidRPr="00564A46">
        <w:rPr>
          <w:rFonts w:ascii="Calibri" w:hAnsi="Calibri"/>
          <w:color w:val="000000" w:themeColor="text1"/>
        </w:rPr>
        <w:t>redicted surface-area-normalized relative dissolution rate of a monoprotic drug dissolving in a monoprotic buffer</w:t>
      </w:r>
      <w:r w:rsidRPr="00564A46">
        <w:rPr>
          <w:rFonts w:asciiTheme="minorHAnsi" w:hAnsiTheme="minorHAnsi"/>
          <w:b/>
          <w:color w:val="000000" w:themeColor="text1"/>
        </w:rPr>
        <w:t xml:space="preserve">. </w:t>
      </w:r>
      <w:proofErr w:type="spellStart"/>
      <w:r w:rsidRPr="00564A46">
        <w:rPr>
          <w:rFonts w:asciiTheme="minorHAnsi" w:hAnsiTheme="minorHAnsi"/>
          <w:color w:val="000000" w:themeColor="text1"/>
        </w:rPr>
        <w:t>pH</w:t>
      </w:r>
      <w:r w:rsidRPr="00564A46">
        <w:rPr>
          <w:rFonts w:asciiTheme="minorHAnsi" w:hAnsiTheme="minorHAnsi"/>
          <w:color w:val="000000" w:themeColor="text1"/>
          <w:vertAlign w:val="subscript"/>
        </w:rPr>
        <w:t>s</w:t>
      </w:r>
      <w:proofErr w:type="spellEnd"/>
      <w:r w:rsidRPr="00564A46">
        <w:rPr>
          <w:rFonts w:asciiTheme="minorHAnsi" w:hAnsiTheme="minorHAnsi"/>
          <w:color w:val="000000" w:themeColor="text1"/>
        </w:rPr>
        <w:t xml:space="preserve"> = pH at the surface of the solid-liquid interface of the dissolving drug substance, </w:t>
      </w:r>
      <w:proofErr w:type="spellStart"/>
      <w:r w:rsidRPr="00564A46">
        <w:rPr>
          <w:rFonts w:asciiTheme="minorHAnsi" w:hAnsiTheme="minorHAnsi"/>
          <w:color w:val="000000" w:themeColor="text1"/>
        </w:rPr>
        <w:t>pH</w:t>
      </w:r>
      <w:r w:rsidRPr="00564A46">
        <w:rPr>
          <w:rFonts w:asciiTheme="minorHAnsi" w:hAnsiTheme="minorHAnsi"/>
          <w:color w:val="000000" w:themeColor="text1"/>
          <w:vertAlign w:val="subscript"/>
        </w:rPr>
        <w:t>in</w:t>
      </w:r>
      <w:proofErr w:type="spellEnd"/>
      <w:r w:rsidRPr="00564A46">
        <w:rPr>
          <w:rFonts w:asciiTheme="minorHAnsi" w:hAnsiTheme="minorHAnsi"/>
          <w:color w:val="000000" w:themeColor="text1"/>
        </w:rPr>
        <w:t xml:space="preserve"> = starting pH in the bulk solution, S</w:t>
      </w:r>
      <w:r w:rsidRPr="00564A46">
        <w:rPr>
          <w:rFonts w:asciiTheme="minorHAnsi" w:hAnsiTheme="minorHAnsi"/>
          <w:color w:val="000000" w:themeColor="text1"/>
          <w:vertAlign w:val="subscript"/>
        </w:rPr>
        <w:t>0</w:t>
      </w:r>
      <w:r w:rsidRPr="00564A46">
        <w:rPr>
          <w:rFonts w:asciiTheme="minorHAnsi" w:hAnsiTheme="minorHAnsi"/>
          <w:color w:val="000000" w:themeColor="text1"/>
        </w:rPr>
        <w:t xml:space="preserve"> = intrinsic solubility of the drug substance, C</w:t>
      </w:r>
      <w:r w:rsidRPr="00564A46">
        <w:rPr>
          <w:rFonts w:asciiTheme="minorHAnsi" w:hAnsiTheme="minorHAnsi"/>
          <w:color w:val="000000" w:themeColor="text1"/>
          <w:vertAlign w:val="subscript"/>
        </w:rPr>
        <w:t>s</w:t>
      </w:r>
      <w:r w:rsidRPr="00564A46">
        <w:rPr>
          <w:rFonts w:asciiTheme="minorHAnsi" w:hAnsiTheme="minorHAnsi"/>
          <w:color w:val="000000" w:themeColor="text1"/>
        </w:rPr>
        <w:t xml:space="preserve"> = total saturation solubility at the solid-liquid interface of the dissolving drug substance, </w:t>
      </w:r>
      <w:proofErr w:type="spellStart"/>
      <w:r w:rsidRPr="00564A46">
        <w:rPr>
          <w:rFonts w:asciiTheme="minorHAnsi" w:hAnsiTheme="minorHAnsi"/>
          <w:color w:val="000000" w:themeColor="text1"/>
        </w:rPr>
        <w:t>C</w:t>
      </w:r>
      <w:r w:rsidRPr="00564A46">
        <w:rPr>
          <w:rFonts w:asciiTheme="minorHAnsi" w:hAnsiTheme="minorHAnsi"/>
          <w:color w:val="000000" w:themeColor="text1"/>
          <w:vertAlign w:val="subscript"/>
        </w:rPr>
        <w:t>s,max</w:t>
      </w:r>
      <w:proofErr w:type="spellEnd"/>
      <w:r w:rsidRPr="00564A46">
        <w:rPr>
          <w:rFonts w:asciiTheme="minorHAnsi" w:hAnsiTheme="minorHAnsi"/>
          <w:color w:val="000000" w:themeColor="text1"/>
        </w:rPr>
        <w:t xml:space="preserve"> = maximum total saturation solubility at the solid-liquid interface of the dissolving drug substance in the given buffer system (i.e., at starting pH).</w:t>
      </w:r>
    </w:p>
    <w:p w14:paraId="4E1C9D8B" w14:textId="77777777" w:rsidR="00BC796B" w:rsidRPr="00564A46" w:rsidRDefault="00BC796B">
      <w:pPr>
        <w:spacing w:after="160" w:line="259" w:lineRule="auto"/>
        <w:rPr>
          <w:rFonts w:ascii="Arial" w:eastAsiaTheme="majorEastAsia" w:hAnsi="Arial" w:cs="Arial"/>
          <w:b/>
          <w:bCs/>
          <w:color w:val="000000" w:themeColor="text1"/>
          <w:sz w:val="26"/>
          <w:szCs w:val="26"/>
        </w:rPr>
      </w:pPr>
      <w:r w:rsidRPr="00564A46">
        <w:rPr>
          <w:color w:val="000000" w:themeColor="text1"/>
        </w:rPr>
        <w:br w:type="page"/>
      </w:r>
    </w:p>
    <w:p w14:paraId="6ED76FB1" w14:textId="7EC8148D" w:rsidR="00FA1C97" w:rsidRPr="00564A46" w:rsidRDefault="0063738A" w:rsidP="0063738A">
      <w:pPr>
        <w:pStyle w:val="Heading2"/>
        <w:rPr>
          <w:color w:val="000000" w:themeColor="text1"/>
        </w:rPr>
      </w:pPr>
      <w:r w:rsidRPr="00564A46">
        <w:rPr>
          <w:color w:val="000000" w:themeColor="text1"/>
        </w:rPr>
        <w:lastRenderedPageBreak/>
        <w:t xml:space="preserve">Section </w:t>
      </w:r>
      <w:r w:rsidR="009970DF" w:rsidRPr="00564A46">
        <w:rPr>
          <w:color w:val="000000" w:themeColor="text1"/>
        </w:rPr>
        <w:t>3</w:t>
      </w:r>
      <w:r w:rsidRPr="00564A46">
        <w:rPr>
          <w:color w:val="000000" w:themeColor="text1"/>
        </w:rPr>
        <w:t xml:space="preserve">. Equivalent </w:t>
      </w:r>
      <w:r w:rsidR="005F0621" w:rsidRPr="00564A46">
        <w:rPr>
          <w:color w:val="000000" w:themeColor="text1"/>
        </w:rPr>
        <w:t>M</w:t>
      </w:r>
      <w:r w:rsidRPr="00564A46">
        <w:rPr>
          <w:color w:val="000000" w:themeColor="text1"/>
        </w:rPr>
        <w:t xml:space="preserve">aleate </w:t>
      </w:r>
      <w:r w:rsidR="005F0621" w:rsidRPr="00564A46">
        <w:rPr>
          <w:color w:val="000000" w:themeColor="text1"/>
        </w:rPr>
        <w:t>B</w:t>
      </w:r>
      <w:r w:rsidRPr="00564A46">
        <w:rPr>
          <w:color w:val="000000" w:themeColor="text1"/>
        </w:rPr>
        <w:t xml:space="preserve">uffer </w:t>
      </w:r>
      <w:r w:rsidR="005F0621" w:rsidRPr="00564A46">
        <w:rPr>
          <w:color w:val="000000" w:themeColor="text1"/>
        </w:rPr>
        <w:t>C</w:t>
      </w:r>
      <w:r w:rsidRPr="00564A46">
        <w:rPr>
          <w:color w:val="000000" w:themeColor="text1"/>
        </w:rPr>
        <w:t>oncentrations at pH 5.</w:t>
      </w:r>
      <w:r w:rsidR="00B0154D" w:rsidRPr="00564A46">
        <w:rPr>
          <w:color w:val="000000" w:themeColor="text1"/>
        </w:rPr>
        <w:t>5</w:t>
      </w:r>
      <w:r w:rsidRPr="00564A46">
        <w:rPr>
          <w:color w:val="000000" w:themeColor="text1"/>
        </w:rPr>
        <w:t>.</w:t>
      </w:r>
    </w:p>
    <w:p w14:paraId="5CC96892" w14:textId="3A5C3D16" w:rsidR="00444ACE" w:rsidRPr="00564A46" w:rsidRDefault="00444ACE" w:rsidP="00444ACE">
      <w:pPr>
        <w:rPr>
          <w:color w:val="000000" w:themeColor="text1"/>
        </w:rPr>
      </w:pPr>
      <w:r w:rsidRPr="00564A46">
        <w:rPr>
          <w:noProof/>
          <w:color w:val="000000" w:themeColor="text1"/>
        </w:rPr>
        <w:drawing>
          <wp:inline distT="0" distB="0" distL="0" distR="0" wp14:anchorId="7FA0568C" wp14:editId="775739B5">
            <wp:extent cx="5212080" cy="3291840"/>
            <wp:effectExtent l="0" t="0" r="7620" b="3810"/>
            <wp:docPr id="4" name="Chart 4">
              <a:extLst xmlns:a="http://schemas.openxmlformats.org/drawingml/2006/main">
                <a:ext uri="{FF2B5EF4-FFF2-40B4-BE49-F238E27FC236}">
                  <a16:creationId xmlns:a16="http://schemas.microsoft.com/office/drawing/2014/main" id="{9BFD2435-B1CC-466C-99F6-4317927C0D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4A4C45" w14:textId="05DADCE4" w:rsidR="0069723C" w:rsidRPr="00564A46" w:rsidRDefault="0069723C" w:rsidP="00300F65">
      <w:pPr>
        <w:spacing w:after="240"/>
        <w:rPr>
          <w:rFonts w:asciiTheme="minorHAnsi" w:hAnsiTheme="minorHAnsi"/>
          <w:b/>
          <w:color w:val="000000" w:themeColor="text1"/>
        </w:rPr>
      </w:pPr>
      <w:r w:rsidRPr="00564A46">
        <w:rPr>
          <w:noProof/>
          <w:color w:val="000000" w:themeColor="text1"/>
        </w:rPr>
        <w:drawing>
          <wp:inline distT="0" distB="0" distL="0" distR="0" wp14:anchorId="3858CAFB" wp14:editId="6362C286">
            <wp:extent cx="5212080" cy="3291840"/>
            <wp:effectExtent l="0" t="0" r="7620" b="3810"/>
            <wp:docPr id="14" name="Chart 14">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7E1C9D" w14:textId="48B64EF2" w:rsidR="0069723C" w:rsidRPr="00564A46" w:rsidRDefault="0069723C" w:rsidP="0069723C">
      <w:pPr>
        <w:spacing w:after="240" w:line="240" w:lineRule="auto"/>
        <w:rPr>
          <w:rFonts w:asciiTheme="minorHAnsi" w:hAnsiTheme="minorHAnsi"/>
          <w:bCs/>
          <w:color w:val="000000" w:themeColor="text1"/>
        </w:rPr>
      </w:pPr>
      <w:r w:rsidRPr="00564A46">
        <w:rPr>
          <w:rFonts w:asciiTheme="minorHAnsi" w:hAnsiTheme="minorHAnsi"/>
          <w:b/>
          <w:color w:val="000000" w:themeColor="text1"/>
        </w:rPr>
        <w:t>Figure S</w:t>
      </w:r>
      <w:r w:rsidR="0063738A" w:rsidRPr="00564A46">
        <w:rPr>
          <w:rFonts w:asciiTheme="minorHAnsi" w:hAnsiTheme="minorHAnsi"/>
          <w:b/>
          <w:color w:val="000000" w:themeColor="text1"/>
        </w:rPr>
        <w:t>6</w:t>
      </w:r>
      <w:r w:rsidRPr="00564A46">
        <w:rPr>
          <w:rFonts w:asciiTheme="minorHAnsi" w:hAnsiTheme="minorHAnsi"/>
          <w:b/>
          <w:color w:val="000000" w:themeColor="text1"/>
        </w:rPr>
        <w:t xml:space="preserve">. </w:t>
      </w:r>
      <w:r w:rsidRPr="00564A46">
        <w:rPr>
          <w:rFonts w:asciiTheme="minorHAnsi" w:hAnsiTheme="minorHAnsi"/>
          <w:bCs/>
          <w:color w:val="000000" w:themeColor="text1"/>
        </w:rPr>
        <w:t>Equivalent pH 5.</w:t>
      </w:r>
      <w:r w:rsidR="00B0154D" w:rsidRPr="00564A46">
        <w:rPr>
          <w:rFonts w:asciiTheme="minorHAnsi" w:hAnsiTheme="minorHAnsi"/>
          <w:bCs/>
          <w:color w:val="000000" w:themeColor="text1"/>
        </w:rPr>
        <w:t>5</w:t>
      </w:r>
      <w:r w:rsidRPr="00564A46">
        <w:rPr>
          <w:rFonts w:asciiTheme="minorHAnsi" w:hAnsiTheme="minorHAnsi"/>
          <w:bCs/>
          <w:color w:val="000000" w:themeColor="text1"/>
        </w:rPr>
        <w:t xml:space="preserve"> maleate buffer to match a </w:t>
      </w:r>
      <w:r w:rsidR="00AD44F7" w:rsidRPr="00564A46">
        <w:rPr>
          <w:rFonts w:asciiTheme="minorHAnsi" w:hAnsiTheme="minorHAnsi"/>
          <w:bCs/>
          <w:color w:val="000000" w:themeColor="text1"/>
        </w:rPr>
        <w:t>4 mM bicarbonate (1</w:t>
      </w:r>
      <w:r w:rsidR="00343339" w:rsidRPr="00564A46">
        <w:rPr>
          <w:rFonts w:asciiTheme="minorHAnsi" w:hAnsiTheme="minorHAnsi"/>
          <w:bCs/>
          <w:color w:val="000000" w:themeColor="text1"/>
        </w:rPr>
        <w:t>6.7</w:t>
      </w:r>
      <w:r w:rsidR="00AD44F7" w:rsidRPr="00564A46">
        <w:rPr>
          <w:rFonts w:asciiTheme="minorHAnsi" w:hAnsiTheme="minorHAnsi"/>
          <w:bCs/>
          <w:color w:val="000000" w:themeColor="text1"/>
        </w:rPr>
        <w:t xml:space="preserve"> mM total buffer concentration)</w:t>
      </w:r>
      <w:r w:rsidRPr="00564A46">
        <w:rPr>
          <w:rFonts w:asciiTheme="minorHAnsi" w:hAnsiTheme="minorHAnsi"/>
          <w:bCs/>
          <w:color w:val="000000" w:themeColor="text1"/>
        </w:rPr>
        <w:t xml:space="preserve"> buffer for a weak acid (top) or weak base (bottom). Assumes drug diffusivity = 7.9 X 10</w:t>
      </w:r>
      <w:r w:rsidRPr="00564A46">
        <w:rPr>
          <w:rFonts w:asciiTheme="minorHAnsi" w:hAnsiTheme="minorHAnsi"/>
          <w:bCs/>
          <w:color w:val="000000" w:themeColor="text1"/>
          <w:vertAlign w:val="superscript"/>
        </w:rPr>
        <w:t>-6</w:t>
      </w:r>
      <w:r w:rsidRPr="00564A46">
        <w:rPr>
          <w:rFonts w:asciiTheme="minorHAnsi" w:hAnsiTheme="minorHAnsi"/>
          <w:bCs/>
          <w:color w:val="000000" w:themeColor="text1"/>
        </w:rPr>
        <w:t xml:space="preserve"> cm</w:t>
      </w:r>
      <w:r w:rsidRPr="00564A46">
        <w:rPr>
          <w:rFonts w:asciiTheme="minorHAnsi" w:hAnsiTheme="minorHAnsi"/>
          <w:bCs/>
          <w:color w:val="000000" w:themeColor="text1"/>
          <w:vertAlign w:val="superscript"/>
        </w:rPr>
        <w:t>2</w:t>
      </w:r>
      <w:r w:rsidRPr="00564A46">
        <w:rPr>
          <w:rFonts w:asciiTheme="minorHAnsi" w:hAnsiTheme="minorHAnsi"/>
          <w:bCs/>
          <w:color w:val="000000" w:themeColor="text1"/>
        </w:rPr>
        <w:t xml:space="preserve">/s. Assumes diffusion layer thickness = 30 </w:t>
      </w:r>
      <w:r w:rsidRPr="00564A46">
        <w:rPr>
          <w:rFonts w:asciiTheme="minorHAnsi" w:hAnsiTheme="minorHAnsi" w:cstheme="minorHAnsi"/>
          <w:bCs/>
          <w:color w:val="000000" w:themeColor="text1"/>
        </w:rPr>
        <w:t>µ</w:t>
      </w:r>
      <w:r w:rsidRPr="00564A46">
        <w:rPr>
          <w:rFonts w:asciiTheme="minorHAnsi" w:hAnsiTheme="minorHAnsi"/>
          <w:bCs/>
          <w:color w:val="000000" w:themeColor="text1"/>
        </w:rPr>
        <w:t>m.</w:t>
      </w:r>
    </w:p>
    <w:p w14:paraId="458B00A2" w14:textId="6EDEF7A5" w:rsidR="009970DF" w:rsidRPr="00564A46" w:rsidRDefault="009970DF" w:rsidP="009970DF">
      <w:pPr>
        <w:pStyle w:val="Heading2"/>
        <w:rPr>
          <w:color w:val="000000" w:themeColor="text1"/>
        </w:rPr>
      </w:pPr>
      <w:r w:rsidRPr="00564A46">
        <w:rPr>
          <w:color w:val="000000" w:themeColor="text1"/>
        </w:rPr>
        <w:lastRenderedPageBreak/>
        <w:t>Section 4. pH and Buffer Capacity Considerations for Polyprotic Drugs</w:t>
      </w:r>
    </w:p>
    <w:p w14:paraId="00A41B73" w14:textId="77777777" w:rsidR="009970DF" w:rsidRPr="00564A46" w:rsidRDefault="009970DF" w:rsidP="009970DF">
      <w:pPr>
        <w:spacing w:after="240"/>
        <w:rPr>
          <w:rFonts w:asciiTheme="minorHAnsi" w:hAnsiTheme="minorHAnsi"/>
          <w:color w:val="000000" w:themeColor="text1"/>
        </w:rPr>
      </w:pPr>
      <w:r w:rsidRPr="00564A46">
        <w:rPr>
          <w:rFonts w:asciiTheme="minorHAnsi" w:hAnsiTheme="minorHAnsi"/>
          <w:color w:val="000000" w:themeColor="text1"/>
        </w:rPr>
        <w:t>The pH and buffer capacity recommendations provided in this tutorial are based upon monoprotic weak acids and bases (i.e. molecule contains a single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A drug is considered a monoprotic weak acid when it has an acidic pK</w:t>
      </w:r>
      <w:r w:rsidRPr="00564A46">
        <w:rPr>
          <w:rFonts w:asciiTheme="minorHAnsi" w:hAnsiTheme="minorHAnsi"/>
          <w:color w:val="000000" w:themeColor="text1"/>
          <w:vertAlign w:val="subscript"/>
        </w:rPr>
        <w:t xml:space="preserve">a </w:t>
      </w:r>
      <w:r w:rsidRPr="00564A46">
        <w:rPr>
          <w:rFonts w:asciiTheme="minorHAnsi" w:hAnsiTheme="minorHAnsi"/>
          <w:color w:val="000000" w:themeColor="text1"/>
        </w:rPr>
        <w:t>&lt; 8. A drug is considered a monoprotic weak base when it has a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&gt; 1. Polyprotic weak acids have at least two acidic </w:t>
      </w:r>
      <w:proofErr w:type="spellStart"/>
      <w:r w:rsidRPr="00564A46">
        <w:rPr>
          <w:rFonts w:asciiTheme="minorHAnsi" w:hAnsiTheme="minorHAnsi"/>
          <w:color w:val="000000" w:themeColor="text1"/>
        </w:rPr>
        <w:t>pK</w:t>
      </w:r>
      <w:r w:rsidRPr="00564A46">
        <w:rPr>
          <w:rFonts w:asciiTheme="minorHAnsi" w:hAnsiTheme="minorHAnsi"/>
          <w:color w:val="000000" w:themeColor="text1"/>
          <w:vertAlign w:val="subscript"/>
        </w:rPr>
        <w:t>a</w:t>
      </w:r>
      <w:r w:rsidRPr="00564A46">
        <w:rPr>
          <w:rFonts w:asciiTheme="minorHAnsi" w:hAnsiTheme="minorHAnsi"/>
          <w:color w:val="000000" w:themeColor="text1"/>
        </w:rPr>
        <w:t>s</w:t>
      </w:r>
      <w:proofErr w:type="spellEnd"/>
      <w:r w:rsidRPr="00564A46">
        <w:rPr>
          <w:rFonts w:asciiTheme="minorHAnsi" w:hAnsiTheme="minorHAnsi"/>
          <w:color w:val="000000" w:themeColor="text1"/>
        </w:rPr>
        <w:t xml:space="preserve"> &lt; 8, while polyprotic weak bases have at least two </w:t>
      </w:r>
      <w:proofErr w:type="spellStart"/>
      <w:r w:rsidRPr="00564A46">
        <w:rPr>
          <w:rFonts w:asciiTheme="minorHAnsi" w:hAnsiTheme="minorHAnsi"/>
          <w:color w:val="000000" w:themeColor="text1"/>
        </w:rPr>
        <w:t>pK</w:t>
      </w:r>
      <w:r w:rsidRPr="00564A46">
        <w:rPr>
          <w:rFonts w:asciiTheme="minorHAnsi" w:hAnsiTheme="minorHAnsi"/>
          <w:color w:val="000000" w:themeColor="text1"/>
          <w:vertAlign w:val="subscript"/>
        </w:rPr>
        <w:t>a</w:t>
      </w:r>
      <w:r w:rsidRPr="00564A46">
        <w:rPr>
          <w:rFonts w:asciiTheme="minorHAnsi" w:hAnsiTheme="minorHAnsi"/>
          <w:color w:val="000000" w:themeColor="text1"/>
        </w:rPr>
        <w:t>s</w:t>
      </w:r>
      <w:proofErr w:type="spellEnd"/>
      <w:r w:rsidRPr="00564A46">
        <w:rPr>
          <w:rFonts w:asciiTheme="minorHAnsi" w:hAnsiTheme="minorHAnsi"/>
          <w:color w:val="000000" w:themeColor="text1"/>
        </w:rPr>
        <w:t xml:space="preserve"> &gt; 1. Zwitterions have at least one acidic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&lt; 8 and at least one basic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&gt;1. Recommendations for how to apply these recommendations to polyprotic weak acids and bases and zwitterions are described below.</w:t>
      </w:r>
    </w:p>
    <w:p w14:paraId="32BDC107" w14:textId="77777777" w:rsidR="009970DF" w:rsidRPr="00564A46" w:rsidRDefault="009970DF" w:rsidP="009970DF">
      <w:pPr>
        <w:pStyle w:val="Heading3"/>
        <w:rPr>
          <w:color w:val="000000" w:themeColor="text1"/>
        </w:rPr>
      </w:pPr>
      <w:r w:rsidRPr="00564A46">
        <w:rPr>
          <w:color w:val="000000" w:themeColor="text1"/>
        </w:rPr>
        <w:t>Selection of pH</w:t>
      </w:r>
    </w:p>
    <w:p w14:paraId="34A2F081" w14:textId="273D1C2D" w:rsidR="009970DF" w:rsidRPr="00564A46" w:rsidRDefault="009970DF" w:rsidP="009970DF">
      <w:pPr>
        <w:spacing w:after="240"/>
        <w:rPr>
          <w:rFonts w:asciiTheme="minorHAnsi" w:hAnsiTheme="minorHAnsi"/>
          <w:color w:val="000000" w:themeColor="text1"/>
        </w:rPr>
      </w:pPr>
      <w:r w:rsidRPr="00564A46">
        <w:rPr>
          <w:rFonts w:asciiTheme="minorHAnsi" w:hAnsiTheme="minorHAnsi"/>
          <w:color w:val="000000" w:themeColor="text1"/>
        </w:rPr>
        <w:t xml:space="preserve">pH recommendations in this tutorial are based upon whether a difference in solubility and therefore dissolution rate and/or precipitation is expected as a function of the pKa of a monoprotic weak acid or base and the physiological pH range in the fasted human. While not provided in this tutorial, the reader can use software such as ADMET </w:t>
      </w:r>
      <w:proofErr w:type="spellStart"/>
      <w:r w:rsidRPr="00564A46">
        <w:rPr>
          <w:rFonts w:asciiTheme="minorHAnsi" w:hAnsiTheme="minorHAnsi"/>
          <w:color w:val="000000" w:themeColor="text1"/>
        </w:rPr>
        <w:t>Predictor</w:t>
      </w:r>
      <w:r w:rsidRPr="00564A46">
        <w:rPr>
          <w:rFonts w:asciiTheme="minorHAnsi" w:hAnsiTheme="minorHAnsi"/>
          <w:color w:val="000000" w:themeColor="text1"/>
          <w:vertAlign w:val="superscript"/>
        </w:rPr>
        <w:t>TM</w:t>
      </w:r>
      <w:proofErr w:type="spellEnd"/>
      <w:r w:rsidRPr="00564A46">
        <w:rPr>
          <w:rFonts w:asciiTheme="minorHAnsi" w:hAnsiTheme="minorHAnsi"/>
          <w:color w:val="000000" w:themeColor="text1"/>
        </w:rPr>
        <w:t xml:space="preserve"> (Simulations Plus, Lancaster, CA) or chemicalize.com (</w:t>
      </w:r>
      <w:proofErr w:type="spellStart"/>
      <w:r w:rsidRPr="00564A46">
        <w:rPr>
          <w:rFonts w:asciiTheme="minorHAnsi" w:hAnsiTheme="minorHAnsi"/>
          <w:color w:val="000000" w:themeColor="text1"/>
        </w:rPr>
        <w:t>ChemAxon</w:t>
      </w:r>
      <w:proofErr w:type="spellEnd"/>
      <w:r w:rsidRPr="00564A46">
        <w:rPr>
          <w:rFonts w:asciiTheme="minorHAnsi" w:hAnsiTheme="minorHAnsi"/>
          <w:color w:val="000000" w:themeColor="text1"/>
        </w:rPr>
        <w:t xml:space="preserve"> Ltd), for example, to visualize the pH-ionization and pH-solubility profiles of a given polyprotic acid, polyprotic base or </w:t>
      </w:r>
      <w:r w:rsidR="00564A46" w:rsidRPr="00564A46">
        <w:rPr>
          <w:rFonts w:asciiTheme="minorHAnsi" w:hAnsiTheme="minorHAnsi"/>
          <w:color w:val="FF0000"/>
        </w:rPr>
        <w:t>ampholyte</w:t>
      </w:r>
      <w:r w:rsidRPr="00564A46">
        <w:rPr>
          <w:rFonts w:asciiTheme="minorHAnsi" w:hAnsiTheme="minorHAnsi"/>
          <w:color w:val="000000" w:themeColor="text1"/>
        </w:rPr>
        <w:t>. The pH-solubility profile can be used to determine over what pH range solubility (and therefore dissolution rate and/or precipitation) is expected to differ significantly. If the drug is highly non-ionized and solubility is at or near the intrinsic solubility in the pH range 1-3 of the stomach, then the drug can be categorized as a weak acid. If at least a 2-fold difference in solubility is expected over a pH range of 5.5 – 7, then the reader can follow the recommendations for when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 7. If the drug is highly ionized and solubility is much higher than the intrinsic solubility (i.e. by 10-100-fold), then the drug can be categorized as a weak base. If at least a 2-fold difference in solubility is expected over a pH range of 5.5 – 7, then the reader can follow the recommendations for when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 5.5.</w:t>
      </w:r>
    </w:p>
    <w:p w14:paraId="69F1445D" w14:textId="77777777" w:rsidR="009970DF" w:rsidRPr="00564A46" w:rsidRDefault="009970DF" w:rsidP="009970DF">
      <w:pPr>
        <w:spacing w:after="240"/>
        <w:rPr>
          <w:rFonts w:asciiTheme="minorHAnsi" w:hAnsiTheme="minorHAnsi"/>
          <w:color w:val="000000" w:themeColor="text1"/>
        </w:rPr>
      </w:pPr>
    </w:p>
    <w:p w14:paraId="67D88E85" w14:textId="0D26A3DC" w:rsidR="009970DF" w:rsidRPr="00564A46" w:rsidRDefault="009970DF" w:rsidP="009970DF">
      <w:pPr>
        <w:spacing w:after="240"/>
        <w:rPr>
          <w:rFonts w:asciiTheme="minorHAnsi" w:hAnsiTheme="minorHAnsi"/>
          <w:color w:val="000000" w:themeColor="text1"/>
        </w:rPr>
      </w:pPr>
      <w:r w:rsidRPr="00564A46">
        <w:rPr>
          <w:rFonts w:asciiTheme="minorHAnsi" w:hAnsiTheme="minorHAnsi"/>
          <w:color w:val="000000" w:themeColor="text1"/>
        </w:rPr>
        <w:lastRenderedPageBreak/>
        <w:t>In absence of determining the pH solubility profile, the following method can also be used for selecting pH for polyprotic acids or bases. For polyprotic bases, the recommendation for when pKa is ≥ 5.5 should be followed if at least one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 5.5. For polyprotic acids the recommendation for when pKa ≤ 7 should be followed if at least one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 7. However, this approach is not recommended for </w:t>
      </w:r>
      <w:r w:rsidR="00564A46" w:rsidRPr="00564A46">
        <w:rPr>
          <w:rFonts w:asciiTheme="minorHAnsi" w:hAnsiTheme="minorHAnsi"/>
          <w:color w:val="FF0000"/>
        </w:rPr>
        <w:t>ampholyte</w:t>
      </w:r>
      <w:r w:rsidRPr="00564A46">
        <w:rPr>
          <w:rFonts w:asciiTheme="minorHAnsi" w:hAnsiTheme="minorHAnsi"/>
          <w:color w:val="FF0000"/>
        </w:rPr>
        <w:t>s</w:t>
      </w:r>
      <w:r w:rsidRPr="00564A46">
        <w:rPr>
          <w:rFonts w:asciiTheme="minorHAnsi" w:hAnsiTheme="minorHAnsi"/>
          <w:color w:val="000000" w:themeColor="text1"/>
        </w:rPr>
        <w:t>, since the extent of ionization and therefore the solubility as a function of pH is less predictable.</w:t>
      </w:r>
    </w:p>
    <w:p w14:paraId="79E067AB" w14:textId="77777777" w:rsidR="009970DF" w:rsidRPr="00564A46" w:rsidRDefault="009970DF" w:rsidP="009970DF">
      <w:pPr>
        <w:pStyle w:val="Heading3"/>
        <w:rPr>
          <w:color w:val="000000" w:themeColor="text1"/>
        </w:rPr>
      </w:pPr>
      <w:r w:rsidRPr="00564A46">
        <w:rPr>
          <w:color w:val="000000" w:themeColor="text1"/>
        </w:rPr>
        <w:t>Selection of buffer capacity</w:t>
      </w:r>
    </w:p>
    <w:p w14:paraId="30F605C8" w14:textId="7D75B2DE" w:rsidR="009970DF" w:rsidRPr="00564A46" w:rsidRDefault="009970DF" w:rsidP="009970DF">
      <w:pPr>
        <w:spacing w:after="240"/>
        <w:rPr>
          <w:rFonts w:asciiTheme="minorHAnsi" w:hAnsiTheme="minorHAnsi"/>
          <w:color w:val="000000" w:themeColor="text1"/>
        </w:rPr>
      </w:pPr>
      <w:bookmarkStart w:id="0" w:name="_GoBack"/>
      <w:r w:rsidRPr="00564A46">
        <w:rPr>
          <w:rFonts w:asciiTheme="minorHAnsi" w:hAnsiTheme="minorHAnsi"/>
          <w:color w:val="000000" w:themeColor="text1"/>
        </w:rPr>
        <w:t>For polyprotic acids, if at least one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is less than the cutoff </w:t>
      </w:r>
      <w:r w:rsidR="006C4452" w:rsidRPr="006C4452">
        <w:rPr>
          <w:rFonts w:asciiTheme="minorHAnsi" w:hAnsiTheme="minorHAnsi"/>
          <w:color w:val="FF0000"/>
        </w:rPr>
        <w:t>of</w:t>
      </w:r>
      <w:r w:rsidRPr="00564A46">
        <w:rPr>
          <w:rFonts w:asciiTheme="minorHAnsi" w:hAnsiTheme="minorHAnsi"/>
          <w:color w:val="000000" w:themeColor="text1"/>
        </w:rPr>
        <w:t xml:space="preserve"> 6, </w:t>
      </w:r>
      <w:bookmarkEnd w:id="0"/>
      <w:r w:rsidRPr="00564A46">
        <w:rPr>
          <w:rFonts w:asciiTheme="minorHAnsi" w:hAnsiTheme="minorHAnsi"/>
          <w:color w:val="000000" w:themeColor="text1"/>
        </w:rPr>
        <w:t>then dissolved drug may impact the solid surface pH when α is below the cutoff of 11. The value of α can be calculated using the lowest (i.e. strongest) pKa. For polyprotic weak bases, if at least one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is greater than the cutoff of 7, then dissolved drug may impact the solid surface pH if β is below the cutoff of 12. The value of β can be calculated using the highest (i.e. strongest)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This approach can also be applied to acidic and basic </w:t>
      </w:r>
      <w:proofErr w:type="spellStart"/>
      <w:r w:rsidRPr="00564A46">
        <w:rPr>
          <w:rFonts w:asciiTheme="minorHAnsi" w:hAnsiTheme="minorHAnsi"/>
          <w:color w:val="000000" w:themeColor="text1"/>
        </w:rPr>
        <w:t>pK</w:t>
      </w:r>
      <w:r w:rsidRPr="00564A46">
        <w:rPr>
          <w:rFonts w:asciiTheme="minorHAnsi" w:hAnsiTheme="minorHAnsi"/>
          <w:color w:val="000000" w:themeColor="text1"/>
          <w:vertAlign w:val="subscript"/>
        </w:rPr>
        <w:t>a</w:t>
      </w:r>
      <w:r w:rsidRPr="00564A46">
        <w:rPr>
          <w:rFonts w:asciiTheme="minorHAnsi" w:hAnsiTheme="minorHAnsi"/>
          <w:color w:val="000000" w:themeColor="text1"/>
        </w:rPr>
        <w:t>s</w:t>
      </w:r>
      <w:proofErr w:type="spellEnd"/>
      <w:r w:rsidRPr="00564A46">
        <w:rPr>
          <w:rFonts w:asciiTheme="minorHAnsi" w:hAnsiTheme="minorHAnsi"/>
          <w:color w:val="000000" w:themeColor="text1"/>
        </w:rPr>
        <w:t xml:space="preserve"> of </w:t>
      </w:r>
      <w:r w:rsidR="00564A46" w:rsidRPr="00564A46">
        <w:rPr>
          <w:rFonts w:asciiTheme="minorHAnsi" w:hAnsiTheme="minorHAnsi"/>
          <w:color w:val="FF0000"/>
        </w:rPr>
        <w:t>ampholyte</w:t>
      </w:r>
      <w:r w:rsidRPr="00564A46">
        <w:rPr>
          <w:rFonts w:asciiTheme="minorHAnsi" w:hAnsiTheme="minorHAnsi"/>
          <w:color w:val="FF0000"/>
        </w:rPr>
        <w:t>s</w:t>
      </w:r>
      <w:r w:rsidRPr="00564A46">
        <w:rPr>
          <w:rFonts w:asciiTheme="minorHAnsi" w:hAnsiTheme="minorHAnsi"/>
          <w:color w:val="000000" w:themeColor="text1"/>
        </w:rPr>
        <w:t xml:space="preserve">. If one or multiple </w:t>
      </w:r>
      <w:proofErr w:type="spellStart"/>
      <w:r w:rsidRPr="00564A46">
        <w:rPr>
          <w:rFonts w:asciiTheme="minorHAnsi" w:hAnsiTheme="minorHAnsi"/>
          <w:color w:val="000000" w:themeColor="text1"/>
        </w:rPr>
        <w:t>pK</w:t>
      </w:r>
      <w:r w:rsidRPr="00564A46">
        <w:rPr>
          <w:rFonts w:asciiTheme="minorHAnsi" w:hAnsiTheme="minorHAnsi"/>
          <w:color w:val="000000" w:themeColor="text1"/>
          <w:vertAlign w:val="subscript"/>
        </w:rPr>
        <w:t>a</w:t>
      </w:r>
      <w:r w:rsidRPr="00564A46">
        <w:rPr>
          <w:rFonts w:asciiTheme="minorHAnsi" w:hAnsiTheme="minorHAnsi"/>
          <w:color w:val="000000" w:themeColor="text1"/>
        </w:rPr>
        <w:t>s</w:t>
      </w:r>
      <w:proofErr w:type="spellEnd"/>
      <w:r w:rsidRPr="00564A46">
        <w:rPr>
          <w:rFonts w:asciiTheme="minorHAnsi" w:hAnsiTheme="minorHAnsi"/>
          <w:color w:val="000000" w:themeColor="text1"/>
        </w:rPr>
        <w:t xml:space="preserve"> suggest an impact of drug on solid surface </w:t>
      </w:r>
      <w:proofErr w:type="gramStart"/>
      <w:r w:rsidRPr="00564A46">
        <w:rPr>
          <w:rFonts w:asciiTheme="minorHAnsi" w:hAnsiTheme="minorHAnsi"/>
          <w:color w:val="000000" w:themeColor="text1"/>
        </w:rPr>
        <w:t>pH</w:t>
      </w:r>
      <w:proofErr w:type="gramEnd"/>
      <w:r w:rsidRPr="00564A46">
        <w:rPr>
          <w:rFonts w:asciiTheme="minorHAnsi" w:hAnsiTheme="minorHAnsi"/>
          <w:color w:val="000000" w:themeColor="text1"/>
        </w:rPr>
        <w:t xml:space="preserve"> then calculating an equivalent buffer is recommended.</w:t>
      </w:r>
    </w:p>
    <w:p w14:paraId="0ACA29AB" w14:textId="77777777" w:rsidR="009970DF" w:rsidRPr="00564A46" w:rsidRDefault="009970DF" w:rsidP="0069723C">
      <w:pPr>
        <w:spacing w:after="240" w:line="240" w:lineRule="auto"/>
        <w:rPr>
          <w:rFonts w:asciiTheme="minorHAnsi" w:hAnsiTheme="minorHAnsi"/>
          <w:b/>
          <w:color w:val="000000" w:themeColor="text1"/>
        </w:rPr>
      </w:pPr>
    </w:p>
    <w:p w14:paraId="73A953C8" w14:textId="6469ED7E" w:rsidR="0039234F" w:rsidRPr="00564A46" w:rsidRDefault="00177F8C" w:rsidP="005D704A">
      <w:pPr>
        <w:pStyle w:val="Heading2"/>
        <w:rPr>
          <w:color w:val="000000" w:themeColor="text1"/>
        </w:rPr>
      </w:pPr>
      <w:r w:rsidRPr="00564A46">
        <w:rPr>
          <w:color w:val="000000" w:themeColor="text1"/>
        </w:rPr>
        <w:t xml:space="preserve">Section </w:t>
      </w:r>
      <w:r w:rsidR="0063738A" w:rsidRPr="00564A46">
        <w:rPr>
          <w:color w:val="000000" w:themeColor="text1"/>
        </w:rPr>
        <w:t>5</w:t>
      </w:r>
      <w:r w:rsidRPr="00564A46">
        <w:rPr>
          <w:color w:val="000000" w:themeColor="text1"/>
        </w:rPr>
        <w:t xml:space="preserve">. </w:t>
      </w:r>
      <w:r w:rsidR="0039234F" w:rsidRPr="00564A46">
        <w:rPr>
          <w:color w:val="000000" w:themeColor="text1"/>
        </w:rPr>
        <w:t xml:space="preserve">Estimating </w:t>
      </w:r>
      <w:r w:rsidR="00A04D90" w:rsidRPr="00564A46">
        <w:rPr>
          <w:color w:val="000000" w:themeColor="text1"/>
        </w:rPr>
        <w:t>the R</w:t>
      </w:r>
      <w:r w:rsidR="0039234F" w:rsidRPr="00564A46">
        <w:rPr>
          <w:color w:val="000000" w:themeColor="text1"/>
        </w:rPr>
        <w:t xml:space="preserve">elative </w:t>
      </w:r>
      <w:r w:rsidR="0042460D" w:rsidRPr="00564A46">
        <w:rPr>
          <w:color w:val="000000" w:themeColor="text1"/>
        </w:rPr>
        <w:t xml:space="preserve">Dissolution Rate </w:t>
      </w:r>
      <w:r w:rsidR="0039234F" w:rsidRPr="00564A46">
        <w:rPr>
          <w:color w:val="000000" w:themeColor="text1"/>
        </w:rPr>
        <w:t xml:space="preserve">in </w:t>
      </w:r>
      <w:r w:rsidR="0042460D" w:rsidRPr="00564A46">
        <w:rPr>
          <w:color w:val="000000" w:themeColor="text1"/>
        </w:rPr>
        <w:t>Fasted-State Simulated Intestinal Fluid (</w:t>
      </w:r>
      <w:r w:rsidR="0039234F" w:rsidRPr="00564A46">
        <w:rPr>
          <w:color w:val="000000" w:themeColor="text1"/>
        </w:rPr>
        <w:t>FaSSIF</w:t>
      </w:r>
      <w:r w:rsidR="0042460D" w:rsidRPr="00564A46">
        <w:rPr>
          <w:color w:val="000000" w:themeColor="text1"/>
        </w:rPr>
        <w:t>) V</w:t>
      </w:r>
      <w:r w:rsidR="0039234F" w:rsidRPr="00564A46">
        <w:rPr>
          <w:color w:val="000000" w:themeColor="text1"/>
        </w:rPr>
        <w:t xml:space="preserve">ersus </w:t>
      </w:r>
      <w:r w:rsidR="0042460D" w:rsidRPr="00564A46">
        <w:rPr>
          <w:color w:val="000000" w:themeColor="text1"/>
        </w:rPr>
        <w:t>Blank Buffer</w:t>
      </w:r>
    </w:p>
    <w:p w14:paraId="3C615D21" w14:textId="31C3F39D" w:rsidR="0042460D" w:rsidRPr="00564A46" w:rsidRDefault="0039234F" w:rsidP="00963D35">
      <w:pPr>
        <w:spacing w:after="240"/>
        <w:rPr>
          <w:rFonts w:asciiTheme="minorHAnsi" w:hAnsiTheme="minorHAnsi"/>
          <w:color w:val="000000" w:themeColor="text1"/>
        </w:rPr>
      </w:pPr>
      <w:r w:rsidRPr="00564A46">
        <w:rPr>
          <w:rFonts w:asciiTheme="minorHAnsi" w:hAnsiTheme="minorHAnsi"/>
          <w:color w:val="000000" w:themeColor="text1"/>
        </w:rPr>
        <w:t xml:space="preserve">When drug is associated with mixed lipidic aggregates, the effective diffusion coefficient </w:t>
      </w:r>
      <w:r w:rsidR="0042460D" w:rsidRPr="00564A46">
        <w:rPr>
          <w:rFonts w:asciiTheme="minorHAnsi" w:hAnsiTheme="minorHAnsi"/>
          <w:color w:val="000000" w:themeColor="text1"/>
        </w:rPr>
        <w:t>(D</w:t>
      </w:r>
      <w:r w:rsidR="0042460D" w:rsidRPr="00564A46">
        <w:rPr>
          <w:rFonts w:asciiTheme="minorHAnsi" w:hAnsiTheme="minorHAnsi"/>
          <w:color w:val="000000" w:themeColor="text1"/>
          <w:vertAlign w:val="subscript"/>
        </w:rPr>
        <w:t>eff</w:t>
      </w:r>
      <w:r w:rsidR="0042460D" w:rsidRPr="00564A46">
        <w:rPr>
          <w:rFonts w:asciiTheme="minorHAnsi" w:hAnsiTheme="minorHAnsi"/>
          <w:color w:val="000000" w:themeColor="text1"/>
        </w:rPr>
        <w:t xml:space="preserve">) accounts for that </w:t>
      </w:r>
      <w:r w:rsidRPr="00564A46">
        <w:rPr>
          <w:rFonts w:asciiTheme="minorHAnsi" w:hAnsiTheme="minorHAnsi"/>
          <w:color w:val="000000" w:themeColor="text1"/>
        </w:rPr>
        <w:t xml:space="preserve">of unbound drug </w:t>
      </w:r>
      <w:r w:rsidR="000037AA" w:rsidRPr="00564A46">
        <w:rPr>
          <w:rFonts w:asciiTheme="minorHAnsi" w:hAnsiTheme="minorHAnsi"/>
          <w:color w:val="000000" w:themeColor="text1"/>
        </w:rPr>
        <w:t xml:space="preserve">and </w:t>
      </w:r>
      <w:r w:rsidRPr="00564A46">
        <w:rPr>
          <w:rFonts w:asciiTheme="minorHAnsi" w:hAnsiTheme="minorHAnsi"/>
          <w:color w:val="000000" w:themeColor="text1"/>
        </w:rPr>
        <w:t>drug in mixed lipidic aggregates/micelles. Assuming the main species in solution are unbound drug and drug in mixed lipidic aggregates, D</w:t>
      </w:r>
      <w:r w:rsidRPr="00564A46">
        <w:rPr>
          <w:rFonts w:asciiTheme="minorHAnsi" w:hAnsiTheme="minorHAnsi"/>
          <w:color w:val="000000" w:themeColor="text1"/>
          <w:vertAlign w:val="subscript"/>
        </w:rPr>
        <w:t>eff</w:t>
      </w:r>
      <w:r w:rsidRPr="00564A46">
        <w:rPr>
          <w:rFonts w:asciiTheme="minorHAnsi" w:hAnsiTheme="minorHAnsi"/>
          <w:color w:val="000000" w:themeColor="text1"/>
        </w:rPr>
        <w:t xml:space="preserve"> can be estimated using</w:t>
      </w:r>
    </w:p>
    <w:p w14:paraId="42CEEFF4" w14:textId="6733D610" w:rsidR="0042460D" w:rsidRPr="00564A46" w:rsidRDefault="006C4452" w:rsidP="00963D35">
      <w:pPr>
        <w:tabs>
          <w:tab w:val="right" w:pos="9270"/>
        </w:tabs>
        <w:spacing w:after="240"/>
        <w:rPr>
          <w:rFonts w:asciiTheme="minorHAnsi" w:hAnsiTheme="minorHAnsi"/>
          <w:color w:val="000000" w:themeColor="text1"/>
        </w:rPr>
      </w:pPr>
      <m:oMath>
        <m:sSub>
          <m:sSubPr>
            <m:ctrlPr>
              <w:rPr>
                <w:rFonts w:ascii="Cambria Math" w:hAnsi="Cambria Math"/>
                <w:bCs/>
                <w:i/>
                <w:color w:val="000000" w:themeColor="text1"/>
              </w:rPr>
            </m:ctrlPr>
          </m:sSubPr>
          <m:e>
            <m:r>
              <w:rPr>
                <w:rFonts w:ascii="Cambria Math" w:hAnsi="Cambria Math"/>
                <w:color w:val="000000" w:themeColor="text1"/>
              </w:rPr>
              <m:t>D</m:t>
            </m:r>
          </m:e>
          <m:sub>
            <m:r>
              <w:rPr>
                <w:rFonts w:ascii="Cambria Math" w:hAnsi="Cambria Math"/>
                <w:color w:val="000000" w:themeColor="text1"/>
              </w:rPr>
              <m:t>eff</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D</m:t>
            </m:r>
          </m:e>
          <m:sub>
            <m:r>
              <w:rPr>
                <w:rFonts w:ascii="Cambria Math" w:hAnsi="Cambria Math"/>
                <w:color w:val="000000" w:themeColor="text1"/>
              </w:rPr>
              <m:t>u</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u</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D</m:t>
            </m:r>
          </m:e>
          <m:sub>
            <m:r>
              <w:rPr>
                <w:rFonts w:ascii="Cambria Math" w:hAnsi="Cambria Math"/>
                <w:color w:val="000000" w:themeColor="text1"/>
              </w:rPr>
              <m:t>m</m:t>
            </m:r>
          </m:sub>
        </m:sSub>
        <m:r>
          <w:rPr>
            <w:rFonts w:ascii="Cambria Math" w:hAnsi="Cambria Math"/>
            <w:color w:val="000000" w:themeColor="text1"/>
          </w:rPr>
          <m:t>∙</m:t>
        </m:r>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m</m:t>
            </m:r>
          </m:sub>
        </m:sSub>
      </m:oMath>
      <w:r w:rsidR="0042460D" w:rsidRPr="00564A46">
        <w:rPr>
          <w:rFonts w:asciiTheme="minorHAnsi" w:eastAsiaTheme="minorEastAsia" w:hAnsiTheme="minorHAnsi"/>
          <w:bCs/>
          <w:color w:val="000000" w:themeColor="text1"/>
        </w:rPr>
        <w:t xml:space="preserve"> ,</w:t>
      </w:r>
      <w:r w:rsidR="0042460D" w:rsidRPr="00564A46">
        <w:rPr>
          <w:rFonts w:asciiTheme="minorHAnsi" w:eastAsiaTheme="minorEastAsia" w:hAnsiTheme="minorHAnsi"/>
          <w:b/>
          <w:color w:val="000000" w:themeColor="text1"/>
        </w:rPr>
        <w:tab/>
        <w:t>(S2)</w:t>
      </w:r>
    </w:p>
    <w:p w14:paraId="7810BCC7" w14:textId="25566A32" w:rsidR="0039234F" w:rsidRPr="00564A46" w:rsidRDefault="0039234F" w:rsidP="00963D35">
      <w:pPr>
        <w:spacing w:after="240"/>
        <w:rPr>
          <w:rFonts w:asciiTheme="minorHAnsi" w:hAnsiTheme="minorHAnsi"/>
          <w:color w:val="000000" w:themeColor="text1"/>
        </w:rPr>
      </w:pPr>
      <w:r w:rsidRPr="00564A46">
        <w:rPr>
          <w:rFonts w:asciiTheme="minorHAnsi" w:hAnsiTheme="minorHAnsi"/>
          <w:color w:val="000000" w:themeColor="text1"/>
        </w:rPr>
        <w:lastRenderedPageBreak/>
        <w:t xml:space="preserve"> where D</w:t>
      </w:r>
      <w:r w:rsidRPr="00564A46">
        <w:rPr>
          <w:rFonts w:asciiTheme="minorHAnsi" w:hAnsiTheme="minorHAnsi"/>
          <w:color w:val="000000" w:themeColor="text1"/>
          <w:vertAlign w:val="subscript"/>
        </w:rPr>
        <w:t>u</w:t>
      </w:r>
      <w:r w:rsidRPr="00564A46">
        <w:rPr>
          <w:rFonts w:asciiTheme="minorHAnsi" w:hAnsiTheme="minorHAnsi"/>
          <w:color w:val="000000" w:themeColor="text1"/>
        </w:rPr>
        <w:t xml:space="preserve"> is the average diffusion coefficient of the unbound drug species, </w:t>
      </w:r>
      <w:proofErr w:type="spellStart"/>
      <w:r w:rsidRPr="00564A46">
        <w:rPr>
          <w:rFonts w:asciiTheme="minorHAnsi" w:hAnsiTheme="minorHAnsi"/>
          <w:color w:val="000000" w:themeColor="text1"/>
        </w:rPr>
        <w:t>f</w:t>
      </w:r>
      <w:r w:rsidRPr="00564A46">
        <w:rPr>
          <w:rFonts w:asciiTheme="minorHAnsi" w:hAnsiTheme="minorHAnsi"/>
          <w:color w:val="000000" w:themeColor="text1"/>
          <w:vertAlign w:val="subscript"/>
        </w:rPr>
        <w:t>u</w:t>
      </w:r>
      <w:proofErr w:type="spellEnd"/>
      <w:r w:rsidRPr="00564A46">
        <w:rPr>
          <w:rFonts w:asciiTheme="minorHAnsi" w:hAnsiTheme="minorHAnsi"/>
          <w:color w:val="000000" w:themeColor="text1"/>
        </w:rPr>
        <w:t xml:space="preserve"> is the fraction of the unbound drug species, D</w:t>
      </w:r>
      <w:r w:rsidRPr="00564A46">
        <w:rPr>
          <w:rFonts w:asciiTheme="minorHAnsi" w:hAnsiTheme="minorHAnsi"/>
          <w:color w:val="000000" w:themeColor="text1"/>
          <w:vertAlign w:val="subscript"/>
        </w:rPr>
        <w:t>m</w:t>
      </w:r>
      <w:r w:rsidRPr="00564A46">
        <w:rPr>
          <w:rFonts w:asciiTheme="minorHAnsi" w:hAnsiTheme="minorHAnsi"/>
          <w:color w:val="000000" w:themeColor="text1"/>
        </w:rPr>
        <w:t xml:space="preserve"> is the average diffusion coefficient of the micellar species</w:t>
      </w:r>
      <w:r w:rsidR="000037AA" w:rsidRPr="00564A46">
        <w:rPr>
          <w:rFonts w:asciiTheme="minorHAnsi" w:hAnsiTheme="minorHAnsi"/>
          <w:color w:val="000000" w:themeColor="text1"/>
        </w:rPr>
        <w:t>,</w:t>
      </w:r>
      <w:r w:rsidRPr="00564A46">
        <w:rPr>
          <w:rFonts w:asciiTheme="minorHAnsi" w:hAnsiTheme="minorHAnsi"/>
          <w:color w:val="000000" w:themeColor="text1"/>
        </w:rPr>
        <w:t xml:space="preserve"> and </w:t>
      </w:r>
      <w:proofErr w:type="spellStart"/>
      <w:r w:rsidRPr="00564A46">
        <w:rPr>
          <w:rFonts w:asciiTheme="minorHAnsi" w:hAnsiTheme="minorHAnsi"/>
          <w:color w:val="000000" w:themeColor="text1"/>
        </w:rPr>
        <w:t>f</w:t>
      </w:r>
      <w:r w:rsidRPr="00564A46">
        <w:rPr>
          <w:rFonts w:asciiTheme="minorHAnsi" w:hAnsiTheme="minorHAnsi"/>
          <w:color w:val="000000" w:themeColor="text1"/>
          <w:vertAlign w:val="subscript"/>
        </w:rPr>
        <w:t>m</w:t>
      </w:r>
      <w:proofErr w:type="spellEnd"/>
      <w:r w:rsidRPr="00564A46">
        <w:rPr>
          <w:rFonts w:asciiTheme="minorHAnsi" w:hAnsiTheme="minorHAnsi"/>
          <w:color w:val="000000" w:themeColor="text1"/>
        </w:rPr>
        <w:t xml:space="preserve"> is the fraction of drug in micellar species</w:t>
      </w:r>
      <w:r w:rsidR="006028C2" w:rsidRPr="00564A46">
        <w:rPr>
          <w:rFonts w:asciiTheme="minorHAnsi" w:hAnsiTheme="minorHAnsi"/>
          <w:color w:val="000000" w:themeColor="text1"/>
        </w:rPr>
        <w:t xml:space="preserve"> </w:t>
      </w:r>
      <w:r w:rsidR="006028C2" w:rsidRPr="00564A46">
        <w:rPr>
          <w:rFonts w:asciiTheme="minorHAnsi" w:hAnsiTheme="minorHAnsi"/>
          <w:color w:val="000000" w:themeColor="text1"/>
        </w:rPr>
        <w:fldChar w:fldCharType="begin">
          <w:fldData xml:space="preserve">PEVuZE5vdGU+PENpdGU+PEF1dGhvcj5CYWxha3Jpc2huYW48L0F1dGhvcj48WWVhcj4yMDA0PC9Z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</w:fldData>
        </w:fldChar>
      </w:r>
      <w:r w:rsidR="00613FDE" w:rsidRPr="00564A46">
        <w:rPr>
          <w:rFonts w:asciiTheme="minorHAnsi" w:hAnsiTheme="minorHAnsi"/>
          <w:color w:val="000000" w:themeColor="text1"/>
        </w:rPr>
        <w:instrText xml:space="preserve"> ADDIN EN.CITE </w:instrText>
      </w:r>
      <w:r w:rsidR="00613FDE" w:rsidRPr="00564A46">
        <w:rPr>
          <w:rFonts w:asciiTheme="minorHAnsi" w:hAnsiTheme="minorHAnsi"/>
          <w:color w:val="000000" w:themeColor="text1"/>
        </w:rPr>
        <w:fldChar w:fldCharType="begin">
          <w:fldData xml:space="preserve">PEVuZE5vdGU+PENpdGU+PEF1dGhvcj5CYWxha3Jpc2huYW48L0F1dGhvcj48WWVhcj4yMDA0PC9Z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</w:fldData>
        </w:fldChar>
      </w:r>
      <w:r w:rsidR="00613FDE" w:rsidRPr="00564A46">
        <w:rPr>
          <w:rFonts w:asciiTheme="minorHAnsi" w:hAnsiTheme="minorHAnsi"/>
          <w:color w:val="000000" w:themeColor="text1"/>
        </w:rPr>
        <w:instrText xml:space="preserve"> ADDIN EN.CITE.DATA </w:instrText>
      </w:r>
      <w:r w:rsidR="00613FDE" w:rsidRPr="00564A46">
        <w:rPr>
          <w:rFonts w:asciiTheme="minorHAnsi" w:hAnsiTheme="minorHAnsi"/>
          <w:color w:val="000000" w:themeColor="text1"/>
        </w:rPr>
      </w:r>
      <w:r w:rsidR="00613FDE" w:rsidRPr="00564A46">
        <w:rPr>
          <w:rFonts w:asciiTheme="minorHAnsi" w:hAnsiTheme="minorHAnsi"/>
          <w:color w:val="000000" w:themeColor="text1"/>
        </w:rPr>
        <w:fldChar w:fldCharType="end"/>
      </w:r>
      <w:r w:rsidR="006028C2" w:rsidRPr="00564A46">
        <w:rPr>
          <w:rFonts w:asciiTheme="minorHAnsi" w:hAnsiTheme="minorHAnsi"/>
          <w:color w:val="000000" w:themeColor="text1"/>
        </w:rPr>
      </w:r>
      <w:r w:rsidR="006028C2"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(2-4)</w:t>
      </w:r>
      <w:r w:rsidR="006028C2" w:rsidRPr="00564A46">
        <w:rPr>
          <w:rFonts w:asciiTheme="minorHAnsi" w:hAnsiTheme="minorHAnsi"/>
          <w:color w:val="000000" w:themeColor="text1"/>
        </w:rPr>
        <w:fldChar w:fldCharType="end"/>
      </w:r>
      <w:r w:rsidR="006028C2" w:rsidRPr="00564A46">
        <w:rPr>
          <w:rFonts w:asciiTheme="minorHAnsi" w:hAnsiTheme="minorHAnsi"/>
          <w:color w:val="000000" w:themeColor="text1"/>
        </w:rPr>
        <w:t>.</w:t>
      </w:r>
    </w:p>
    <w:p w14:paraId="3943D4F9" w14:textId="2C3BB825" w:rsidR="0042460D" w:rsidRPr="00564A46" w:rsidRDefault="0039234F" w:rsidP="00963D35">
      <w:pPr>
        <w:spacing w:after="240"/>
        <w:rPr>
          <w:rFonts w:asciiTheme="minorHAnsi" w:hAnsiTheme="minorHAnsi"/>
          <w:color w:val="000000" w:themeColor="text1"/>
        </w:rPr>
      </w:pPr>
      <w:r w:rsidRPr="00564A46">
        <w:rPr>
          <w:rFonts w:asciiTheme="minorHAnsi" w:hAnsiTheme="minorHAnsi"/>
          <w:color w:val="000000" w:themeColor="text1"/>
        </w:rPr>
        <w:t xml:space="preserve">Using the Stokes-Einstein equation to estimate </w:t>
      </w:r>
      <w:r w:rsidR="000037AA" w:rsidRPr="00564A46">
        <w:rPr>
          <w:rFonts w:asciiTheme="minorHAnsi" w:hAnsiTheme="minorHAnsi"/>
          <w:color w:val="000000" w:themeColor="text1"/>
        </w:rPr>
        <w:t xml:space="preserve">the </w:t>
      </w:r>
      <w:r w:rsidRPr="00564A46">
        <w:rPr>
          <w:rFonts w:asciiTheme="minorHAnsi" w:hAnsiTheme="minorHAnsi"/>
          <w:color w:val="000000" w:themeColor="text1"/>
        </w:rPr>
        <w:t>diffusion coefficient based on the average diameter of the vesicles present in FaSSIF (~45 nm), D</w:t>
      </w:r>
      <w:r w:rsidRPr="00564A46">
        <w:rPr>
          <w:rFonts w:asciiTheme="minorHAnsi" w:hAnsiTheme="minorHAnsi"/>
          <w:color w:val="000000" w:themeColor="text1"/>
          <w:vertAlign w:val="subscript"/>
        </w:rPr>
        <w:t>m</w:t>
      </w:r>
      <w:r w:rsidRPr="00564A46">
        <w:rPr>
          <w:rFonts w:asciiTheme="minorHAnsi" w:hAnsiTheme="minorHAnsi"/>
          <w:color w:val="000000" w:themeColor="text1"/>
        </w:rPr>
        <w:t xml:space="preserve"> = 1</w:t>
      </w:r>
      <w:r w:rsidR="0042460D" w:rsidRPr="00564A46">
        <w:rPr>
          <w:rFonts w:asciiTheme="minorHAnsi" w:hAnsiTheme="minorHAnsi"/>
          <w:color w:val="000000" w:themeColor="text1"/>
        </w:rPr>
        <w:t xml:space="preserve"> </w:t>
      </w:r>
      <w:r w:rsidRPr="00564A46">
        <w:rPr>
          <w:rFonts w:asciiTheme="minorHAnsi" w:hAnsiTheme="minorHAnsi"/>
          <w:color w:val="000000" w:themeColor="text1"/>
        </w:rPr>
        <w:t>x</w:t>
      </w:r>
      <w:r w:rsidR="0042460D" w:rsidRPr="00564A46">
        <w:rPr>
          <w:rFonts w:asciiTheme="minorHAnsi" w:hAnsiTheme="minorHAnsi"/>
          <w:color w:val="000000" w:themeColor="text1"/>
        </w:rPr>
        <w:t xml:space="preserve"> </w:t>
      </w:r>
      <w:r w:rsidRPr="00564A46">
        <w:rPr>
          <w:rFonts w:asciiTheme="minorHAnsi" w:hAnsiTheme="minorHAnsi"/>
          <w:color w:val="000000" w:themeColor="text1"/>
        </w:rPr>
        <w:t>10</w:t>
      </w:r>
      <w:r w:rsidRPr="00564A46">
        <w:rPr>
          <w:rFonts w:asciiTheme="minorHAnsi" w:hAnsiTheme="minorHAnsi"/>
          <w:color w:val="000000" w:themeColor="text1"/>
          <w:vertAlign w:val="superscript"/>
        </w:rPr>
        <w:t>-7</w:t>
      </w:r>
      <w:r w:rsidRPr="00564A46">
        <w:rPr>
          <w:rFonts w:asciiTheme="minorHAnsi" w:hAnsiTheme="minorHAnsi"/>
          <w:color w:val="000000" w:themeColor="text1"/>
        </w:rPr>
        <w:t xml:space="preserve"> cm</w:t>
      </w:r>
      <w:r w:rsidRPr="00564A46">
        <w:rPr>
          <w:rFonts w:asciiTheme="minorHAnsi" w:hAnsiTheme="minorHAnsi"/>
          <w:color w:val="000000" w:themeColor="text1"/>
          <w:vertAlign w:val="superscript"/>
        </w:rPr>
        <w:t>2</w:t>
      </w:r>
      <w:r w:rsidRPr="00564A46">
        <w:rPr>
          <w:rFonts w:asciiTheme="minorHAnsi" w:hAnsiTheme="minorHAnsi"/>
          <w:color w:val="000000" w:themeColor="text1"/>
        </w:rPr>
        <w:t>/s for these vesicles</w:t>
      </w:r>
      <w:r w:rsidR="0042460D" w:rsidRPr="00564A46">
        <w:rPr>
          <w:rFonts w:asciiTheme="minorHAnsi" w:hAnsiTheme="minorHAnsi"/>
          <w:color w:val="000000" w:themeColor="text1"/>
        </w:rPr>
        <w:t xml:space="preserve"> (this value </w:t>
      </w:r>
      <w:r w:rsidRPr="00564A46">
        <w:rPr>
          <w:rFonts w:asciiTheme="minorHAnsi" w:hAnsiTheme="minorHAnsi"/>
          <w:color w:val="000000" w:themeColor="text1"/>
        </w:rPr>
        <w:t>has also been confirmed experimentally using dynamic light scattering</w:t>
      </w:r>
      <w:r w:rsidR="0042460D" w:rsidRPr="00564A46">
        <w:rPr>
          <w:rFonts w:asciiTheme="minorHAnsi" w:hAnsiTheme="minorHAnsi"/>
          <w:color w:val="000000" w:themeColor="text1"/>
        </w:rPr>
        <w:t>)</w:t>
      </w:r>
      <w:r w:rsidR="006028C2" w:rsidRPr="00564A46">
        <w:rPr>
          <w:rFonts w:asciiTheme="minorHAnsi" w:hAnsiTheme="minorHAnsi"/>
          <w:color w:val="000000" w:themeColor="text1"/>
        </w:rPr>
        <w:t xml:space="preserve"> </w:t>
      </w:r>
      <w:r w:rsidR="006028C2"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&lt;EndNote&gt;&lt;Cite&gt;&lt;Author&gt;Sugano&lt;/Author&gt;&lt;Year&gt;2007&lt;/Year&gt;&lt;RecNum&gt;151&lt;/RecNum&gt;&lt;DisplayText&gt;(5)&lt;/DisplayText&gt;&lt;record&gt;&lt;rec-number&gt;151&lt;/rec-number&gt;&lt;foreign-keys&gt;&lt;key app="EN" db-id="vapsarvf3x9d5serzs6vt59osvzvsr55efxx" timestamp="1560648040"&gt;151&lt;/key&gt;&lt;/foreign-keys&gt;&lt;ref-type name="Journal Article"&gt;17&lt;/ref-type&gt;&lt;contributors&gt;&lt;authors&gt;&lt;author&gt;Sugano, K.&lt;/author&gt;&lt;author&gt;Okazaki, A.&lt;/author&gt;&lt;author&gt;Sugimoto, S.&lt;/author&gt;&lt;author&gt;Tavornvipas, S.&lt;/author&gt;&lt;author&gt;Omura, A.&lt;/author&gt;&lt;author&gt;Mano, T.&lt;/author&gt;&lt;/authors&gt;&lt;/contributors&gt;&lt;auth-address&gt;Global Research &amp;amp; Development, Nagoya Laboratories, Pharmaceutical R&amp;amp;D, Pfizer Inc., Aichi, Japan. Kiyohiko.Sugano@pfizer.com&lt;/auth-address&gt;&lt;titles&gt;&lt;title&gt;Solubility and dissolution profile assessment in drug discovery&lt;/title&gt;&lt;secondary-title&gt;Drug Metab Pharmacokinet&lt;/secondary-title&gt;&lt;/titles&gt;&lt;periodical&gt;&lt;full-title&gt;Drug Metab Pharmacokinet&lt;/full-title&gt;&lt;/periodical&gt;&lt;pages&gt;225-54&lt;/pages&gt;&lt;volume&gt;22&lt;/volume&gt;&lt;number&gt;4&lt;/number&gt;&lt;keywords&gt;&lt;keyword&gt;Algorithms&lt;/keyword&gt;&lt;keyword&gt;Bile Acids and Salts/chemistry&lt;/keyword&gt;&lt;keyword&gt;Chemistry, Pharmaceutical&lt;/keyword&gt;&lt;keyword&gt;Computer Simulation&lt;/keyword&gt;&lt;keyword&gt;Diffusion&lt;/keyword&gt;&lt;keyword&gt;Drug Design&lt;/keyword&gt;&lt;keyword&gt;Drug Industry&lt;/keyword&gt;&lt;keyword&gt;Humans&lt;/keyword&gt;&lt;keyword&gt;Hydrogen-Ion Concentration&lt;/keyword&gt;&lt;keyword&gt;Kinetics&lt;/keyword&gt;&lt;keyword&gt;Particle Size&lt;/keyword&gt;&lt;keyword&gt;Pharmaceutical Preparations/*chemistry&lt;/keyword&gt;&lt;keyword&gt;*Solubility&lt;/keyword&gt;&lt;keyword&gt;Thermodynamics&lt;/keyword&gt;&lt;/keywords&gt;&lt;dates&gt;&lt;year&gt;2007&lt;/year&gt;&lt;pub-dates&gt;&lt;date&gt;Aug&lt;/date&gt;&lt;/pub-dates&gt;&lt;/dates&gt;&lt;isbn&gt;1347-4367 (Print)&amp;#xD;1347-4367 (Linking)&lt;/isbn&gt;&lt;accession-num&gt;17827779&lt;/accession-num&gt;&lt;urls&gt;&lt;related-urls&gt;&lt;url&gt;https://www.ncbi.nlm.nih.gov/pubmed/17827779&lt;/url&gt;&lt;/related-urls&gt;&lt;/urls&gt;&lt;/record&gt;&lt;/Cite&gt;&lt;/EndNote&gt;</w:instrText>
      </w:r>
      <w:r w:rsidR="006028C2"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(5)</w:t>
      </w:r>
      <w:r w:rsidR="006028C2" w:rsidRPr="00564A46">
        <w:rPr>
          <w:rFonts w:asciiTheme="minorHAnsi" w:hAnsiTheme="minorHAnsi"/>
          <w:color w:val="000000" w:themeColor="text1"/>
        </w:rPr>
        <w:fldChar w:fldCharType="end"/>
      </w:r>
      <w:r w:rsidRPr="00564A46">
        <w:rPr>
          <w:rFonts w:asciiTheme="minorHAnsi" w:hAnsiTheme="minorHAnsi"/>
          <w:color w:val="000000" w:themeColor="text1"/>
        </w:rPr>
        <w:t>. The diffusion coefficient of the unbound drug can be estimated using empirical equations</w:t>
      </w:r>
      <w:r w:rsidR="0042460D" w:rsidRPr="00564A46">
        <w:rPr>
          <w:rFonts w:asciiTheme="minorHAnsi" w:hAnsiTheme="minorHAnsi"/>
          <w:color w:val="000000" w:themeColor="text1"/>
        </w:rPr>
        <w:t xml:space="preserve"> (e.g.,</w:t>
      </w:r>
      <w:r w:rsidR="006028C2" w:rsidRPr="00564A46">
        <w:rPr>
          <w:rFonts w:asciiTheme="minorHAnsi" w:hAnsiTheme="minorHAnsi"/>
          <w:color w:val="000000" w:themeColor="text1"/>
        </w:rPr>
        <w:t xml:space="preserve"> the </w:t>
      </w:r>
      <w:proofErr w:type="spellStart"/>
      <w:r w:rsidR="006028C2" w:rsidRPr="00564A46">
        <w:rPr>
          <w:rFonts w:asciiTheme="minorHAnsi" w:hAnsiTheme="minorHAnsi"/>
          <w:color w:val="000000" w:themeColor="text1"/>
        </w:rPr>
        <w:t>Hayduk-Laudie</w:t>
      </w:r>
      <w:proofErr w:type="spellEnd"/>
      <w:r w:rsidR="006028C2" w:rsidRPr="00564A46">
        <w:rPr>
          <w:rFonts w:asciiTheme="minorHAnsi" w:hAnsiTheme="minorHAnsi"/>
          <w:color w:val="000000" w:themeColor="text1"/>
        </w:rPr>
        <w:t xml:space="preserve"> equation</w:t>
      </w:r>
      <w:r w:rsidR="0042460D" w:rsidRPr="00564A46">
        <w:rPr>
          <w:rFonts w:asciiTheme="minorHAnsi" w:hAnsiTheme="minorHAnsi"/>
          <w:color w:val="000000" w:themeColor="text1"/>
        </w:rPr>
        <w:t>)</w:t>
      </w:r>
      <w:r w:rsidR="006028C2" w:rsidRPr="00564A46">
        <w:rPr>
          <w:rFonts w:asciiTheme="minorHAnsi" w:hAnsiTheme="minorHAnsi"/>
          <w:color w:val="000000" w:themeColor="text1"/>
        </w:rPr>
        <w:t xml:space="preserve"> </w:t>
      </w:r>
      <w:r w:rsidRPr="00564A46">
        <w:rPr>
          <w:rFonts w:asciiTheme="minorHAnsi" w:hAnsiTheme="minorHAnsi"/>
          <w:color w:val="000000" w:themeColor="text1"/>
        </w:rPr>
        <w:t xml:space="preserve">and typically falls within the range of 1 </w:t>
      </w:r>
      <w:r w:rsidR="0042460D" w:rsidRPr="00564A46">
        <w:rPr>
          <w:rFonts w:asciiTheme="minorHAnsi" w:hAnsiTheme="minorHAnsi"/>
          <w:color w:val="000000" w:themeColor="text1"/>
        </w:rPr>
        <w:t xml:space="preserve">x </w:t>
      </w:r>
      <w:r w:rsidRPr="00564A46">
        <w:rPr>
          <w:rFonts w:asciiTheme="minorHAnsi" w:hAnsiTheme="minorHAnsi"/>
          <w:color w:val="000000" w:themeColor="text1"/>
        </w:rPr>
        <w:t>10</w:t>
      </w:r>
      <w:r w:rsidRPr="00564A46">
        <w:rPr>
          <w:rFonts w:asciiTheme="minorHAnsi" w:hAnsiTheme="minorHAnsi"/>
          <w:color w:val="000000" w:themeColor="text1"/>
          <w:vertAlign w:val="superscript"/>
        </w:rPr>
        <w:t>-6</w:t>
      </w:r>
      <w:r w:rsidRPr="00564A46">
        <w:rPr>
          <w:rFonts w:asciiTheme="minorHAnsi" w:hAnsiTheme="minorHAnsi"/>
          <w:color w:val="000000" w:themeColor="text1"/>
        </w:rPr>
        <w:t xml:space="preserve"> </w:t>
      </w:r>
      <w:r w:rsidR="0042460D" w:rsidRPr="00564A46">
        <w:rPr>
          <w:rFonts w:asciiTheme="minorHAnsi" w:hAnsiTheme="minorHAnsi"/>
          <w:color w:val="000000" w:themeColor="text1"/>
        </w:rPr>
        <w:t xml:space="preserve">to </w:t>
      </w:r>
      <w:r w:rsidRPr="00564A46">
        <w:rPr>
          <w:rFonts w:asciiTheme="minorHAnsi" w:hAnsiTheme="minorHAnsi"/>
          <w:color w:val="000000" w:themeColor="text1"/>
        </w:rPr>
        <w:t xml:space="preserve">1 </w:t>
      </w:r>
      <w:r w:rsidR="0042460D" w:rsidRPr="00564A46">
        <w:rPr>
          <w:rFonts w:asciiTheme="minorHAnsi" w:hAnsiTheme="minorHAnsi"/>
          <w:color w:val="000000" w:themeColor="text1"/>
        </w:rPr>
        <w:t xml:space="preserve">x </w:t>
      </w:r>
      <w:r w:rsidRPr="00564A46">
        <w:rPr>
          <w:rFonts w:asciiTheme="minorHAnsi" w:hAnsiTheme="minorHAnsi"/>
          <w:color w:val="000000" w:themeColor="text1"/>
        </w:rPr>
        <w:t>10</w:t>
      </w:r>
      <w:r w:rsidRPr="00564A46">
        <w:rPr>
          <w:rFonts w:asciiTheme="minorHAnsi" w:hAnsiTheme="minorHAnsi"/>
          <w:color w:val="000000" w:themeColor="text1"/>
          <w:vertAlign w:val="superscript"/>
        </w:rPr>
        <w:t>-5</w:t>
      </w:r>
      <w:r w:rsidR="006028C2" w:rsidRPr="00564A46">
        <w:rPr>
          <w:rFonts w:asciiTheme="minorHAnsi" w:hAnsiTheme="minorHAnsi"/>
          <w:color w:val="000000" w:themeColor="text1"/>
          <w:vertAlign w:val="superscript"/>
        </w:rPr>
        <w:t xml:space="preserve"> </w:t>
      </w:r>
      <w:r w:rsidR="006028C2"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&lt;EndNote&gt;&lt;Cite&gt;&lt;Author&gt;Hayduk&lt;/Author&gt;&lt;Year&gt;1974&lt;/Year&gt;&lt;RecNum&gt;179&lt;/RecNum&gt;&lt;DisplayText&gt;(6)&lt;/DisplayText&gt;&lt;record&gt;&lt;rec-number&gt;179&lt;/rec-number&gt;&lt;foreign-keys&gt;&lt;key app="EN" db-id="vapsarvf3x9d5serzs6vt59osvzvsr55efxx" timestamp="1563311843"&gt;179&lt;/key&gt;&lt;/foreign-keys&gt;&lt;ref-type name="Journal Article"&gt;17&lt;/ref-type&gt;&lt;contributors&gt;&lt;authors&gt;&lt;author&gt;Hayduk, W.&lt;/author&gt;&lt;author&gt;Laudie, H.&lt;/author&gt;&lt;/authors&gt;&lt;/contributors&gt;&lt;titles&gt;&lt;title&gt;Prediction of diffusion coefficients for nonelectrolytes in dilute aqueous solutions&lt;/title&gt;&lt;secondary-title&gt;AIChE Journal&lt;/secondary-title&gt;&lt;/titles&gt;&lt;periodical&gt;&lt;full-title&gt;AIChE Journal&lt;/full-title&gt;&lt;/periodical&gt;&lt;pages&gt;611-615&lt;/pages&gt;&lt;volume&gt;20&lt;/volume&gt;&lt;number&gt;3&lt;/number&gt;&lt;dates&gt;&lt;year&gt;1974&lt;/year&gt;&lt;/dates&gt;&lt;work-type&gt;Article&lt;/work-type&gt;&lt;urls&gt;&lt;related-urls&gt;&lt;url&gt;&lt;style face="underline" font="default" size="100%"&gt;https://www.scopus.com/inward/record.uri?eid=2-s2.0-84985609272&amp;amp;doi=10.1002%2faic.690200329&amp;amp;partnerID=40&amp;amp;md5=49c14f50d1a774cf49a6738355abeb78&lt;/style&gt;&lt;/url&gt;&lt;/related-urls&gt;&lt;/urls&gt;&lt;electronic-resource-num&gt;10.1002/aic.690200329&lt;/electronic-resource-num&gt;&lt;remote-database-name&gt;Scopus&lt;/remote-database-name&gt;&lt;/record&gt;&lt;/Cite&gt;&lt;/EndNote&gt;</w:instrText>
      </w:r>
      <w:r w:rsidR="006028C2"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(6)</w:t>
      </w:r>
      <w:r w:rsidR="006028C2" w:rsidRPr="00564A46">
        <w:rPr>
          <w:rFonts w:asciiTheme="minorHAnsi" w:hAnsiTheme="minorHAnsi"/>
          <w:color w:val="000000" w:themeColor="text1"/>
        </w:rPr>
        <w:fldChar w:fldCharType="end"/>
      </w:r>
      <w:r w:rsidRPr="00564A46">
        <w:rPr>
          <w:rFonts w:asciiTheme="minorHAnsi" w:hAnsiTheme="minorHAnsi"/>
          <w:color w:val="000000" w:themeColor="text1"/>
        </w:rPr>
        <w:t xml:space="preserve">. </w:t>
      </w:r>
      <w:r w:rsidR="0042460D" w:rsidRPr="00564A46">
        <w:rPr>
          <w:rFonts w:asciiTheme="minorHAnsi" w:hAnsiTheme="minorHAnsi"/>
          <w:color w:val="000000" w:themeColor="text1"/>
        </w:rPr>
        <w:t>Assuming sink conditions and equivalent values of diffusion-layer thickness (δ), t</w:t>
      </w:r>
      <w:r w:rsidRPr="00564A46">
        <w:rPr>
          <w:rFonts w:asciiTheme="minorHAnsi" w:hAnsiTheme="minorHAnsi"/>
          <w:color w:val="000000" w:themeColor="text1"/>
        </w:rPr>
        <w:t>he dissolution rate of drug in a medium containing bile salts and phospholipids</w:t>
      </w:r>
      <w:r w:rsidR="0042460D" w:rsidRPr="00564A46">
        <w:rPr>
          <w:rFonts w:asciiTheme="minorHAnsi" w:hAnsiTheme="minorHAnsi"/>
          <w:color w:val="000000" w:themeColor="text1"/>
        </w:rPr>
        <w:t xml:space="preserve"> relative</w:t>
      </w:r>
      <w:r w:rsidRPr="00564A46">
        <w:rPr>
          <w:rFonts w:asciiTheme="minorHAnsi" w:hAnsiTheme="minorHAnsi"/>
          <w:color w:val="000000" w:themeColor="text1"/>
        </w:rPr>
        <w:t xml:space="preserve"> to </w:t>
      </w:r>
      <w:r w:rsidR="0042460D" w:rsidRPr="00564A46">
        <w:rPr>
          <w:rFonts w:asciiTheme="minorHAnsi" w:hAnsiTheme="minorHAnsi"/>
          <w:color w:val="000000" w:themeColor="text1"/>
        </w:rPr>
        <w:t xml:space="preserve">that of </w:t>
      </w:r>
      <w:r w:rsidRPr="00564A46">
        <w:rPr>
          <w:rFonts w:asciiTheme="minorHAnsi" w:hAnsiTheme="minorHAnsi"/>
          <w:color w:val="000000" w:themeColor="text1"/>
        </w:rPr>
        <w:t xml:space="preserve">a blank medium can be estimated as </w:t>
      </w:r>
    </w:p>
    <w:p w14:paraId="57B628C4" w14:textId="2BE90C82" w:rsidR="00E06498" w:rsidRPr="00564A46" w:rsidRDefault="00FF7E88" w:rsidP="00963D35">
      <w:pPr>
        <w:tabs>
          <w:tab w:val="right" w:pos="9360"/>
        </w:tabs>
        <w:spacing w:after="240"/>
        <w:rPr>
          <w:rFonts w:asciiTheme="minorHAnsi" w:hAnsiTheme="minorHAnsi"/>
          <w:b/>
          <w:color w:val="000000" w:themeColor="text1"/>
        </w:rPr>
      </w:pPr>
      <m:oMath>
        <m:r>
          <m:rPr>
            <m:sty m:val="bi"/>
          </m:rPr>
          <w:rPr>
            <w:rFonts w:ascii="Cambria Math" w:hAnsi="Cambria Math"/>
            <w:color w:val="000000" w:themeColor="text1"/>
          </w:rPr>
          <m:t>Relative dissolution rate=</m:t>
        </m:r>
        <m:f>
          <m:fPr>
            <m:ctrlPr>
              <w:rPr>
                <w:rFonts w:ascii="Cambria Math" w:hAnsi="Cambria Math"/>
                <w:b/>
                <w:bCs/>
                <w:i/>
                <w:iCs/>
                <w:color w:val="000000" w:themeColor="text1"/>
              </w:rPr>
            </m:ctrlPr>
          </m:fPr>
          <m:num>
            <m:sSub>
              <m:sSubPr>
                <m:ctrlPr>
                  <w:rPr>
                    <w:rFonts w:ascii="Cambria Math" w:hAnsi="Cambria Math"/>
                    <w:b/>
                    <w:bCs/>
                    <w:i/>
                    <w:iCs/>
                    <w:color w:val="000000" w:themeColor="text1"/>
                  </w:rPr>
                </m:ctrlPr>
              </m:sSubPr>
              <m:e>
                <m:r>
                  <m:rPr>
                    <m:sty m:val="bi"/>
                  </m:rPr>
                  <w:rPr>
                    <w:rFonts w:ascii="Cambria Math" w:hAnsi="Cambria Math"/>
                    <w:color w:val="000000" w:themeColor="text1"/>
                  </w:rPr>
                  <m:t>C</m:t>
                </m:r>
              </m:e>
              <m:sub>
                <m:r>
                  <m:rPr>
                    <m:sty m:val="bi"/>
                  </m:rPr>
                  <w:rPr>
                    <w:rFonts w:ascii="Cambria Math" w:hAnsi="Cambria Math"/>
                    <w:color w:val="000000" w:themeColor="text1"/>
                  </w:rPr>
                  <m:t>s,FaSSIF</m:t>
                </m:r>
              </m:sub>
            </m:sSub>
          </m:num>
          <m:den>
            <m:sSub>
              <m:sSubPr>
                <m:ctrlPr>
                  <w:rPr>
                    <w:rFonts w:ascii="Cambria Math" w:hAnsi="Cambria Math"/>
                    <w:b/>
                    <w:bCs/>
                    <w:i/>
                    <w:iCs/>
                    <w:color w:val="000000" w:themeColor="text1"/>
                  </w:rPr>
                </m:ctrlPr>
              </m:sSubPr>
              <m:e>
                <m:r>
                  <m:rPr>
                    <m:sty m:val="bi"/>
                  </m:rPr>
                  <w:rPr>
                    <w:rFonts w:ascii="Cambria Math" w:hAnsi="Cambria Math"/>
                    <w:color w:val="000000" w:themeColor="text1"/>
                  </w:rPr>
                  <m:t>C</m:t>
                </m:r>
              </m:e>
              <m:sub>
                <m:r>
                  <m:rPr>
                    <m:sty m:val="bi"/>
                  </m:rPr>
                  <w:rPr>
                    <w:rFonts w:ascii="Cambria Math" w:hAnsi="Cambria Math"/>
                    <w:color w:val="000000" w:themeColor="text1"/>
                  </w:rPr>
                  <m:t>s,blank</m:t>
                </m:r>
              </m:sub>
            </m:sSub>
          </m:den>
        </m:f>
        <m:r>
          <m:rPr>
            <m:sty m:val="bi"/>
          </m:rPr>
          <w:rPr>
            <w:rFonts w:ascii="Cambria Math" w:hAnsi="Cambria Math"/>
            <w:color w:val="000000" w:themeColor="text1"/>
          </w:rPr>
          <m:t>*</m:t>
        </m:r>
        <m:f>
          <m:fPr>
            <m:ctrlPr>
              <w:rPr>
                <w:rFonts w:ascii="Cambria Math" w:hAnsi="Cambria Math"/>
                <w:b/>
                <w:bCs/>
                <w:i/>
                <w:iCs/>
                <w:color w:val="000000" w:themeColor="text1"/>
              </w:rPr>
            </m:ctrlPr>
          </m:fPr>
          <m:num>
            <m:sSub>
              <m:sSubPr>
                <m:ctrlPr>
                  <w:rPr>
                    <w:rFonts w:ascii="Cambria Math" w:hAnsi="Cambria Math"/>
                    <w:b/>
                    <w:bCs/>
                    <w:i/>
                    <w:iCs/>
                    <w:color w:val="000000" w:themeColor="text1"/>
                  </w:rPr>
                </m:ctrlPr>
              </m:sSubPr>
              <m:e>
                <m:r>
                  <m:rPr>
                    <m:sty m:val="bi"/>
                  </m:rPr>
                  <w:rPr>
                    <w:rFonts w:ascii="Cambria Math" w:hAnsi="Cambria Math"/>
                    <w:color w:val="000000" w:themeColor="text1"/>
                  </w:rPr>
                  <m:t>D</m:t>
                </m:r>
              </m:e>
              <m:sub>
                <m:r>
                  <m:rPr>
                    <m:sty m:val="bi"/>
                  </m:rPr>
                  <w:rPr>
                    <w:rFonts w:ascii="Cambria Math" w:hAnsi="Cambria Math"/>
                    <w:color w:val="000000" w:themeColor="text1"/>
                  </w:rPr>
                  <m:t>eff</m:t>
                </m:r>
              </m:sub>
            </m:sSub>
          </m:num>
          <m:den>
            <m:sSub>
              <m:sSubPr>
                <m:ctrlPr>
                  <w:rPr>
                    <w:rFonts w:ascii="Cambria Math" w:hAnsi="Cambria Math"/>
                    <w:b/>
                    <w:bCs/>
                    <w:i/>
                    <w:iCs/>
                    <w:color w:val="000000" w:themeColor="text1"/>
                  </w:rPr>
                </m:ctrlPr>
              </m:sSubPr>
              <m:e>
                <m:r>
                  <m:rPr>
                    <m:sty m:val="bi"/>
                  </m:rPr>
                  <w:rPr>
                    <w:rFonts w:ascii="Cambria Math" w:hAnsi="Cambria Math"/>
                    <w:color w:val="000000" w:themeColor="text1"/>
                  </w:rPr>
                  <m:t>D</m:t>
                </m:r>
              </m:e>
              <m:sub>
                <m:r>
                  <m:rPr>
                    <m:sty m:val="bi"/>
                  </m:rPr>
                  <w:rPr>
                    <w:rFonts w:ascii="Cambria Math" w:hAnsi="Cambria Math"/>
                    <w:color w:val="000000" w:themeColor="text1"/>
                  </w:rPr>
                  <m:t>u</m:t>
                </m:r>
              </m:sub>
            </m:sSub>
          </m:den>
        </m:f>
      </m:oMath>
      <w:r w:rsidR="00E06498" w:rsidRPr="00564A46">
        <w:rPr>
          <w:rFonts w:asciiTheme="minorHAnsi" w:eastAsiaTheme="minorEastAsia" w:hAnsiTheme="minorHAnsi"/>
          <w:b/>
          <w:bCs/>
          <w:iCs/>
          <w:color w:val="000000" w:themeColor="text1"/>
        </w:rPr>
        <w:tab/>
      </w:r>
      <w:r w:rsidR="00E06498" w:rsidRPr="00564A46">
        <w:rPr>
          <w:rFonts w:asciiTheme="minorHAnsi" w:eastAsiaTheme="minorEastAsia" w:hAnsiTheme="minorHAnsi"/>
          <w:b/>
          <w:color w:val="000000" w:themeColor="text1"/>
        </w:rPr>
        <w:t>(S3)</w:t>
      </w:r>
    </w:p>
    <w:p w14:paraId="42000782" w14:textId="14A17A77" w:rsidR="0039234F" w:rsidRPr="00564A46" w:rsidRDefault="0039234F" w:rsidP="00963D35">
      <w:pPr>
        <w:spacing w:after="240"/>
        <w:rPr>
          <w:rFonts w:asciiTheme="minorHAnsi" w:hAnsiTheme="minorHAnsi"/>
          <w:b/>
          <w:color w:val="000000" w:themeColor="text1"/>
        </w:rPr>
      </w:pPr>
      <w:r w:rsidRPr="00564A46">
        <w:rPr>
          <w:rFonts w:asciiTheme="minorHAnsi" w:hAnsiTheme="minorHAnsi"/>
          <w:color w:val="000000" w:themeColor="text1"/>
        </w:rPr>
        <w:t>Assumptions implicit in this equation are beyond the scope of this paper, but are discussed in other papers</w:t>
      </w:r>
      <w:r w:rsidR="009C76E4" w:rsidRPr="00564A46">
        <w:rPr>
          <w:rFonts w:asciiTheme="minorHAnsi" w:hAnsiTheme="minorHAnsi"/>
          <w:color w:val="000000" w:themeColor="text1"/>
        </w:rPr>
        <w:t xml:space="preserve"> </w:t>
      </w:r>
      <w:r w:rsidR="009C76E4"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&lt;EndNote&gt;&lt;Cite&gt;&lt;Author&gt;Shekunov&lt;/Author&gt;&lt;Year&gt;2017&lt;/Year&gt;&lt;RecNum&gt;180&lt;/RecNum&gt;&lt;DisplayText&gt;(7)&lt;/DisplayText&gt;&lt;record&gt;&lt;rec-number&gt;180&lt;/rec-number&gt;&lt;foreign-keys&gt;&lt;key app="EN" db-id="vapsarvf3x9d5serzs6vt59osvzvsr55efxx" timestamp="1563312013"&gt;180&lt;/key&gt;&lt;/foreign-keys&gt;&lt;ref-type name="Journal Article"&gt;17&lt;/ref-type&gt;&lt;contributors&gt;&lt;authors&gt;&lt;author&gt;Shekunov, B.&lt;/author&gt;&lt;/authors&gt;&lt;/contributors&gt;&lt;titles&gt;&lt;title&gt;Theoretical Analysis of Drug Dissolution in Micellar Media&lt;/title&gt;&lt;secondary-title&gt;Journal of Pharmaceutical Sciences&lt;/secondary-title&gt;&lt;/titles&gt;&lt;periodical&gt;&lt;full-title&gt;Journal of Pharmaceutical Sciences&lt;/full-title&gt;&lt;/periodical&gt;&lt;pages&gt;248-257&lt;/pages&gt;&lt;volume&gt;106&lt;/volume&gt;&lt;number&gt;1&lt;/number&gt;&lt;dates&gt;&lt;year&gt;2017&lt;/year&gt;&lt;/dates&gt;&lt;work-type&gt;Article&lt;/work-type&gt;&lt;urls&gt;&lt;related-urls&gt;&lt;url&gt;https://www.scopus.com/inward/record.uri?eid=2-s2.0-85002906276&amp;amp;doi=10.1016%2fj.xphs.2016.08.027&amp;amp;partnerID=40&amp;amp;md5=05e2574c2b127c1f360d385fa907c0be&lt;/url&gt;&lt;/related-urls&gt;&lt;/urls&gt;&lt;electronic-resource-num&gt;10.1016/j.xphs.2016.08.027&lt;/electronic-resource-num&gt;&lt;remote-database-name&gt;Scopus&lt;/remote-database-name&gt;&lt;/record&gt;&lt;/Cite&gt;&lt;/EndNote&gt;</w:instrText>
      </w:r>
      <w:r w:rsidR="009C76E4"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(7)</w:t>
      </w:r>
      <w:r w:rsidR="009C76E4" w:rsidRPr="00564A46">
        <w:rPr>
          <w:rFonts w:asciiTheme="minorHAnsi" w:hAnsiTheme="minorHAnsi"/>
          <w:color w:val="000000" w:themeColor="text1"/>
        </w:rPr>
        <w:fldChar w:fldCharType="end"/>
      </w:r>
      <w:r w:rsidR="009C76E4" w:rsidRPr="00564A46">
        <w:rPr>
          <w:rFonts w:asciiTheme="minorHAnsi" w:hAnsiTheme="minorHAnsi"/>
          <w:color w:val="000000" w:themeColor="text1"/>
        </w:rPr>
        <w:t>.</w:t>
      </w:r>
    </w:p>
    <w:p w14:paraId="2980B30B" w14:textId="77777777" w:rsidR="006A1279" w:rsidRPr="00564A46" w:rsidRDefault="006A1279" w:rsidP="00963D35">
      <w:pPr>
        <w:spacing w:after="240"/>
        <w:rPr>
          <w:rFonts w:asciiTheme="minorHAnsi" w:eastAsiaTheme="majorEastAsia" w:hAnsiTheme="minorHAnsi" w:cs="Arial"/>
          <w:b/>
          <w:bCs/>
          <w:color w:val="000000" w:themeColor="text1"/>
        </w:rPr>
      </w:pPr>
      <w:r w:rsidRPr="00564A46">
        <w:rPr>
          <w:rFonts w:asciiTheme="minorHAnsi" w:hAnsiTheme="minorHAnsi"/>
          <w:color w:val="000000" w:themeColor="text1"/>
        </w:rPr>
        <w:br w:type="page"/>
      </w:r>
    </w:p>
    <w:p w14:paraId="673D319C" w14:textId="7ED48819" w:rsidR="001C16A5" w:rsidRPr="00564A46" w:rsidRDefault="00143A74" w:rsidP="005D704A">
      <w:pPr>
        <w:pStyle w:val="Heading2"/>
        <w:rPr>
          <w:color w:val="000000" w:themeColor="text1"/>
        </w:rPr>
      </w:pPr>
      <w:r w:rsidRPr="00564A46">
        <w:rPr>
          <w:color w:val="000000" w:themeColor="text1"/>
        </w:rPr>
        <w:lastRenderedPageBreak/>
        <w:t xml:space="preserve">Section </w:t>
      </w:r>
      <w:r w:rsidR="0063738A" w:rsidRPr="00564A46">
        <w:rPr>
          <w:color w:val="000000" w:themeColor="text1"/>
        </w:rPr>
        <w:t>6</w:t>
      </w:r>
      <w:r w:rsidRPr="00564A46">
        <w:rPr>
          <w:color w:val="000000" w:themeColor="text1"/>
        </w:rPr>
        <w:t>. In</w:t>
      </w:r>
      <w:r w:rsidR="00BF70C9" w:rsidRPr="00564A46">
        <w:rPr>
          <w:color w:val="000000" w:themeColor="text1"/>
        </w:rPr>
        <w:t>-House Experimental Confirmation of Recomm</w:t>
      </w:r>
      <w:r w:rsidR="001C16A5" w:rsidRPr="00564A46">
        <w:rPr>
          <w:color w:val="000000" w:themeColor="text1"/>
        </w:rPr>
        <w:t>endation</w:t>
      </w:r>
      <w:r w:rsidR="00DD5540" w:rsidRPr="00564A46">
        <w:rPr>
          <w:color w:val="000000" w:themeColor="text1"/>
        </w:rPr>
        <w:t>s</w:t>
      </w:r>
    </w:p>
    <w:p w14:paraId="3B9BCAE1" w14:textId="700FD578" w:rsidR="009B4F64" w:rsidRPr="00564A46" w:rsidRDefault="009B4F64" w:rsidP="00963D35">
      <w:pPr>
        <w:spacing w:after="240"/>
        <w:rPr>
          <w:rFonts w:asciiTheme="minorHAnsi" w:hAnsiTheme="minorHAnsi"/>
          <w:color w:val="000000" w:themeColor="text1"/>
          <w:u w:val="single"/>
        </w:rPr>
      </w:pPr>
      <w:r w:rsidRPr="00564A46">
        <w:rPr>
          <w:rFonts w:ascii="Calibri" w:hAnsi="Calibri"/>
          <w:color w:val="000000" w:themeColor="text1"/>
        </w:rPr>
        <w:t>To confirm the recommendations regarding buffer capacity and log D, we performed in-house tests on eight model compounds.</w:t>
      </w:r>
    </w:p>
    <w:p w14:paraId="18CADC03" w14:textId="050C155A" w:rsidR="00534CEA" w:rsidRPr="00564A46" w:rsidRDefault="00534CEA" w:rsidP="00963D35">
      <w:pPr>
        <w:spacing w:after="240"/>
        <w:rPr>
          <w:rFonts w:asciiTheme="minorHAnsi" w:hAnsiTheme="minorHAnsi"/>
          <w:color w:val="000000" w:themeColor="text1"/>
          <w:u w:val="single"/>
        </w:rPr>
      </w:pPr>
      <w:r w:rsidRPr="00564A46">
        <w:rPr>
          <w:rFonts w:asciiTheme="minorHAnsi" w:hAnsiTheme="minorHAnsi"/>
          <w:color w:val="000000" w:themeColor="text1"/>
          <w:u w:val="single"/>
        </w:rPr>
        <w:t xml:space="preserve">Materials </w:t>
      </w:r>
      <w:r w:rsidR="0042460D" w:rsidRPr="00564A46">
        <w:rPr>
          <w:rFonts w:asciiTheme="minorHAnsi" w:hAnsiTheme="minorHAnsi"/>
          <w:color w:val="000000" w:themeColor="text1"/>
          <w:u w:val="single"/>
        </w:rPr>
        <w:t xml:space="preserve">and </w:t>
      </w:r>
      <w:r w:rsidRPr="00564A46">
        <w:rPr>
          <w:rFonts w:asciiTheme="minorHAnsi" w:hAnsiTheme="minorHAnsi"/>
          <w:color w:val="000000" w:themeColor="text1"/>
          <w:u w:val="single"/>
        </w:rPr>
        <w:t>Methods</w:t>
      </w:r>
    </w:p>
    <w:p w14:paraId="7D5E69FB" w14:textId="5C5AB72B" w:rsidR="007F7819" w:rsidRPr="00564A46" w:rsidRDefault="00D92445" w:rsidP="007F7819">
      <w:pPr>
        <w:spacing w:after="240"/>
        <w:rPr>
          <w:rFonts w:asciiTheme="minorHAnsi" w:hAnsiTheme="minorHAnsi"/>
          <w:color w:val="000000" w:themeColor="text1"/>
        </w:rPr>
      </w:pPr>
      <w:r w:rsidRPr="00564A46">
        <w:rPr>
          <w:rFonts w:asciiTheme="minorHAnsi" w:hAnsiTheme="minorHAnsi"/>
          <w:b/>
          <w:color w:val="000000" w:themeColor="text1"/>
        </w:rPr>
        <w:t xml:space="preserve">Table </w:t>
      </w:r>
      <w:r w:rsidR="006A1279" w:rsidRPr="00564A46">
        <w:rPr>
          <w:rFonts w:asciiTheme="minorHAnsi" w:hAnsiTheme="minorHAnsi"/>
          <w:b/>
          <w:color w:val="000000" w:themeColor="text1"/>
        </w:rPr>
        <w:t>S</w:t>
      </w:r>
      <w:r w:rsidR="00C112B7" w:rsidRPr="00564A46">
        <w:rPr>
          <w:rFonts w:asciiTheme="minorHAnsi" w:hAnsiTheme="minorHAnsi"/>
          <w:b/>
          <w:color w:val="000000" w:themeColor="text1"/>
        </w:rPr>
        <w:t>1</w:t>
      </w:r>
      <w:r w:rsidRPr="00564A46">
        <w:rPr>
          <w:rFonts w:asciiTheme="minorHAnsi" w:hAnsiTheme="minorHAnsi"/>
          <w:b/>
          <w:color w:val="000000" w:themeColor="text1"/>
        </w:rPr>
        <w:t xml:space="preserve"> </w:t>
      </w:r>
      <w:r w:rsidRPr="00564A46">
        <w:rPr>
          <w:rFonts w:asciiTheme="minorHAnsi" w:hAnsiTheme="minorHAnsi"/>
          <w:color w:val="000000" w:themeColor="text1"/>
        </w:rPr>
        <w:t xml:space="preserve">gives information on the </w:t>
      </w:r>
      <w:r w:rsidR="000037AA" w:rsidRPr="00564A46">
        <w:rPr>
          <w:rFonts w:asciiTheme="minorHAnsi" w:hAnsiTheme="minorHAnsi"/>
          <w:color w:val="000000" w:themeColor="text1"/>
        </w:rPr>
        <w:t xml:space="preserve">eight </w:t>
      </w:r>
      <w:r w:rsidRPr="00564A46">
        <w:rPr>
          <w:rFonts w:asciiTheme="minorHAnsi" w:hAnsiTheme="minorHAnsi"/>
          <w:color w:val="000000" w:themeColor="text1"/>
        </w:rPr>
        <w:t xml:space="preserve">model compounds tested. </w:t>
      </w:r>
      <w:r w:rsidR="001C16A5" w:rsidRPr="00564A46">
        <w:rPr>
          <w:rFonts w:asciiTheme="minorHAnsi" w:hAnsiTheme="minorHAnsi"/>
          <w:color w:val="000000" w:themeColor="text1"/>
        </w:rPr>
        <w:t xml:space="preserve">All compounds were purchased from Sigma-Aldrich </w:t>
      </w:r>
      <w:r w:rsidR="00BF70C9" w:rsidRPr="00564A46">
        <w:rPr>
          <w:rFonts w:asciiTheme="minorHAnsi" w:hAnsiTheme="minorHAnsi"/>
          <w:color w:val="000000" w:themeColor="text1"/>
        </w:rPr>
        <w:t xml:space="preserve">(St. Louis, Missouri) </w:t>
      </w:r>
      <w:r w:rsidR="001C16A5" w:rsidRPr="00564A46">
        <w:rPr>
          <w:rFonts w:asciiTheme="minorHAnsi" w:hAnsiTheme="minorHAnsi"/>
          <w:color w:val="000000" w:themeColor="text1"/>
        </w:rPr>
        <w:t xml:space="preserve">or Spectrum Chemical </w:t>
      </w:r>
      <w:r w:rsidR="00BF70C9" w:rsidRPr="00564A46">
        <w:rPr>
          <w:rFonts w:asciiTheme="minorHAnsi" w:hAnsiTheme="minorHAnsi"/>
          <w:color w:val="000000" w:themeColor="text1"/>
        </w:rPr>
        <w:t xml:space="preserve">(New Brunswick, New Jersey) </w:t>
      </w:r>
      <w:r w:rsidR="001C16A5" w:rsidRPr="00564A46">
        <w:rPr>
          <w:rFonts w:asciiTheme="minorHAnsi" w:hAnsiTheme="minorHAnsi"/>
          <w:color w:val="000000" w:themeColor="text1"/>
        </w:rPr>
        <w:t xml:space="preserve">and used as received. All dissolution measurements were performed </w:t>
      </w:r>
      <w:r w:rsidR="00BF70C9" w:rsidRPr="00564A46">
        <w:rPr>
          <w:rFonts w:asciiTheme="minorHAnsi" w:hAnsiTheme="minorHAnsi"/>
          <w:color w:val="000000" w:themeColor="text1"/>
        </w:rPr>
        <w:t xml:space="preserve">using </w:t>
      </w:r>
      <w:r w:rsidR="001C16A5" w:rsidRPr="00564A46">
        <w:rPr>
          <w:rFonts w:asciiTheme="minorHAnsi" w:hAnsiTheme="minorHAnsi"/>
          <w:color w:val="000000" w:themeColor="text1"/>
        </w:rPr>
        <w:t>suspension methodologies in the µDISS Profiler</w:t>
      </w:r>
      <w:r w:rsidR="00BF70C9" w:rsidRPr="00564A46">
        <w:rPr>
          <w:rFonts w:ascii="Calibri" w:hAnsi="Calibri"/>
          <w:color w:val="000000" w:themeColor="text1"/>
        </w:rPr>
        <w:t>™</w:t>
      </w:r>
      <w:r w:rsidR="001C16A5" w:rsidRPr="00564A46">
        <w:rPr>
          <w:rFonts w:asciiTheme="minorHAnsi" w:hAnsiTheme="minorHAnsi"/>
          <w:color w:val="000000" w:themeColor="text1"/>
        </w:rPr>
        <w:t xml:space="preserve"> (Pion Inc</w:t>
      </w:r>
      <w:r w:rsidR="000037AA" w:rsidRPr="00564A46">
        <w:rPr>
          <w:rFonts w:asciiTheme="minorHAnsi" w:hAnsiTheme="minorHAnsi"/>
          <w:color w:val="000000" w:themeColor="text1"/>
        </w:rPr>
        <w:t>.</w:t>
      </w:r>
      <w:r w:rsidR="001C16A5" w:rsidRPr="00564A46">
        <w:rPr>
          <w:rFonts w:asciiTheme="minorHAnsi" w:hAnsiTheme="minorHAnsi"/>
          <w:color w:val="000000" w:themeColor="text1"/>
        </w:rPr>
        <w:t xml:space="preserve">, </w:t>
      </w:r>
      <w:r w:rsidR="00BF70C9" w:rsidRPr="00564A46">
        <w:rPr>
          <w:rFonts w:asciiTheme="minorHAnsi" w:hAnsiTheme="minorHAnsi"/>
          <w:color w:val="000000" w:themeColor="text1"/>
        </w:rPr>
        <w:t>Billerica, Massachusetts</w:t>
      </w:r>
      <w:r w:rsidR="001C16A5" w:rsidRPr="00564A46">
        <w:rPr>
          <w:rFonts w:asciiTheme="minorHAnsi" w:hAnsiTheme="minorHAnsi"/>
          <w:color w:val="000000" w:themeColor="text1"/>
        </w:rPr>
        <w:t>). The experiments were performed in 10</w:t>
      </w:r>
      <w:r w:rsidR="00BF70C9" w:rsidRPr="00564A46">
        <w:rPr>
          <w:rFonts w:asciiTheme="minorHAnsi" w:hAnsiTheme="minorHAnsi"/>
          <w:color w:val="000000" w:themeColor="text1"/>
        </w:rPr>
        <w:t xml:space="preserve"> to 20</w:t>
      </w:r>
      <w:r w:rsidR="000037AA" w:rsidRPr="00564A46">
        <w:rPr>
          <w:rFonts w:asciiTheme="minorHAnsi" w:hAnsiTheme="minorHAnsi"/>
          <w:color w:val="000000" w:themeColor="text1"/>
        </w:rPr>
        <w:t xml:space="preserve"> </w:t>
      </w:r>
      <w:r w:rsidR="001C16A5" w:rsidRPr="00564A46">
        <w:rPr>
          <w:rFonts w:asciiTheme="minorHAnsi" w:hAnsiTheme="minorHAnsi"/>
          <w:color w:val="000000" w:themeColor="text1"/>
        </w:rPr>
        <w:t xml:space="preserve">mL </w:t>
      </w:r>
      <w:r w:rsidR="00BF70C9" w:rsidRPr="00564A46">
        <w:rPr>
          <w:rFonts w:asciiTheme="minorHAnsi" w:hAnsiTheme="minorHAnsi"/>
          <w:color w:val="000000" w:themeColor="text1"/>
        </w:rPr>
        <w:t xml:space="preserve">of </w:t>
      </w:r>
      <w:r w:rsidR="001C16A5" w:rsidRPr="00564A46">
        <w:rPr>
          <w:rFonts w:asciiTheme="minorHAnsi" w:hAnsiTheme="minorHAnsi"/>
          <w:color w:val="000000" w:themeColor="text1"/>
        </w:rPr>
        <w:t>dissolution medium at 37</w:t>
      </w:r>
      <w:r w:rsidR="001C16A5" w:rsidRPr="00564A46">
        <w:rPr>
          <w:rFonts w:asciiTheme="minorHAnsi" w:hAnsiTheme="minorHAnsi"/>
          <w:color w:val="000000" w:themeColor="text1"/>
        </w:rPr>
        <w:sym w:font="Symbol" w:char="F0B0"/>
      </w:r>
      <w:r w:rsidR="001C16A5" w:rsidRPr="00564A46">
        <w:rPr>
          <w:rFonts w:asciiTheme="minorHAnsi" w:hAnsiTheme="minorHAnsi"/>
          <w:color w:val="000000" w:themeColor="text1"/>
        </w:rPr>
        <w:t xml:space="preserve">C </w:t>
      </w:r>
      <w:r w:rsidR="00BF70C9" w:rsidRPr="00564A46">
        <w:rPr>
          <w:rFonts w:asciiTheme="minorHAnsi" w:hAnsiTheme="minorHAnsi"/>
          <w:color w:val="000000" w:themeColor="text1"/>
        </w:rPr>
        <w:t xml:space="preserve">with stirring at </w:t>
      </w:r>
      <w:r w:rsidR="001C16A5" w:rsidRPr="00564A46">
        <w:rPr>
          <w:rFonts w:asciiTheme="minorHAnsi" w:hAnsiTheme="minorHAnsi"/>
          <w:color w:val="000000" w:themeColor="text1"/>
        </w:rPr>
        <w:t>100 rpm.</w:t>
      </w:r>
      <w:r w:rsidR="007F7819" w:rsidRPr="00564A46">
        <w:rPr>
          <w:rFonts w:asciiTheme="minorHAnsi" w:hAnsiTheme="minorHAnsi"/>
          <w:color w:val="000000" w:themeColor="text1"/>
        </w:rPr>
        <w:t xml:space="preserve"> Dissolution testing was performed at pH 6.5 in four different buffers for each compound, except atenolol. These buffers included 1) 50 mM phosphate buffer, 2) 50 mM phosphate containing FaSSIF-v1 bile salts and lipids, 3) a low concentration ‘equivalent’ phosphate and 4) a low concentration ‘equivalent’ phosphate containing FaSSIF-v1 bile salts and lipids. </w:t>
      </w:r>
      <w:r w:rsidR="009B4F64" w:rsidRPr="00564A46">
        <w:rPr>
          <w:rFonts w:asciiTheme="minorHAnsi" w:hAnsiTheme="minorHAnsi"/>
          <w:color w:val="000000" w:themeColor="text1"/>
        </w:rPr>
        <w:t>The impact of log D was not determined for the very low log D (-2.8) compound, a</w:t>
      </w:r>
      <w:r w:rsidR="00FC06D1" w:rsidRPr="00564A46">
        <w:rPr>
          <w:rFonts w:asciiTheme="minorHAnsi" w:hAnsiTheme="minorHAnsi"/>
          <w:color w:val="000000" w:themeColor="text1"/>
        </w:rPr>
        <w:t>tenolol</w:t>
      </w:r>
      <w:r w:rsidR="009B4F64" w:rsidRPr="00564A46">
        <w:rPr>
          <w:rFonts w:asciiTheme="minorHAnsi" w:hAnsiTheme="minorHAnsi"/>
          <w:color w:val="000000" w:themeColor="text1"/>
        </w:rPr>
        <w:t xml:space="preserve">. This compound </w:t>
      </w:r>
      <w:r w:rsidR="00FC06D1" w:rsidRPr="00564A46">
        <w:rPr>
          <w:rFonts w:asciiTheme="minorHAnsi" w:hAnsiTheme="minorHAnsi"/>
          <w:color w:val="000000" w:themeColor="text1"/>
        </w:rPr>
        <w:t>was only evaluated in buffers 1) and 3</w:t>
      </w:r>
      <w:r w:rsidR="009B4F64" w:rsidRPr="00564A46">
        <w:rPr>
          <w:rFonts w:asciiTheme="minorHAnsi" w:hAnsiTheme="minorHAnsi"/>
          <w:color w:val="000000" w:themeColor="text1"/>
        </w:rPr>
        <w:t xml:space="preserve">). </w:t>
      </w:r>
    </w:p>
    <w:p w14:paraId="40A256CD" w14:textId="1F540BBE" w:rsidR="00D258D1" w:rsidRPr="00564A46" w:rsidRDefault="001C16A5" w:rsidP="00963D35">
      <w:pPr>
        <w:spacing w:after="240"/>
        <w:rPr>
          <w:rFonts w:asciiTheme="minorHAnsi" w:hAnsiTheme="minorHAnsi"/>
          <w:color w:val="000000" w:themeColor="text1"/>
        </w:rPr>
      </w:pPr>
      <w:r w:rsidRPr="00564A46">
        <w:rPr>
          <w:rFonts w:asciiTheme="minorHAnsi" w:hAnsiTheme="minorHAnsi"/>
          <w:color w:val="000000" w:themeColor="text1"/>
        </w:rPr>
        <w:t>The two laboratories used slightly different approaches to produce the suspensions. Danazol, prednisolone, tamoxifen</w:t>
      </w:r>
      <w:r w:rsidR="00BF70C9" w:rsidRPr="00564A46">
        <w:rPr>
          <w:rFonts w:asciiTheme="minorHAnsi" w:hAnsiTheme="minorHAnsi"/>
          <w:color w:val="000000" w:themeColor="text1"/>
        </w:rPr>
        <w:t>,</w:t>
      </w:r>
      <w:r w:rsidRPr="00564A46">
        <w:rPr>
          <w:rFonts w:asciiTheme="minorHAnsi" w:hAnsiTheme="minorHAnsi"/>
          <w:color w:val="000000" w:themeColor="text1"/>
        </w:rPr>
        <w:t xml:space="preserve"> and atenolol were studied at Uppsala University</w:t>
      </w:r>
      <w:r w:rsidR="00945B52" w:rsidRPr="00564A46">
        <w:rPr>
          <w:rFonts w:asciiTheme="minorHAnsi" w:hAnsiTheme="minorHAnsi"/>
          <w:color w:val="000000" w:themeColor="text1"/>
        </w:rPr>
        <w:t xml:space="preserve">. </w:t>
      </w:r>
      <w:r w:rsidR="0097442C" w:rsidRPr="00564A46">
        <w:rPr>
          <w:rFonts w:asciiTheme="minorHAnsi" w:hAnsiTheme="minorHAnsi"/>
          <w:color w:val="000000" w:themeColor="text1"/>
        </w:rPr>
        <w:t>Uppsala used a</w:t>
      </w:r>
      <w:r w:rsidRPr="00564A46">
        <w:rPr>
          <w:rFonts w:asciiTheme="minorHAnsi" w:hAnsiTheme="minorHAnsi"/>
          <w:color w:val="000000" w:themeColor="text1"/>
        </w:rPr>
        <w:t xml:space="preserve"> recent method </w:t>
      </w:r>
      <w:r w:rsidR="00D92445" w:rsidRPr="00564A46">
        <w:rPr>
          <w:rFonts w:asciiTheme="minorHAnsi" w:hAnsiTheme="minorHAnsi"/>
          <w:color w:val="000000" w:themeColor="text1"/>
        </w:rPr>
        <w:t>based on controlled suspensions</w:t>
      </w:r>
      <w:r w:rsidR="00945B52" w:rsidRPr="00564A46">
        <w:rPr>
          <w:rFonts w:asciiTheme="minorHAnsi" w:hAnsiTheme="minorHAnsi"/>
          <w:color w:val="000000" w:themeColor="text1"/>
        </w:rPr>
        <w:t xml:space="preserve"> for danazol, prednisolone</w:t>
      </w:r>
      <w:r w:rsidR="008B0C98" w:rsidRPr="00564A46">
        <w:rPr>
          <w:rFonts w:asciiTheme="minorHAnsi" w:hAnsiTheme="minorHAnsi"/>
          <w:color w:val="000000" w:themeColor="text1"/>
        </w:rPr>
        <w:t xml:space="preserve"> and </w:t>
      </w:r>
      <w:r w:rsidR="00945B52" w:rsidRPr="00564A46">
        <w:rPr>
          <w:rFonts w:asciiTheme="minorHAnsi" w:hAnsiTheme="minorHAnsi"/>
          <w:color w:val="000000" w:themeColor="text1"/>
        </w:rPr>
        <w:t>tamoxifen</w:t>
      </w:r>
      <w:r w:rsidR="00D92445" w:rsidRPr="00564A46">
        <w:rPr>
          <w:rFonts w:asciiTheme="minorHAnsi" w:hAnsiTheme="minorHAnsi"/>
          <w:color w:val="000000" w:themeColor="text1"/>
        </w:rPr>
        <w:t xml:space="preserve"> </w:t>
      </w:r>
      <w:r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&lt;EndNote&gt;&lt;Cite&gt;&lt;Author&gt;Andersson&lt;/Author&gt;&lt;Year&gt;Submitted in 2017&lt;/Year&gt;&lt;RecNum&gt;152&lt;/RecNum&gt;&lt;DisplayText&gt;(8)&lt;/DisplayText&gt;&lt;record&gt;&lt;rec-number&gt;152&lt;/rec-number&gt;&lt;foreign-keys&gt;&lt;key app="EN" db-id="vapsarvf3x9d5serzs6vt59osvzvsr55efxx" timestamp="1560648040"&gt;152&lt;/key&gt;&lt;/foreign-keys&gt;&lt;ref-type name="Journal Article"&gt;17&lt;/ref-type&gt;&lt;contributors&gt;&lt;authors&gt;&lt;author&gt;Andersson, S. B. E.&lt;/author&gt;&lt;author&gt;Alvebratt, C.&lt;/author&gt;&lt;author&gt;Bergstrom, C. A. S.&lt;/author&gt;&lt;/authors&gt;&lt;/contributors&gt;&lt;titles&gt;&lt;title&gt;Rapid determination of dissolution-limited drug absorption and effect of particle size reduction&lt;/title&gt;&lt;secondary-title&gt;Pharm Res&lt;/secondary-title&gt;&lt;/titles&gt;&lt;periodical&gt;&lt;full-title&gt;Pharm Res&lt;/full-title&gt;&lt;/periodical&gt;&lt;dates&gt;&lt;year&gt;Submitted in 2017&lt;/year&gt;&lt;/dates&gt;&lt;urls&gt;&lt;/urls&gt;&lt;/record&gt;&lt;/Cite&gt;&lt;/EndNote&gt;</w:instrText>
      </w:r>
      <w:r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(8)</w:t>
      </w:r>
      <w:r w:rsidRPr="00564A46">
        <w:rPr>
          <w:rFonts w:asciiTheme="minorHAnsi" w:hAnsiTheme="minorHAnsi"/>
          <w:color w:val="000000" w:themeColor="text1"/>
        </w:rPr>
        <w:fldChar w:fldCharType="end"/>
      </w:r>
      <w:r w:rsidR="00D92445" w:rsidRPr="00564A46">
        <w:rPr>
          <w:rFonts w:asciiTheme="minorHAnsi" w:hAnsiTheme="minorHAnsi"/>
          <w:color w:val="000000" w:themeColor="text1"/>
        </w:rPr>
        <w:t xml:space="preserve">. </w:t>
      </w:r>
      <w:r w:rsidR="00945B52" w:rsidRPr="00564A46">
        <w:rPr>
          <w:rFonts w:asciiTheme="minorHAnsi" w:hAnsiTheme="minorHAnsi"/>
          <w:color w:val="000000" w:themeColor="text1"/>
        </w:rPr>
        <w:t>In this method</w:t>
      </w:r>
      <w:r w:rsidR="0097442C" w:rsidRPr="00564A46">
        <w:rPr>
          <w:rFonts w:asciiTheme="minorHAnsi" w:hAnsiTheme="minorHAnsi"/>
          <w:color w:val="000000" w:themeColor="text1"/>
        </w:rPr>
        <w:t>, each drug was balled milled in</w:t>
      </w:r>
      <w:r w:rsidR="00945B52" w:rsidRPr="00564A46">
        <w:rPr>
          <w:rFonts w:asciiTheme="minorHAnsi" w:hAnsiTheme="minorHAnsi"/>
          <w:color w:val="000000" w:themeColor="text1"/>
        </w:rPr>
        <w:t xml:space="preserve"> a</w:t>
      </w:r>
      <w:r w:rsidR="00BF70C9" w:rsidRPr="00564A46">
        <w:rPr>
          <w:rFonts w:asciiTheme="minorHAnsi" w:hAnsiTheme="minorHAnsi"/>
          <w:color w:val="000000" w:themeColor="text1"/>
        </w:rPr>
        <w:t xml:space="preserve"> low-buffer-capacity </w:t>
      </w:r>
      <w:r w:rsidRPr="00564A46">
        <w:rPr>
          <w:rFonts w:asciiTheme="minorHAnsi" w:hAnsiTheme="minorHAnsi"/>
          <w:color w:val="000000" w:themeColor="text1"/>
        </w:rPr>
        <w:t>medium</w:t>
      </w:r>
      <w:r w:rsidR="00BF70C9" w:rsidRPr="00564A46">
        <w:rPr>
          <w:rFonts w:asciiTheme="minorHAnsi" w:hAnsiTheme="minorHAnsi"/>
          <w:color w:val="000000" w:themeColor="text1"/>
        </w:rPr>
        <w:t xml:space="preserve"> consisting of</w:t>
      </w:r>
      <w:r w:rsidRPr="00564A46">
        <w:rPr>
          <w:rFonts w:asciiTheme="minorHAnsi" w:hAnsiTheme="minorHAnsi"/>
          <w:color w:val="000000" w:themeColor="text1"/>
        </w:rPr>
        <w:t xml:space="preserve"> </w:t>
      </w:r>
      <w:r w:rsidR="00AC464A" w:rsidRPr="00564A46">
        <w:rPr>
          <w:rFonts w:asciiTheme="minorHAnsi" w:hAnsiTheme="minorHAnsi"/>
          <w:color w:val="000000" w:themeColor="text1"/>
        </w:rPr>
        <w:t>1</w:t>
      </w:r>
      <w:r w:rsidRPr="00564A46">
        <w:rPr>
          <w:rFonts w:asciiTheme="minorHAnsi" w:hAnsiTheme="minorHAnsi"/>
          <w:color w:val="000000" w:themeColor="text1"/>
        </w:rPr>
        <w:t xml:space="preserve">% (w/w) </w:t>
      </w:r>
      <w:r w:rsidR="00BF70C9" w:rsidRPr="00564A46">
        <w:rPr>
          <w:rFonts w:asciiTheme="minorHAnsi" w:hAnsiTheme="minorHAnsi"/>
          <w:color w:val="000000" w:themeColor="text1"/>
        </w:rPr>
        <w:t>polyvinyl pyrrolidone (</w:t>
      </w:r>
      <w:r w:rsidRPr="00564A46">
        <w:rPr>
          <w:rFonts w:asciiTheme="minorHAnsi" w:hAnsiTheme="minorHAnsi"/>
          <w:color w:val="000000" w:themeColor="text1"/>
        </w:rPr>
        <w:t>PVP</w:t>
      </w:r>
      <w:r w:rsidR="00BF70C9" w:rsidRPr="00564A46">
        <w:rPr>
          <w:rFonts w:asciiTheme="minorHAnsi" w:hAnsiTheme="minorHAnsi"/>
          <w:color w:val="000000" w:themeColor="text1"/>
        </w:rPr>
        <w:t>)</w:t>
      </w:r>
      <w:r w:rsidRPr="00564A46">
        <w:rPr>
          <w:rFonts w:asciiTheme="minorHAnsi" w:hAnsiTheme="minorHAnsi"/>
          <w:color w:val="000000" w:themeColor="text1"/>
        </w:rPr>
        <w:t xml:space="preserve"> K30 and 0.2% (w/w) </w:t>
      </w:r>
      <w:r w:rsidR="00BF70C9" w:rsidRPr="00564A46">
        <w:rPr>
          <w:rFonts w:asciiTheme="minorHAnsi" w:hAnsiTheme="minorHAnsi"/>
          <w:color w:val="000000" w:themeColor="text1"/>
        </w:rPr>
        <w:t xml:space="preserve">sodium </w:t>
      </w:r>
      <w:r w:rsidR="00D258D1" w:rsidRPr="00564A46">
        <w:rPr>
          <w:rFonts w:asciiTheme="minorHAnsi" w:hAnsiTheme="minorHAnsi"/>
          <w:color w:val="000000" w:themeColor="text1"/>
        </w:rPr>
        <w:t>dodecyl sulfate (</w:t>
      </w:r>
      <w:r w:rsidRPr="00564A46">
        <w:rPr>
          <w:rFonts w:asciiTheme="minorHAnsi" w:hAnsiTheme="minorHAnsi"/>
          <w:color w:val="000000" w:themeColor="text1"/>
        </w:rPr>
        <w:t>SDS</w:t>
      </w:r>
      <w:r w:rsidR="00D258D1" w:rsidRPr="00564A46">
        <w:rPr>
          <w:rFonts w:asciiTheme="minorHAnsi" w:hAnsiTheme="minorHAnsi"/>
          <w:color w:val="000000" w:themeColor="text1"/>
        </w:rPr>
        <w:t>).</w:t>
      </w:r>
      <w:r w:rsidR="00945B52" w:rsidRPr="00564A46">
        <w:rPr>
          <w:rFonts w:asciiTheme="minorHAnsi" w:hAnsiTheme="minorHAnsi"/>
          <w:color w:val="000000" w:themeColor="text1"/>
        </w:rPr>
        <w:t xml:space="preserve"> A disc method </w:t>
      </w:r>
      <w:r w:rsidR="0022462C" w:rsidRPr="00564A46">
        <w:rPr>
          <w:rFonts w:asciiTheme="minorHAnsi" w:hAnsiTheme="minorHAnsi"/>
          <w:color w:val="000000" w:themeColor="text1"/>
        </w:rPr>
        <w:t xml:space="preserve">instead of the controlled suspensions method </w:t>
      </w:r>
      <w:r w:rsidR="00945B52" w:rsidRPr="00564A46">
        <w:rPr>
          <w:rFonts w:asciiTheme="minorHAnsi" w:hAnsiTheme="minorHAnsi"/>
          <w:color w:val="000000" w:themeColor="text1"/>
        </w:rPr>
        <w:t>was used for atenolol</w:t>
      </w:r>
      <w:r w:rsidR="0022462C" w:rsidRPr="00564A46">
        <w:rPr>
          <w:rFonts w:asciiTheme="minorHAnsi" w:hAnsiTheme="minorHAnsi"/>
          <w:color w:val="000000" w:themeColor="text1"/>
        </w:rPr>
        <w:t xml:space="preserve"> due to its high solubility at a bulk pH of 6.5 </w:t>
      </w:r>
      <w:r w:rsidR="000A6FA4" w:rsidRPr="00564A46">
        <w:rPr>
          <w:rFonts w:asciiTheme="minorHAnsi" w:hAnsiTheme="minorHAnsi"/>
          <w:color w:val="000000" w:themeColor="text1"/>
        </w:rPr>
        <w:fldChar w:fldCharType="begin">
          <w:fldData xml:space="preserve">PEVuZE5vdGU+PENpdGU+PEF1dGhvcj5BbmRlcnNzb248L0F1dGhvcj48WWVhcj4yMDE2PC9ZZWFy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</w:fldData>
        </w:fldChar>
      </w:r>
      <w:r w:rsidR="00613FDE" w:rsidRPr="00564A46">
        <w:rPr>
          <w:rFonts w:asciiTheme="minorHAnsi" w:hAnsiTheme="minorHAnsi"/>
          <w:color w:val="000000" w:themeColor="text1"/>
        </w:rPr>
        <w:instrText xml:space="preserve"> ADDIN EN.CITE </w:instrText>
      </w:r>
      <w:r w:rsidR="00613FDE" w:rsidRPr="00564A46">
        <w:rPr>
          <w:rFonts w:asciiTheme="minorHAnsi" w:hAnsiTheme="minorHAnsi"/>
          <w:color w:val="000000" w:themeColor="text1"/>
        </w:rPr>
        <w:fldChar w:fldCharType="begin">
          <w:fldData xml:space="preserve">PEVuZE5vdGU+PENpdGU+PEF1dGhvcj5BbmRlcnNzb248L0F1dGhvcj48WWVhcj4yMDE2PC9ZZWFy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</w:fldData>
        </w:fldChar>
      </w:r>
      <w:r w:rsidR="00613FDE" w:rsidRPr="00564A46">
        <w:rPr>
          <w:rFonts w:asciiTheme="minorHAnsi" w:hAnsiTheme="minorHAnsi"/>
          <w:color w:val="000000" w:themeColor="text1"/>
        </w:rPr>
        <w:instrText xml:space="preserve"> ADDIN EN.CITE.DATA </w:instrText>
      </w:r>
      <w:r w:rsidR="00613FDE" w:rsidRPr="00564A46">
        <w:rPr>
          <w:rFonts w:asciiTheme="minorHAnsi" w:hAnsiTheme="minorHAnsi"/>
          <w:color w:val="000000" w:themeColor="text1"/>
        </w:rPr>
      </w:r>
      <w:r w:rsidR="00613FDE" w:rsidRPr="00564A46">
        <w:rPr>
          <w:rFonts w:asciiTheme="minorHAnsi" w:hAnsiTheme="minorHAnsi"/>
          <w:color w:val="000000" w:themeColor="text1"/>
        </w:rPr>
        <w:fldChar w:fldCharType="end"/>
      </w:r>
      <w:r w:rsidR="000A6FA4" w:rsidRPr="00564A46">
        <w:rPr>
          <w:rFonts w:asciiTheme="minorHAnsi" w:hAnsiTheme="minorHAnsi"/>
          <w:color w:val="000000" w:themeColor="text1"/>
        </w:rPr>
      </w:r>
      <w:r w:rsidR="000A6FA4"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(9)</w:t>
      </w:r>
      <w:r w:rsidR="000A6FA4" w:rsidRPr="00564A46">
        <w:rPr>
          <w:rFonts w:asciiTheme="minorHAnsi" w:hAnsiTheme="minorHAnsi"/>
          <w:color w:val="000000" w:themeColor="text1"/>
        </w:rPr>
        <w:fldChar w:fldCharType="end"/>
      </w:r>
      <w:r w:rsidR="0022462C" w:rsidRPr="00564A46">
        <w:rPr>
          <w:rFonts w:asciiTheme="minorHAnsi" w:hAnsiTheme="minorHAnsi"/>
          <w:color w:val="000000" w:themeColor="text1"/>
        </w:rPr>
        <w:t>.</w:t>
      </w:r>
      <w:r w:rsidR="005D5742" w:rsidRPr="00564A46">
        <w:rPr>
          <w:rFonts w:asciiTheme="minorHAnsi" w:hAnsiTheme="minorHAnsi"/>
          <w:color w:val="000000" w:themeColor="text1"/>
        </w:rPr>
        <w:t xml:space="preserve"> Discs (5 mg) were compressed at a pressure of 80 kg into Pion disc sets (3-mm cavity) with a surface area of 0.0707 cm</w:t>
      </w:r>
      <w:r w:rsidR="005D5742" w:rsidRPr="00564A46">
        <w:rPr>
          <w:rFonts w:asciiTheme="minorHAnsi" w:hAnsiTheme="minorHAnsi"/>
          <w:color w:val="000000" w:themeColor="text1"/>
          <w:vertAlign w:val="superscript"/>
        </w:rPr>
        <w:t>2</w:t>
      </w:r>
      <w:r w:rsidR="005D5742" w:rsidRPr="00564A46">
        <w:rPr>
          <w:rFonts w:asciiTheme="minorHAnsi" w:hAnsiTheme="minorHAnsi"/>
          <w:color w:val="000000" w:themeColor="text1"/>
        </w:rPr>
        <w:t>.</w:t>
      </w:r>
      <w:r w:rsidR="0022462C" w:rsidRPr="00564A46">
        <w:rPr>
          <w:rFonts w:asciiTheme="minorHAnsi" w:hAnsiTheme="minorHAnsi"/>
          <w:color w:val="000000" w:themeColor="text1"/>
        </w:rPr>
        <w:t xml:space="preserve"> The disc method allowed for a much smaller surface area and therefore decreased dissolution rate compared to the controlled suspensions method.</w:t>
      </w:r>
      <w:r w:rsidR="008B0C98" w:rsidRPr="00564A46">
        <w:rPr>
          <w:rFonts w:asciiTheme="minorHAnsi" w:hAnsiTheme="minorHAnsi"/>
          <w:color w:val="000000" w:themeColor="text1"/>
        </w:rPr>
        <w:t xml:space="preserve"> </w:t>
      </w:r>
      <w:r w:rsidR="0022462C" w:rsidRPr="00564A46">
        <w:rPr>
          <w:rFonts w:asciiTheme="minorHAnsi" w:hAnsiTheme="minorHAnsi"/>
          <w:color w:val="000000" w:themeColor="text1"/>
        </w:rPr>
        <w:t xml:space="preserve">This increased time allowed for </w:t>
      </w:r>
      <w:r w:rsidR="005D5742" w:rsidRPr="00564A46">
        <w:rPr>
          <w:rFonts w:asciiTheme="minorHAnsi" w:hAnsiTheme="minorHAnsi"/>
          <w:color w:val="000000" w:themeColor="text1"/>
        </w:rPr>
        <w:lastRenderedPageBreak/>
        <w:t>enough</w:t>
      </w:r>
      <w:r w:rsidR="0022462C" w:rsidRPr="00564A46">
        <w:rPr>
          <w:rFonts w:asciiTheme="minorHAnsi" w:hAnsiTheme="minorHAnsi"/>
          <w:color w:val="000000" w:themeColor="text1"/>
        </w:rPr>
        <w:t xml:space="preserve"> data points to calculate the dissolution rate.</w:t>
      </w:r>
      <w:r w:rsidR="005D5742" w:rsidRPr="00564A46">
        <w:rPr>
          <w:rFonts w:asciiTheme="minorHAnsi" w:hAnsiTheme="minorHAnsi"/>
          <w:color w:val="000000" w:themeColor="text1"/>
        </w:rPr>
        <w:t xml:space="preserve"> Each</w:t>
      </w:r>
      <w:r w:rsidRPr="00564A46">
        <w:rPr>
          <w:rFonts w:asciiTheme="minorHAnsi" w:hAnsiTheme="minorHAnsi"/>
          <w:color w:val="000000" w:themeColor="text1"/>
        </w:rPr>
        <w:t xml:space="preserve"> dissolution assay was performed under sink conditions</w:t>
      </w:r>
      <w:r w:rsidR="005D5742" w:rsidRPr="00564A46">
        <w:rPr>
          <w:rFonts w:asciiTheme="minorHAnsi" w:hAnsiTheme="minorHAnsi"/>
          <w:color w:val="000000" w:themeColor="text1"/>
        </w:rPr>
        <w:t xml:space="preserve"> </w:t>
      </w:r>
      <w:r w:rsidR="008B0C98" w:rsidRPr="00564A46">
        <w:rPr>
          <w:rFonts w:asciiTheme="minorHAnsi" w:hAnsiTheme="minorHAnsi"/>
          <w:color w:val="000000" w:themeColor="text1"/>
        </w:rPr>
        <w:t>except for danazol</w:t>
      </w:r>
      <w:r w:rsidRPr="00564A46">
        <w:rPr>
          <w:rFonts w:asciiTheme="minorHAnsi" w:hAnsiTheme="minorHAnsi"/>
          <w:color w:val="000000" w:themeColor="text1"/>
        </w:rPr>
        <w:t xml:space="preserve">. For danazol </w:t>
      </w:r>
      <w:r w:rsidR="005D5742" w:rsidRPr="00564A46">
        <w:rPr>
          <w:rFonts w:asciiTheme="minorHAnsi" w:hAnsiTheme="minorHAnsi"/>
          <w:color w:val="000000" w:themeColor="text1"/>
        </w:rPr>
        <w:t>experiments</w:t>
      </w:r>
      <w:r w:rsidR="00D258D1" w:rsidRPr="00564A46">
        <w:rPr>
          <w:rFonts w:asciiTheme="minorHAnsi" w:hAnsiTheme="minorHAnsi"/>
          <w:color w:val="000000" w:themeColor="text1"/>
        </w:rPr>
        <w:t>,</w:t>
      </w:r>
      <w:r w:rsidRPr="00564A46">
        <w:rPr>
          <w:rFonts w:asciiTheme="minorHAnsi" w:hAnsiTheme="minorHAnsi"/>
          <w:color w:val="000000" w:themeColor="text1"/>
        </w:rPr>
        <w:t xml:space="preserve"> </w:t>
      </w:r>
      <w:r w:rsidR="00C112B7" w:rsidRPr="00564A46">
        <w:rPr>
          <w:rFonts w:asciiTheme="minorHAnsi" w:hAnsiTheme="minorHAnsi"/>
          <w:color w:val="000000" w:themeColor="text1"/>
        </w:rPr>
        <w:t>slightly non</w:t>
      </w:r>
      <w:r w:rsidR="00F55D95" w:rsidRPr="00564A46">
        <w:rPr>
          <w:rFonts w:asciiTheme="minorHAnsi" w:hAnsiTheme="minorHAnsi"/>
          <w:color w:val="000000" w:themeColor="text1"/>
        </w:rPr>
        <w:t>-</w:t>
      </w:r>
      <w:r w:rsidR="00C112B7" w:rsidRPr="00564A46">
        <w:rPr>
          <w:rFonts w:asciiTheme="minorHAnsi" w:hAnsiTheme="minorHAnsi"/>
          <w:color w:val="000000" w:themeColor="text1"/>
        </w:rPr>
        <w:t>sink conditions were</w:t>
      </w:r>
      <w:r w:rsidRPr="00564A46">
        <w:rPr>
          <w:rFonts w:asciiTheme="minorHAnsi" w:hAnsiTheme="minorHAnsi"/>
          <w:color w:val="000000" w:themeColor="text1"/>
        </w:rPr>
        <w:t xml:space="preserve"> </w:t>
      </w:r>
      <w:r w:rsidR="00AC464A" w:rsidRPr="00564A46">
        <w:rPr>
          <w:rFonts w:asciiTheme="minorHAnsi" w:hAnsiTheme="minorHAnsi"/>
          <w:color w:val="000000" w:themeColor="text1"/>
        </w:rPr>
        <w:t xml:space="preserve">used </w:t>
      </w:r>
      <w:r w:rsidRPr="00564A46">
        <w:rPr>
          <w:rFonts w:asciiTheme="minorHAnsi" w:hAnsiTheme="minorHAnsi"/>
          <w:color w:val="000000" w:themeColor="text1"/>
        </w:rPr>
        <w:t xml:space="preserve">to allow </w:t>
      </w:r>
      <w:r w:rsidR="00D258D1" w:rsidRPr="00564A46">
        <w:rPr>
          <w:rFonts w:asciiTheme="minorHAnsi" w:hAnsiTheme="minorHAnsi"/>
          <w:color w:val="000000" w:themeColor="text1"/>
        </w:rPr>
        <w:t xml:space="preserve">accurate determination of the </w:t>
      </w:r>
      <w:r w:rsidRPr="00564A46">
        <w:rPr>
          <w:rFonts w:asciiTheme="minorHAnsi" w:hAnsiTheme="minorHAnsi"/>
          <w:color w:val="000000" w:themeColor="text1"/>
        </w:rPr>
        <w:t>concentration</w:t>
      </w:r>
      <w:r w:rsidR="004B54F8" w:rsidRPr="00564A46">
        <w:rPr>
          <w:rFonts w:asciiTheme="minorHAnsi" w:hAnsiTheme="minorHAnsi"/>
          <w:color w:val="000000" w:themeColor="text1"/>
        </w:rPr>
        <w:t xml:space="preserve">, </w:t>
      </w:r>
      <w:bookmarkStart w:id="1" w:name="_Hlk25576766"/>
      <w:r w:rsidR="004B54F8" w:rsidRPr="00564A46">
        <w:rPr>
          <w:rFonts w:asciiTheme="minorHAnsi" w:hAnsiTheme="minorHAnsi"/>
          <w:color w:val="000000" w:themeColor="text1"/>
        </w:rPr>
        <w:t>since</w:t>
      </w:r>
      <w:r w:rsidR="00103258" w:rsidRPr="00564A46">
        <w:rPr>
          <w:rFonts w:asciiTheme="minorHAnsi" w:hAnsiTheme="minorHAnsi"/>
          <w:color w:val="000000" w:themeColor="text1"/>
        </w:rPr>
        <w:t xml:space="preserve"> </w:t>
      </w:r>
      <w:r w:rsidR="004B54F8" w:rsidRPr="00564A46">
        <w:rPr>
          <w:rFonts w:asciiTheme="minorHAnsi" w:hAnsiTheme="minorHAnsi"/>
          <w:color w:val="000000" w:themeColor="text1"/>
        </w:rPr>
        <w:t>ultraviolet (UV) absorbance values were too low for accurate measurements at concentrations representative of sink conditions</w:t>
      </w:r>
      <w:bookmarkEnd w:id="1"/>
      <w:r w:rsidR="004B54F8" w:rsidRPr="00564A46">
        <w:rPr>
          <w:rFonts w:asciiTheme="minorHAnsi" w:hAnsiTheme="minorHAnsi"/>
          <w:color w:val="000000" w:themeColor="text1"/>
        </w:rPr>
        <w:t xml:space="preserve">. </w:t>
      </w:r>
    </w:p>
    <w:p w14:paraId="23A0DD53" w14:textId="6EA51857" w:rsidR="001C16A5" w:rsidRPr="00564A46" w:rsidRDefault="001C16A5" w:rsidP="00963D35">
      <w:pPr>
        <w:spacing w:after="240"/>
        <w:rPr>
          <w:rFonts w:asciiTheme="minorHAnsi" w:hAnsiTheme="minorHAnsi"/>
          <w:color w:val="000000" w:themeColor="text1"/>
        </w:rPr>
      </w:pPr>
      <w:r w:rsidRPr="00564A46">
        <w:rPr>
          <w:rFonts w:asciiTheme="minorHAnsi" w:hAnsiTheme="minorHAnsi"/>
          <w:color w:val="000000" w:themeColor="text1"/>
        </w:rPr>
        <w:t>Dipyridamole, ketoconazole, ibuprofen</w:t>
      </w:r>
      <w:r w:rsidR="00AC464A" w:rsidRPr="00564A46">
        <w:rPr>
          <w:rFonts w:asciiTheme="minorHAnsi" w:hAnsiTheme="minorHAnsi"/>
          <w:color w:val="000000" w:themeColor="text1"/>
        </w:rPr>
        <w:t>,</w:t>
      </w:r>
      <w:r w:rsidRPr="00564A46">
        <w:rPr>
          <w:rFonts w:asciiTheme="minorHAnsi" w:hAnsiTheme="minorHAnsi"/>
          <w:color w:val="000000" w:themeColor="text1"/>
        </w:rPr>
        <w:t xml:space="preserve"> and </w:t>
      </w:r>
      <w:proofErr w:type="spellStart"/>
      <w:r w:rsidRPr="00564A46">
        <w:rPr>
          <w:rFonts w:asciiTheme="minorHAnsi" w:hAnsiTheme="minorHAnsi"/>
          <w:color w:val="000000" w:themeColor="text1"/>
        </w:rPr>
        <w:t>flufenamic</w:t>
      </w:r>
      <w:proofErr w:type="spellEnd"/>
      <w:r w:rsidRPr="00564A46">
        <w:rPr>
          <w:rFonts w:asciiTheme="minorHAnsi" w:hAnsiTheme="minorHAnsi"/>
          <w:color w:val="000000" w:themeColor="text1"/>
        </w:rPr>
        <w:t xml:space="preserve"> acid were studied at Lonza using suspensions produced by adding the bulk powder to 0.5% (w/w) methylcellulose in water. The samples were vortexed to produce a homogenous suspension. The particle</w:t>
      </w:r>
      <w:r w:rsidR="00D258D1" w:rsidRPr="00564A46">
        <w:rPr>
          <w:rFonts w:asciiTheme="minorHAnsi" w:hAnsiTheme="minorHAnsi"/>
          <w:color w:val="000000" w:themeColor="text1"/>
        </w:rPr>
        <w:t xml:space="preserve"> size</w:t>
      </w:r>
      <w:r w:rsidR="00AC464A" w:rsidRPr="00564A46">
        <w:rPr>
          <w:rFonts w:asciiTheme="minorHAnsi" w:hAnsiTheme="minorHAnsi"/>
          <w:color w:val="000000" w:themeColor="text1"/>
        </w:rPr>
        <w:t>s</w:t>
      </w:r>
      <w:r w:rsidR="00D258D1" w:rsidRPr="00564A46">
        <w:rPr>
          <w:rFonts w:asciiTheme="minorHAnsi" w:hAnsiTheme="minorHAnsi"/>
          <w:color w:val="000000" w:themeColor="text1"/>
        </w:rPr>
        <w:t xml:space="preserve"> in these suspension</w:t>
      </w:r>
      <w:r w:rsidRPr="00564A46">
        <w:rPr>
          <w:rFonts w:asciiTheme="minorHAnsi" w:hAnsiTheme="minorHAnsi"/>
          <w:color w:val="000000" w:themeColor="text1"/>
        </w:rPr>
        <w:t xml:space="preserve">s </w:t>
      </w:r>
      <w:r w:rsidR="00D258D1" w:rsidRPr="00564A46">
        <w:rPr>
          <w:rFonts w:asciiTheme="minorHAnsi" w:hAnsiTheme="minorHAnsi"/>
          <w:color w:val="000000" w:themeColor="text1"/>
        </w:rPr>
        <w:t xml:space="preserve">were </w:t>
      </w:r>
      <w:r w:rsidRPr="00564A46">
        <w:rPr>
          <w:rFonts w:asciiTheme="minorHAnsi" w:hAnsiTheme="minorHAnsi"/>
          <w:color w:val="000000" w:themeColor="text1"/>
        </w:rPr>
        <w:t>larger than th</w:t>
      </w:r>
      <w:r w:rsidR="00D258D1" w:rsidRPr="00564A46">
        <w:rPr>
          <w:rFonts w:asciiTheme="minorHAnsi" w:hAnsiTheme="minorHAnsi"/>
          <w:color w:val="000000" w:themeColor="text1"/>
        </w:rPr>
        <w:t>ose</w:t>
      </w:r>
      <w:r w:rsidRPr="00564A46">
        <w:rPr>
          <w:rFonts w:asciiTheme="minorHAnsi" w:hAnsiTheme="minorHAnsi"/>
          <w:color w:val="000000" w:themeColor="text1"/>
        </w:rPr>
        <w:t xml:space="preserve"> </w:t>
      </w:r>
      <w:r w:rsidR="00AC464A" w:rsidRPr="00564A46">
        <w:rPr>
          <w:rFonts w:asciiTheme="minorHAnsi" w:hAnsiTheme="minorHAnsi"/>
          <w:color w:val="000000" w:themeColor="text1"/>
        </w:rPr>
        <w:t>in</w:t>
      </w:r>
      <w:r w:rsidRPr="00564A46">
        <w:rPr>
          <w:rFonts w:asciiTheme="minorHAnsi" w:hAnsiTheme="minorHAnsi"/>
          <w:color w:val="000000" w:themeColor="text1"/>
        </w:rPr>
        <w:t xml:space="preserve"> Uppsala University</w:t>
      </w:r>
      <w:r w:rsidR="00AC464A" w:rsidRPr="00564A46">
        <w:rPr>
          <w:rFonts w:asciiTheme="minorHAnsi" w:hAnsiTheme="minorHAnsi"/>
          <w:color w:val="000000" w:themeColor="text1"/>
        </w:rPr>
        <w:t xml:space="preserve"> tests</w:t>
      </w:r>
      <w:r w:rsidRPr="00564A46">
        <w:rPr>
          <w:rFonts w:asciiTheme="minorHAnsi" w:hAnsiTheme="minorHAnsi"/>
          <w:color w:val="000000" w:themeColor="text1"/>
        </w:rPr>
        <w:t xml:space="preserve">, </w:t>
      </w:r>
      <w:r w:rsidR="00D258D1" w:rsidRPr="00564A46">
        <w:rPr>
          <w:rFonts w:asciiTheme="minorHAnsi" w:hAnsiTheme="minorHAnsi"/>
          <w:color w:val="000000" w:themeColor="text1"/>
        </w:rPr>
        <w:t xml:space="preserve">so </w:t>
      </w:r>
      <w:r w:rsidRPr="00564A46">
        <w:rPr>
          <w:rFonts w:asciiTheme="minorHAnsi" w:hAnsiTheme="minorHAnsi"/>
          <w:color w:val="000000" w:themeColor="text1"/>
        </w:rPr>
        <w:t>the measurement</w:t>
      </w:r>
      <w:r w:rsidR="00D258D1" w:rsidRPr="00564A46">
        <w:rPr>
          <w:rFonts w:asciiTheme="minorHAnsi" w:hAnsiTheme="minorHAnsi"/>
          <w:color w:val="000000" w:themeColor="text1"/>
        </w:rPr>
        <w:t xml:space="preserve"> time</w:t>
      </w:r>
      <w:r w:rsidRPr="00564A46">
        <w:rPr>
          <w:rFonts w:asciiTheme="minorHAnsi" w:hAnsiTheme="minorHAnsi"/>
          <w:color w:val="000000" w:themeColor="text1"/>
        </w:rPr>
        <w:t xml:space="preserve"> </w:t>
      </w:r>
      <w:r w:rsidR="00AC464A" w:rsidRPr="00564A46">
        <w:rPr>
          <w:rFonts w:asciiTheme="minorHAnsi" w:hAnsiTheme="minorHAnsi"/>
          <w:color w:val="000000" w:themeColor="text1"/>
        </w:rPr>
        <w:t>was</w:t>
      </w:r>
      <w:r w:rsidRPr="00564A46">
        <w:rPr>
          <w:rFonts w:asciiTheme="minorHAnsi" w:hAnsiTheme="minorHAnsi"/>
          <w:color w:val="000000" w:themeColor="text1"/>
        </w:rPr>
        <w:t xml:space="preserve"> extended to</w:t>
      </w:r>
      <w:r w:rsidR="00534CEA" w:rsidRPr="00564A46">
        <w:rPr>
          <w:rFonts w:asciiTheme="minorHAnsi" w:hAnsiTheme="minorHAnsi"/>
          <w:color w:val="000000" w:themeColor="text1"/>
        </w:rPr>
        <w:t xml:space="preserve"> 60 minutes for most compounds</w:t>
      </w:r>
      <w:r w:rsidR="00494B2F" w:rsidRPr="00564A46">
        <w:rPr>
          <w:rFonts w:asciiTheme="minorHAnsi" w:hAnsiTheme="minorHAnsi"/>
          <w:color w:val="000000" w:themeColor="text1"/>
        </w:rPr>
        <w:t>.</w:t>
      </w:r>
    </w:p>
    <w:p w14:paraId="40727367" w14:textId="5F0DE8D0" w:rsidR="008F7643" w:rsidRPr="00564A46" w:rsidRDefault="00F55D95" w:rsidP="00963D35">
      <w:pPr>
        <w:spacing w:after="240"/>
        <w:rPr>
          <w:rFonts w:asciiTheme="minorHAnsi" w:hAnsiTheme="minorHAnsi"/>
          <w:color w:val="000000" w:themeColor="text1"/>
        </w:rPr>
      </w:pPr>
      <w:bookmarkStart w:id="2" w:name="_Hlk25664945"/>
      <w:r w:rsidRPr="00564A46">
        <w:rPr>
          <w:rFonts w:asciiTheme="minorHAnsi" w:hAnsiTheme="minorHAnsi"/>
          <w:color w:val="000000" w:themeColor="text1"/>
        </w:rPr>
        <w:t xml:space="preserve">Dissolution rate was determined by calculating the slope of the initial linear portion of the dissolution-time profile </w:t>
      </w:r>
      <w:r w:rsidR="00EA60C0" w:rsidRPr="00564A46">
        <w:rPr>
          <w:rFonts w:asciiTheme="minorHAnsi" w:hAnsiTheme="minorHAnsi"/>
          <w:color w:val="000000" w:themeColor="text1"/>
        </w:rPr>
        <w:t xml:space="preserve">for </w:t>
      </w:r>
      <w:r w:rsidR="00196F64" w:rsidRPr="00564A46">
        <w:rPr>
          <w:rFonts w:asciiTheme="minorHAnsi" w:hAnsiTheme="minorHAnsi"/>
          <w:color w:val="000000" w:themeColor="text1"/>
        </w:rPr>
        <w:t xml:space="preserve">each </w:t>
      </w:r>
      <w:r w:rsidR="00EA60C0" w:rsidRPr="00564A46">
        <w:rPr>
          <w:rFonts w:asciiTheme="minorHAnsi" w:hAnsiTheme="minorHAnsi"/>
          <w:color w:val="000000" w:themeColor="text1"/>
        </w:rPr>
        <w:t>compound except Ibuprofen</w:t>
      </w:r>
      <w:r w:rsidRPr="00564A46">
        <w:rPr>
          <w:rFonts w:asciiTheme="minorHAnsi" w:hAnsiTheme="minorHAnsi"/>
          <w:color w:val="000000" w:themeColor="text1"/>
        </w:rPr>
        <w:t>.</w:t>
      </w:r>
      <w:r w:rsidR="00EA60C0" w:rsidRPr="00564A46">
        <w:rPr>
          <w:rFonts w:asciiTheme="minorHAnsi" w:hAnsiTheme="minorHAnsi"/>
          <w:color w:val="000000" w:themeColor="text1"/>
        </w:rPr>
        <w:t xml:space="preserve"> The difference in dissolution rate</w:t>
      </w:r>
      <w:r w:rsidR="00FB0132" w:rsidRPr="00564A46">
        <w:rPr>
          <w:rFonts w:asciiTheme="minorHAnsi" w:hAnsiTheme="minorHAnsi"/>
          <w:color w:val="000000" w:themeColor="text1"/>
        </w:rPr>
        <w:t xml:space="preserve"> between two different media</w:t>
      </w:r>
      <w:r w:rsidR="00EA60C0" w:rsidRPr="00564A46">
        <w:rPr>
          <w:rFonts w:asciiTheme="minorHAnsi" w:hAnsiTheme="minorHAnsi"/>
          <w:color w:val="000000" w:themeColor="text1"/>
        </w:rPr>
        <w:t xml:space="preserve"> was determined by </w:t>
      </w:r>
      <w:r w:rsidR="00FB0132" w:rsidRPr="00564A46">
        <w:rPr>
          <w:rFonts w:asciiTheme="minorHAnsi" w:hAnsiTheme="minorHAnsi"/>
          <w:color w:val="000000" w:themeColor="text1"/>
        </w:rPr>
        <w:t xml:space="preserve">taking the ratio of the two rates. </w:t>
      </w:r>
      <w:r w:rsidR="00EA60C0" w:rsidRPr="00564A46">
        <w:rPr>
          <w:rFonts w:asciiTheme="minorHAnsi" w:hAnsiTheme="minorHAnsi"/>
          <w:color w:val="000000" w:themeColor="text1"/>
        </w:rPr>
        <w:t>For Ibuprofen</w:t>
      </w:r>
      <w:r w:rsidR="00FB0132" w:rsidRPr="00564A46">
        <w:rPr>
          <w:rFonts w:asciiTheme="minorHAnsi" w:hAnsiTheme="minorHAnsi"/>
          <w:color w:val="000000" w:themeColor="text1"/>
        </w:rPr>
        <w:t>,</w:t>
      </w:r>
      <w:r w:rsidR="00EA60C0" w:rsidRPr="00564A46">
        <w:rPr>
          <w:rFonts w:asciiTheme="minorHAnsi" w:hAnsiTheme="minorHAnsi"/>
          <w:color w:val="000000" w:themeColor="text1"/>
        </w:rPr>
        <w:t xml:space="preserve"> the time to</w:t>
      </w:r>
      <w:r w:rsidR="00FB0132" w:rsidRPr="00564A46">
        <w:rPr>
          <w:rFonts w:asciiTheme="minorHAnsi" w:hAnsiTheme="minorHAnsi"/>
          <w:color w:val="000000" w:themeColor="text1"/>
        </w:rPr>
        <w:t xml:space="preserve"> dissolve</w:t>
      </w:r>
      <w:r w:rsidR="00EA60C0" w:rsidRPr="00564A46">
        <w:rPr>
          <w:rFonts w:asciiTheme="minorHAnsi" w:hAnsiTheme="minorHAnsi"/>
          <w:color w:val="000000" w:themeColor="text1"/>
        </w:rPr>
        <w:t xml:space="preserve"> 80% </w:t>
      </w:r>
      <w:r w:rsidR="00FB0132" w:rsidRPr="00564A46">
        <w:rPr>
          <w:rFonts w:asciiTheme="minorHAnsi" w:hAnsiTheme="minorHAnsi"/>
          <w:color w:val="000000" w:themeColor="text1"/>
        </w:rPr>
        <w:t>of the dose was determined for each medium, and the ratio of the two times was determined to compare media.</w:t>
      </w:r>
      <w:r w:rsidR="008F7643" w:rsidRPr="00564A46">
        <w:rPr>
          <w:rFonts w:asciiTheme="minorHAnsi" w:hAnsiTheme="minorHAnsi"/>
          <w:color w:val="000000" w:themeColor="text1"/>
        </w:rPr>
        <w:t xml:space="preserve"> This method was used since dissolution was rapid (100% dissolved in less than 1 minute) in the 50-mM buffer, which led to insufficient time points during the initial linear portion of the dissolution-time profile. </w:t>
      </w:r>
    </w:p>
    <w:bookmarkEnd w:id="2"/>
    <w:p w14:paraId="07D01D15" w14:textId="3DA50D42" w:rsidR="00534CEA" w:rsidRPr="00564A46" w:rsidRDefault="00534CEA" w:rsidP="00963D35">
      <w:pPr>
        <w:spacing w:after="240"/>
        <w:rPr>
          <w:rFonts w:asciiTheme="minorHAnsi" w:hAnsiTheme="minorHAnsi"/>
          <w:color w:val="000000" w:themeColor="text1"/>
          <w:u w:val="single"/>
        </w:rPr>
      </w:pPr>
      <w:r w:rsidRPr="00564A46">
        <w:rPr>
          <w:rFonts w:asciiTheme="minorHAnsi" w:hAnsiTheme="minorHAnsi"/>
          <w:color w:val="000000" w:themeColor="text1"/>
          <w:u w:val="single"/>
        </w:rPr>
        <w:t xml:space="preserve">Results </w:t>
      </w:r>
      <w:r w:rsidR="00D258D1" w:rsidRPr="00564A46">
        <w:rPr>
          <w:rFonts w:asciiTheme="minorHAnsi" w:hAnsiTheme="minorHAnsi"/>
          <w:color w:val="000000" w:themeColor="text1"/>
          <w:u w:val="single"/>
        </w:rPr>
        <w:t xml:space="preserve">and </w:t>
      </w:r>
      <w:r w:rsidRPr="00564A46">
        <w:rPr>
          <w:rFonts w:asciiTheme="minorHAnsi" w:hAnsiTheme="minorHAnsi"/>
          <w:color w:val="000000" w:themeColor="text1"/>
          <w:u w:val="single"/>
        </w:rPr>
        <w:t>Discussion</w:t>
      </w:r>
    </w:p>
    <w:p w14:paraId="708BC2FA" w14:textId="12EE1B79" w:rsidR="00534CEA" w:rsidRPr="00564A46" w:rsidRDefault="00534CEA" w:rsidP="00963D35">
      <w:pPr>
        <w:spacing w:after="240"/>
        <w:rPr>
          <w:rFonts w:ascii="Calibri" w:hAnsi="Calibri"/>
          <w:color w:val="000000" w:themeColor="text1"/>
        </w:rPr>
      </w:pPr>
      <w:r w:rsidRPr="00564A46">
        <w:rPr>
          <w:rFonts w:ascii="Calibri" w:hAnsi="Calibri"/>
          <w:b/>
          <w:color w:val="000000" w:themeColor="text1"/>
        </w:rPr>
        <w:t>Table S</w:t>
      </w:r>
      <w:r w:rsidR="00C112B7" w:rsidRPr="00564A46">
        <w:rPr>
          <w:rFonts w:ascii="Calibri" w:hAnsi="Calibri"/>
          <w:b/>
          <w:color w:val="000000" w:themeColor="text1"/>
        </w:rPr>
        <w:t>2</w:t>
      </w:r>
      <w:r w:rsidRPr="00564A46">
        <w:rPr>
          <w:rFonts w:ascii="Calibri" w:hAnsi="Calibri"/>
          <w:color w:val="000000" w:themeColor="text1"/>
        </w:rPr>
        <w:t xml:space="preserve"> shows the predicted and experimental differences in dissolution rate as a function of buffer concentration and addition of bile salts </w:t>
      </w:r>
      <w:r w:rsidR="00D258D1" w:rsidRPr="00564A46">
        <w:rPr>
          <w:rFonts w:ascii="Calibri" w:hAnsi="Calibri"/>
          <w:color w:val="000000" w:themeColor="text1"/>
        </w:rPr>
        <w:t>and phospho</w:t>
      </w:r>
      <w:r w:rsidRPr="00564A46">
        <w:rPr>
          <w:rFonts w:ascii="Calibri" w:hAnsi="Calibri"/>
          <w:color w:val="000000" w:themeColor="text1"/>
        </w:rPr>
        <w:t xml:space="preserve">lipids for each model drug. The experimental dissolution curves are presented in </w:t>
      </w:r>
      <w:r w:rsidRPr="00564A46">
        <w:rPr>
          <w:rFonts w:ascii="Calibri" w:hAnsi="Calibri"/>
          <w:b/>
          <w:color w:val="000000" w:themeColor="text1"/>
        </w:rPr>
        <w:t>Figure S</w:t>
      </w:r>
      <w:r w:rsidR="0063738A" w:rsidRPr="00564A46">
        <w:rPr>
          <w:rFonts w:ascii="Calibri" w:hAnsi="Calibri"/>
          <w:b/>
          <w:color w:val="000000" w:themeColor="text1"/>
        </w:rPr>
        <w:t>7</w:t>
      </w:r>
      <w:r w:rsidR="003E096B" w:rsidRPr="00564A46">
        <w:rPr>
          <w:rFonts w:ascii="Calibri" w:hAnsi="Calibri"/>
          <w:b/>
          <w:color w:val="000000" w:themeColor="text1"/>
        </w:rPr>
        <w:t xml:space="preserve"> and S</w:t>
      </w:r>
      <w:r w:rsidR="0063738A" w:rsidRPr="00564A46">
        <w:rPr>
          <w:rFonts w:ascii="Calibri" w:hAnsi="Calibri"/>
          <w:b/>
          <w:color w:val="000000" w:themeColor="text1"/>
        </w:rPr>
        <w:t>8</w:t>
      </w:r>
      <w:r w:rsidRPr="00564A46">
        <w:rPr>
          <w:rFonts w:ascii="Calibri" w:hAnsi="Calibri"/>
          <w:color w:val="000000" w:themeColor="text1"/>
        </w:rPr>
        <w:t xml:space="preserve">. The experimental evaluation showed that the </w:t>
      </w:r>
      <w:r w:rsidR="006C0688" w:rsidRPr="00564A46">
        <w:rPr>
          <w:rFonts w:ascii="Calibri" w:hAnsi="Calibri"/>
          <w:color w:val="000000" w:themeColor="text1"/>
        </w:rPr>
        <w:t>recommendations</w:t>
      </w:r>
      <w:r w:rsidRPr="00564A46">
        <w:rPr>
          <w:rFonts w:ascii="Calibri" w:hAnsi="Calibri"/>
          <w:color w:val="000000" w:themeColor="text1"/>
        </w:rPr>
        <w:t xml:space="preserve"> correctly identified when a biorelevant buffer capacity and addition of the </w:t>
      </w:r>
      <w:r w:rsidR="00D258D1" w:rsidRPr="00564A46">
        <w:rPr>
          <w:rFonts w:ascii="Calibri" w:hAnsi="Calibri"/>
          <w:color w:val="000000" w:themeColor="text1"/>
        </w:rPr>
        <w:t xml:space="preserve">bile salts </w:t>
      </w:r>
      <w:r w:rsidR="00D258D1" w:rsidRPr="00564A46">
        <w:rPr>
          <w:rFonts w:ascii="Calibri" w:hAnsi="Calibri"/>
          <w:color w:val="000000" w:themeColor="text1"/>
        </w:rPr>
        <w:lastRenderedPageBreak/>
        <w:t>and phospholipids</w:t>
      </w:r>
      <w:r w:rsidRPr="00564A46">
        <w:rPr>
          <w:rFonts w:ascii="Calibri" w:hAnsi="Calibri"/>
          <w:color w:val="000000" w:themeColor="text1"/>
        </w:rPr>
        <w:t xml:space="preserve"> would appreciably change the dissolution profiles of the compounds</w:t>
      </w:r>
      <w:r w:rsidR="00D258D1" w:rsidRPr="00564A46">
        <w:rPr>
          <w:rFonts w:ascii="Calibri" w:hAnsi="Calibri"/>
          <w:color w:val="000000" w:themeColor="text1"/>
        </w:rPr>
        <w:t>,</w:t>
      </w:r>
      <w:r w:rsidRPr="00564A46">
        <w:rPr>
          <w:rFonts w:ascii="Calibri" w:hAnsi="Calibri"/>
          <w:color w:val="000000" w:themeColor="text1"/>
        </w:rPr>
        <w:t xml:space="preserve"> as discussed below.</w:t>
      </w:r>
    </w:p>
    <w:p w14:paraId="0C9CC12E" w14:textId="3CC3DE24" w:rsidR="00534CEA" w:rsidRPr="00564A46" w:rsidRDefault="00534CEA" w:rsidP="00963D35">
      <w:pPr>
        <w:spacing w:after="240"/>
        <w:rPr>
          <w:rFonts w:asciiTheme="minorHAnsi" w:hAnsiTheme="minorHAnsi"/>
          <w:b/>
          <w:i/>
          <w:color w:val="000000" w:themeColor="text1"/>
        </w:rPr>
      </w:pPr>
      <w:r w:rsidRPr="00564A46">
        <w:rPr>
          <w:rFonts w:asciiTheme="minorHAnsi" w:hAnsiTheme="minorHAnsi"/>
          <w:b/>
          <w:i/>
          <w:color w:val="000000" w:themeColor="text1"/>
        </w:rPr>
        <w:t>Acids</w:t>
      </w:r>
    </w:p>
    <w:p w14:paraId="74ABB6E8" w14:textId="3E53EADD" w:rsidR="00534CEA" w:rsidRPr="00564A46" w:rsidRDefault="00A112DC" w:rsidP="00963D35">
      <w:pPr>
        <w:spacing w:after="240"/>
        <w:rPr>
          <w:rFonts w:asciiTheme="minorHAnsi" w:hAnsiTheme="minorHAnsi"/>
          <w:color w:val="000000" w:themeColor="text1"/>
        </w:rPr>
      </w:pPr>
      <w:r w:rsidRPr="00564A46">
        <w:rPr>
          <w:rFonts w:asciiTheme="minorHAnsi" w:hAnsiTheme="minorHAnsi"/>
          <w:color w:val="000000" w:themeColor="text1"/>
        </w:rPr>
        <w:t>Ibuprofen was selected as a non-lipophilic weak acid with low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while </w:t>
      </w:r>
      <w:proofErr w:type="spellStart"/>
      <w:r w:rsidRPr="00564A46">
        <w:rPr>
          <w:rFonts w:asciiTheme="minorHAnsi" w:hAnsiTheme="minorHAnsi"/>
          <w:color w:val="000000" w:themeColor="text1"/>
        </w:rPr>
        <w:t>flufenamic</w:t>
      </w:r>
      <w:proofErr w:type="spellEnd"/>
      <w:r w:rsidRPr="00564A46">
        <w:rPr>
          <w:rFonts w:asciiTheme="minorHAnsi" w:hAnsiTheme="minorHAnsi"/>
          <w:color w:val="000000" w:themeColor="text1"/>
        </w:rPr>
        <w:t xml:space="preserve"> acid was chosen as a relatively lipophilic weak acid, also with a low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xml:space="preserve">. </w:t>
      </w:r>
      <w:r w:rsidR="00534CEA" w:rsidRPr="00564A46">
        <w:rPr>
          <w:rFonts w:asciiTheme="minorHAnsi" w:hAnsiTheme="minorHAnsi"/>
          <w:color w:val="000000" w:themeColor="text1"/>
        </w:rPr>
        <w:t xml:space="preserve">For </w:t>
      </w:r>
      <w:r w:rsidRPr="00564A46">
        <w:rPr>
          <w:rFonts w:asciiTheme="minorHAnsi" w:hAnsiTheme="minorHAnsi"/>
          <w:color w:val="000000" w:themeColor="text1"/>
        </w:rPr>
        <w:t xml:space="preserve">these compounds </w:t>
      </w:r>
      <w:r w:rsidR="00D258D1" w:rsidRPr="00564A46">
        <w:rPr>
          <w:rFonts w:asciiTheme="minorHAnsi" w:hAnsiTheme="minorHAnsi"/>
          <w:color w:val="000000" w:themeColor="text1"/>
        </w:rPr>
        <w:t xml:space="preserve">the </w:t>
      </w:r>
      <w:r w:rsidR="00534CEA" w:rsidRPr="00564A46">
        <w:rPr>
          <w:rFonts w:asciiTheme="minorHAnsi" w:hAnsiTheme="minorHAnsi"/>
          <w:color w:val="000000" w:themeColor="text1"/>
        </w:rPr>
        <w:t xml:space="preserve">dissolution rate increased from the </w:t>
      </w:r>
      <w:r w:rsidRPr="00564A46">
        <w:rPr>
          <w:rFonts w:asciiTheme="minorHAnsi" w:hAnsiTheme="minorHAnsi"/>
          <w:color w:val="000000" w:themeColor="text1"/>
        </w:rPr>
        <w:t xml:space="preserve">calculated </w:t>
      </w:r>
      <w:r w:rsidR="00D258D1" w:rsidRPr="00564A46">
        <w:rPr>
          <w:rFonts w:asciiTheme="minorHAnsi" w:hAnsiTheme="minorHAnsi"/>
          <w:color w:val="000000" w:themeColor="text1"/>
        </w:rPr>
        <w:t>“</w:t>
      </w:r>
      <w:r w:rsidR="00AC464A" w:rsidRPr="00564A46">
        <w:rPr>
          <w:rFonts w:asciiTheme="minorHAnsi" w:hAnsiTheme="minorHAnsi"/>
          <w:color w:val="000000" w:themeColor="text1"/>
        </w:rPr>
        <w:t>equivalent</w:t>
      </w:r>
      <w:r w:rsidR="00D258D1" w:rsidRPr="00564A46">
        <w:rPr>
          <w:rFonts w:asciiTheme="minorHAnsi" w:hAnsiTheme="minorHAnsi"/>
          <w:color w:val="000000" w:themeColor="text1"/>
        </w:rPr>
        <w:t xml:space="preserve">” </w:t>
      </w:r>
      <w:r w:rsidR="00AC464A" w:rsidRPr="00564A46">
        <w:rPr>
          <w:rFonts w:asciiTheme="minorHAnsi" w:hAnsiTheme="minorHAnsi"/>
          <w:color w:val="000000" w:themeColor="text1"/>
        </w:rPr>
        <w:t xml:space="preserve">buffer </w:t>
      </w:r>
      <w:r w:rsidR="00534CEA" w:rsidRPr="00564A46">
        <w:rPr>
          <w:rFonts w:asciiTheme="minorHAnsi" w:hAnsiTheme="minorHAnsi"/>
          <w:color w:val="000000" w:themeColor="text1"/>
        </w:rPr>
        <w:t xml:space="preserve">concentration (3.5 mM and 0.4 mM, respectively) to a </w:t>
      </w:r>
      <w:r w:rsidR="00AC464A" w:rsidRPr="00564A46">
        <w:rPr>
          <w:rFonts w:asciiTheme="minorHAnsi" w:hAnsiTheme="minorHAnsi"/>
          <w:color w:val="000000" w:themeColor="text1"/>
        </w:rPr>
        <w:t xml:space="preserve">buffer </w:t>
      </w:r>
      <w:r w:rsidR="00534CEA" w:rsidRPr="00564A46">
        <w:rPr>
          <w:rFonts w:asciiTheme="minorHAnsi" w:hAnsiTheme="minorHAnsi"/>
          <w:color w:val="000000" w:themeColor="text1"/>
        </w:rPr>
        <w:t xml:space="preserve">concentration of 50 mM, as expected. For </w:t>
      </w:r>
      <w:r w:rsidR="00D258D1" w:rsidRPr="00564A46">
        <w:rPr>
          <w:rFonts w:asciiTheme="minorHAnsi" w:hAnsiTheme="minorHAnsi"/>
          <w:color w:val="000000" w:themeColor="text1"/>
        </w:rPr>
        <w:t>ibuprofen</w:t>
      </w:r>
      <w:r w:rsidR="00534CEA" w:rsidRPr="00564A46">
        <w:rPr>
          <w:rFonts w:asciiTheme="minorHAnsi" w:hAnsiTheme="minorHAnsi"/>
          <w:color w:val="000000" w:themeColor="text1"/>
        </w:rPr>
        <w:t xml:space="preserve">, </w:t>
      </w:r>
      <w:r w:rsidR="00AB1D4E" w:rsidRPr="00564A46">
        <w:rPr>
          <w:rFonts w:asciiTheme="minorHAnsi" w:hAnsiTheme="minorHAnsi"/>
          <w:color w:val="000000" w:themeColor="text1"/>
        </w:rPr>
        <w:t>a 7-fold increase in dissolution rate</w:t>
      </w:r>
      <w:r w:rsidR="00534CEA" w:rsidRPr="00564A46">
        <w:rPr>
          <w:rFonts w:asciiTheme="minorHAnsi" w:hAnsiTheme="minorHAnsi"/>
          <w:color w:val="000000" w:themeColor="text1"/>
        </w:rPr>
        <w:t xml:space="preserve"> was expected </w:t>
      </w:r>
      <w:r w:rsidR="00D258D1" w:rsidRPr="00564A46">
        <w:rPr>
          <w:rFonts w:asciiTheme="minorHAnsi" w:hAnsiTheme="minorHAnsi"/>
          <w:color w:val="000000" w:themeColor="text1"/>
        </w:rPr>
        <w:t xml:space="preserve">at a concentration of </w:t>
      </w:r>
      <w:r w:rsidR="00534CEA" w:rsidRPr="00564A46">
        <w:rPr>
          <w:rFonts w:asciiTheme="minorHAnsi" w:hAnsiTheme="minorHAnsi"/>
          <w:color w:val="000000" w:themeColor="text1"/>
        </w:rPr>
        <w:t xml:space="preserve">50 </w:t>
      </w:r>
      <w:r w:rsidR="00D258D1" w:rsidRPr="00564A46">
        <w:rPr>
          <w:rFonts w:asciiTheme="minorHAnsi" w:hAnsiTheme="minorHAnsi"/>
          <w:color w:val="000000" w:themeColor="text1"/>
        </w:rPr>
        <w:t xml:space="preserve">mM </w:t>
      </w:r>
      <w:r w:rsidR="00534CEA" w:rsidRPr="00564A46">
        <w:rPr>
          <w:rFonts w:asciiTheme="minorHAnsi" w:hAnsiTheme="minorHAnsi"/>
          <w:color w:val="000000" w:themeColor="text1"/>
        </w:rPr>
        <w:t xml:space="preserve">relative to 3.5 mM. </w:t>
      </w:r>
      <w:r w:rsidR="004B342A" w:rsidRPr="00564A46">
        <w:rPr>
          <w:rFonts w:asciiTheme="minorHAnsi" w:hAnsiTheme="minorHAnsi"/>
          <w:color w:val="000000" w:themeColor="text1"/>
        </w:rPr>
        <w:t>Without bile salts/phospholipids (BS/PL) t</w:t>
      </w:r>
      <w:r w:rsidR="00D258D1" w:rsidRPr="00564A46">
        <w:rPr>
          <w:rFonts w:asciiTheme="minorHAnsi" w:hAnsiTheme="minorHAnsi"/>
          <w:color w:val="000000" w:themeColor="text1"/>
        </w:rPr>
        <w:t>he</w:t>
      </w:r>
      <w:r w:rsidR="004B342A" w:rsidRPr="00564A46">
        <w:rPr>
          <w:rFonts w:asciiTheme="minorHAnsi" w:hAnsiTheme="minorHAnsi"/>
          <w:color w:val="000000" w:themeColor="text1"/>
        </w:rPr>
        <w:t xml:space="preserve"> experimental</w:t>
      </w:r>
      <w:r w:rsidR="00D258D1" w:rsidRPr="00564A46">
        <w:rPr>
          <w:rFonts w:asciiTheme="minorHAnsi" w:hAnsiTheme="minorHAnsi"/>
          <w:color w:val="000000" w:themeColor="text1"/>
        </w:rPr>
        <w:t xml:space="preserve"> t</w:t>
      </w:r>
      <w:r w:rsidR="00534CEA" w:rsidRPr="00564A46">
        <w:rPr>
          <w:rFonts w:asciiTheme="minorHAnsi" w:hAnsiTheme="minorHAnsi"/>
          <w:color w:val="000000" w:themeColor="text1"/>
        </w:rPr>
        <w:t xml:space="preserve">ime to reach </w:t>
      </w:r>
      <w:r w:rsidR="00D258D1" w:rsidRPr="00564A46">
        <w:rPr>
          <w:rFonts w:asciiTheme="minorHAnsi" w:hAnsiTheme="minorHAnsi"/>
          <w:color w:val="000000" w:themeColor="text1"/>
        </w:rPr>
        <w:t xml:space="preserve">80% </w:t>
      </w:r>
      <w:r w:rsidR="00534CEA" w:rsidRPr="00564A46">
        <w:rPr>
          <w:rFonts w:asciiTheme="minorHAnsi" w:hAnsiTheme="minorHAnsi"/>
          <w:color w:val="000000" w:themeColor="text1"/>
        </w:rPr>
        <w:t xml:space="preserve">dissolved was </w:t>
      </w:r>
      <w:r w:rsidR="004B342A" w:rsidRPr="00564A46">
        <w:rPr>
          <w:rFonts w:asciiTheme="minorHAnsi" w:hAnsiTheme="minorHAnsi"/>
          <w:color w:val="000000" w:themeColor="text1"/>
        </w:rPr>
        <w:t>7.4- fold higher in</w:t>
      </w:r>
      <w:r w:rsidR="00D258D1" w:rsidRPr="00564A46">
        <w:rPr>
          <w:rFonts w:asciiTheme="minorHAnsi" w:hAnsiTheme="minorHAnsi"/>
          <w:color w:val="000000" w:themeColor="text1"/>
        </w:rPr>
        <w:t xml:space="preserve"> 50 </w:t>
      </w:r>
      <w:r w:rsidR="00534CEA" w:rsidRPr="00564A46">
        <w:rPr>
          <w:rFonts w:asciiTheme="minorHAnsi" w:hAnsiTheme="minorHAnsi"/>
          <w:color w:val="000000" w:themeColor="text1"/>
        </w:rPr>
        <w:t xml:space="preserve">mM </w:t>
      </w:r>
      <w:r w:rsidR="004B342A" w:rsidRPr="00564A46">
        <w:rPr>
          <w:rFonts w:asciiTheme="minorHAnsi" w:hAnsiTheme="minorHAnsi"/>
          <w:color w:val="000000" w:themeColor="text1"/>
        </w:rPr>
        <w:t xml:space="preserve">compared </w:t>
      </w:r>
      <w:r w:rsidR="00D258D1" w:rsidRPr="00564A46">
        <w:rPr>
          <w:rFonts w:asciiTheme="minorHAnsi" w:hAnsiTheme="minorHAnsi"/>
          <w:color w:val="000000" w:themeColor="text1"/>
        </w:rPr>
        <w:t>t</w:t>
      </w:r>
      <w:r w:rsidR="004B342A" w:rsidRPr="00564A46">
        <w:rPr>
          <w:rFonts w:asciiTheme="minorHAnsi" w:hAnsiTheme="minorHAnsi"/>
          <w:color w:val="000000" w:themeColor="text1"/>
        </w:rPr>
        <w:t>o</w:t>
      </w:r>
      <w:r w:rsidR="00637621" w:rsidRPr="00564A46">
        <w:rPr>
          <w:rFonts w:asciiTheme="minorHAnsi" w:hAnsiTheme="minorHAnsi"/>
          <w:color w:val="000000" w:themeColor="text1"/>
        </w:rPr>
        <w:t xml:space="preserve"> </w:t>
      </w:r>
      <w:r w:rsidR="00534CEA" w:rsidRPr="00564A46">
        <w:rPr>
          <w:rFonts w:asciiTheme="minorHAnsi" w:hAnsiTheme="minorHAnsi"/>
          <w:color w:val="000000" w:themeColor="text1"/>
        </w:rPr>
        <w:t>3.5 mM</w:t>
      </w:r>
      <w:r w:rsidR="00637621" w:rsidRPr="00564A46">
        <w:rPr>
          <w:rFonts w:asciiTheme="minorHAnsi" w:hAnsiTheme="minorHAnsi"/>
          <w:color w:val="000000" w:themeColor="text1"/>
        </w:rPr>
        <w:t xml:space="preserve"> buffer. This difference was 8.1-fold in the presence of BS/PL</w:t>
      </w:r>
      <w:r w:rsidR="00534CEA" w:rsidRPr="00564A46">
        <w:rPr>
          <w:rFonts w:asciiTheme="minorHAnsi" w:hAnsiTheme="minorHAnsi"/>
          <w:color w:val="000000" w:themeColor="text1"/>
        </w:rPr>
        <w:t>.</w:t>
      </w:r>
      <w:r w:rsidR="00637621" w:rsidRPr="00564A46">
        <w:rPr>
          <w:rFonts w:asciiTheme="minorHAnsi" w:hAnsiTheme="minorHAnsi"/>
          <w:color w:val="000000" w:themeColor="text1"/>
        </w:rPr>
        <w:t xml:space="preserve"> </w:t>
      </w:r>
      <w:r w:rsidR="00534CEA" w:rsidRPr="00564A46">
        <w:rPr>
          <w:rFonts w:asciiTheme="minorHAnsi" w:hAnsiTheme="minorHAnsi"/>
          <w:color w:val="000000" w:themeColor="text1"/>
        </w:rPr>
        <w:t xml:space="preserve">For </w:t>
      </w:r>
      <w:proofErr w:type="spellStart"/>
      <w:r w:rsidR="00D258D1" w:rsidRPr="00564A46">
        <w:rPr>
          <w:rFonts w:asciiTheme="minorHAnsi" w:hAnsiTheme="minorHAnsi"/>
          <w:color w:val="000000" w:themeColor="text1"/>
        </w:rPr>
        <w:t>flufenamic</w:t>
      </w:r>
      <w:proofErr w:type="spellEnd"/>
      <w:r w:rsidR="00D258D1" w:rsidRPr="00564A46">
        <w:rPr>
          <w:rFonts w:asciiTheme="minorHAnsi" w:hAnsiTheme="minorHAnsi"/>
          <w:color w:val="000000" w:themeColor="text1"/>
        </w:rPr>
        <w:t xml:space="preserve"> </w:t>
      </w:r>
      <w:r w:rsidR="00534CEA" w:rsidRPr="00564A46">
        <w:rPr>
          <w:rFonts w:asciiTheme="minorHAnsi" w:hAnsiTheme="minorHAnsi"/>
          <w:color w:val="000000" w:themeColor="text1"/>
        </w:rPr>
        <w:t>acid, a 2</w:t>
      </w:r>
      <w:r w:rsidR="0096545E" w:rsidRPr="00564A46">
        <w:rPr>
          <w:rFonts w:asciiTheme="minorHAnsi" w:hAnsiTheme="minorHAnsi"/>
          <w:color w:val="000000" w:themeColor="text1"/>
        </w:rPr>
        <w:t xml:space="preserve"> – 3</w:t>
      </w:r>
      <w:r w:rsidR="00637621" w:rsidRPr="00564A46">
        <w:rPr>
          <w:rFonts w:asciiTheme="minorHAnsi" w:hAnsiTheme="minorHAnsi"/>
          <w:color w:val="000000" w:themeColor="text1"/>
        </w:rPr>
        <w:t>-fold difference</w:t>
      </w:r>
      <w:r w:rsidR="00534CEA" w:rsidRPr="00564A46">
        <w:rPr>
          <w:rFonts w:asciiTheme="minorHAnsi" w:hAnsiTheme="minorHAnsi"/>
          <w:color w:val="000000" w:themeColor="text1"/>
        </w:rPr>
        <w:t xml:space="preserve"> was expected</w:t>
      </w:r>
      <w:r w:rsidR="00637621" w:rsidRPr="00564A46">
        <w:rPr>
          <w:rFonts w:asciiTheme="minorHAnsi" w:hAnsiTheme="minorHAnsi"/>
          <w:color w:val="000000" w:themeColor="text1"/>
        </w:rPr>
        <w:t xml:space="preserve"> between a 50 mM and 0.4 mM buffer. A</w:t>
      </w:r>
      <w:r w:rsidR="00534CEA" w:rsidRPr="00564A46">
        <w:rPr>
          <w:rFonts w:asciiTheme="minorHAnsi" w:hAnsiTheme="minorHAnsi"/>
          <w:color w:val="000000" w:themeColor="text1"/>
        </w:rPr>
        <w:t xml:space="preserve"> </w:t>
      </w:r>
      <w:r w:rsidR="00637621" w:rsidRPr="00564A46">
        <w:rPr>
          <w:rFonts w:asciiTheme="minorHAnsi" w:hAnsiTheme="minorHAnsi"/>
          <w:color w:val="000000" w:themeColor="text1"/>
        </w:rPr>
        <w:t>2.7-fold difference</w:t>
      </w:r>
      <w:r w:rsidR="00534CEA" w:rsidRPr="00564A46">
        <w:rPr>
          <w:rFonts w:asciiTheme="minorHAnsi" w:hAnsiTheme="minorHAnsi"/>
          <w:color w:val="000000" w:themeColor="text1"/>
        </w:rPr>
        <w:t xml:space="preserve"> was observed</w:t>
      </w:r>
      <w:r w:rsidR="00637621" w:rsidRPr="00564A46">
        <w:rPr>
          <w:rFonts w:asciiTheme="minorHAnsi" w:hAnsiTheme="minorHAnsi"/>
          <w:color w:val="000000" w:themeColor="text1"/>
        </w:rPr>
        <w:t xml:space="preserve"> with BS/PL and a 2.9-fold difference was observed without BS/PL. </w:t>
      </w:r>
      <w:r w:rsidR="00534CEA" w:rsidRPr="00564A46">
        <w:rPr>
          <w:rFonts w:asciiTheme="minorHAnsi" w:hAnsiTheme="minorHAnsi"/>
          <w:color w:val="000000" w:themeColor="text1"/>
        </w:rPr>
        <w:t xml:space="preserve">With a calculated </w:t>
      </w:r>
      <w:r w:rsidRPr="00564A46">
        <w:rPr>
          <w:rFonts w:asciiTheme="minorHAnsi" w:hAnsiTheme="minorHAnsi"/>
          <w:color w:val="000000" w:themeColor="text1"/>
        </w:rPr>
        <w:t xml:space="preserve">log </w:t>
      </w:r>
      <w:r w:rsidR="00534CEA" w:rsidRPr="00564A46">
        <w:rPr>
          <w:rFonts w:asciiTheme="minorHAnsi" w:hAnsiTheme="minorHAnsi"/>
          <w:color w:val="000000" w:themeColor="text1"/>
        </w:rPr>
        <w:t>D</w:t>
      </w:r>
      <w:r w:rsidR="00534CEA" w:rsidRPr="00564A46">
        <w:rPr>
          <w:rFonts w:asciiTheme="minorHAnsi" w:hAnsiTheme="minorHAnsi"/>
          <w:color w:val="000000" w:themeColor="text1"/>
          <w:vertAlign w:val="subscript"/>
        </w:rPr>
        <w:t>6.5</w:t>
      </w:r>
      <w:r w:rsidR="00534CEA" w:rsidRPr="00564A46">
        <w:rPr>
          <w:rFonts w:asciiTheme="minorHAnsi" w:hAnsiTheme="minorHAnsi"/>
          <w:color w:val="000000" w:themeColor="text1"/>
        </w:rPr>
        <w:t xml:space="preserve"> of 1.7, </w:t>
      </w:r>
      <w:r w:rsidR="00D258D1" w:rsidRPr="00564A46">
        <w:rPr>
          <w:rFonts w:asciiTheme="minorHAnsi" w:hAnsiTheme="minorHAnsi"/>
          <w:color w:val="000000" w:themeColor="text1"/>
        </w:rPr>
        <w:t xml:space="preserve">ibuprofen </w:t>
      </w:r>
      <w:r w:rsidR="00534CEA" w:rsidRPr="00564A46">
        <w:rPr>
          <w:rFonts w:asciiTheme="minorHAnsi" w:hAnsiTheme="minorHAnsi"/>
          <w:color w:val="000000" w:themeColor="text1"/>
        </w:rPr>
        <w:t xml:space="preserve">showed </w:t>
      </w:r>
      <w:r w:rsidR="00374905" w:rsidRPr="00564A46">
        <w:rPr>
          <w:rFonts w:asciiTheme="minorHAnsi" w:hAnsiTheme="minorHAnsi"/>
          <w:color w:val="000000" w:themeColor="text1"/>
        </w:rPr>
        <w:t xml:space="preserve">a 1.1-fold difference in 50 mM buffer and no difference in 3.5 mM buffer. </w:t>
      </w:r>
      <w:proofErr w:type="spellStart"/>
      <w:r w:rsidR="00534CEA" w:rsidRPr="00564A46">
        <w:rPr>
          <w:rFonts w:asciiTheme="minorHAnsi" w:hAnsiTheme="minorHAnsi"/>
          <w:color w:val="000000" w:themeColor="text1"/>
        </w:rPr>
        <w:t>Flufenamic</w:t>
      </w:r>
      <w:proofErr w:type="spellEnd"/>
      <w:r w:rsidR="00534CEA" w:rsidRPr="00564A46">
        <w:rPr>
          <w:rFonts w:asciiTheme="minorHAnsi" w:hAnsiTheme="minorHAnsi"/>
          <w:color w:val="000000" w:themeColor="text1"/>
        </w:rPr>
        <w:t xml:space="preserve"> acid showed a</w:t>
      </w:r>
      <w:r w:rsidR="00637621" w:rsidRPr="00564A46">
        <w:rPr>
          <w:rFonts w:asciiTheme="minorHAnsi" w:hAnsiTheme="minorHAnsi"/>
          <w:color w:val="000000" w:themeColor="text1"/>
        </w:rPr>
        <w:t xml:space="preserve"> 1.3-fold</w:t>
      </w:r>
      <w:r w:rsidR="00534CEA" w:rsidRPr="00564A46">
        <w:rPr>
          <w:rFonts w:asciiTheme="minorHAnsi" w:hAnsiTheme="minorHAnsi"/>
          <w:color w:val="000000" w:themeColor="text1"/>
        </w:rPr>
        <w:t xml:space="preserve"> difference at a concentration of 50 mM, and a </w:t>
      </w:r>
      <w:r w:rsidR="00637621" w:rsidRPr="00564A46">
        <w:rPr>
          <w:rFonts w:asciiTheme="minorHAnsi" w:hAnsiTheme="minorHAnsi"/>
          <w:color w:val="000000" w:themeColor="text1"/>
        </w:rPr>
        <w:t xml:space="preserve">1.1-fold </w:t>
      </w:r>
      <w:r w:rsidR="00534CEA" w:rsidRPr="00564A46">
        <w:rPr>
          <w:rFonts w:asciiTheme="minorHAnsi" w:hAnsiTheme="minorHAnsi"/>
          <w:color w:val="000000" w:themeColor="text1"/>
        </w:rPr>
        <w:t>difference at a concentration of 0.4 mM</w:t>
      </w:r>
      <w:r w:rsidR="00637621" w:rsidRPr="00564A46">
        <w:rPr>
          <w:rFonts w:asciiTheme="minorHAnsi" w:hAnsiTheme="minorHAnsi"/>
          <w:color w:val="000000" w:themeColor="text1"/>
        </w:rPr>
        <w:t>.</w:t>
      </w:r>
      <w:r w:rsidR="00534CEA" w:rsidRPr="00564A46">
        <w:rPr>
          <w:rFonts w:asciiTheme="minorHAnsi" w:hAnsiTheme="minorHAnsi"/>
          <w:color w:val="000000" w:themeColor="text1"/>
        </w:rPr>
        <w:t xml:space="preserve"> </w:t>
      </w:r>
      <w:r w:rsidRPr="00564A46">
        <w:rPr>
          <w:rFonts w:asciiTheme="minorHAnsi" w:hAnsiTheme="minorHAnsi"/>
          <w:color w:val="000000" w:themeColor="text1"/>
        </w:rPr>
        <w:t>With a calculated l</w:t>
      </w:r>
      <w:r w:rsidR="00300F65" w:rsidRPr="00564A46">
        <w:rPr>
          <w:rFonts w:asciiTheme="minorHAnsi" w:hAnsiTheme="minorHAnsi"/>
          <w:color w:val="000000" w:themeColor="text1"/>
        </w:rPr>
        <w:t>og D</w:t>
      </w:r>
      <w:r w:rsidR="00300F65" w:rsidRPr="00564A46">
        <w:rPr>
          <w:rFonts w:asciiTheme="minorHAnsi" w:hAnsiTheme="minorHAnsi"/>
          <w:color w:val="000000" w:themeColor="text1"/>
          <w:vertAlign w:val="subscript"/>
        </w:rPr>
        <w:t>6</w:t>
      </w:r>
      <w:r w:rsidR="00534CEA" w:rsidRPr="00564A46">
        <w:rPr>
          <w:rFonts w:asciiTheme="minorHAnsi" w:hAnsiTheme="minorHAnsi"/>
          <w:color w:val="000000" w:themeColor="text1"/>
          <w:vertAlign w:val="subscript"/>
        </w:rPr>
        <w:t>.5</w:t>
      </w:r>
      <w:r w:rsidR="00534CEA" w:rsidRPr="00564A46">
        <w:rPr>
          <w:rFonts w:asciiTheme="minorHAnsi" w:hAnsiTheme="minorHAnsi"/>
          <w:color w:val="000000" w:themeColor="text1"/>
        </w:rPr>
        <w:t xml:space="preserve"> of 3.7, the measured solubility ratio in FaSSIF/blank buffer </w:t>
      </w:r>
      <w:r w:rsidR="00AC464A" w:rsidRPr="00564A46">
        <w:rPr>
          <w:rFonts w:asciiTheme="minorHAnsi" w:hAnsiTheme="minorHAnsi"/>
          <w:color w:val="000000" w:themeColor="text1"/>
        </w:rPr>
        <w:t xml:space="preserve">was </w:t>
      </w:r>
      <w:r w:rsidR="00534CEA" w:rsidRPr="00564A46">
        <w:rPr>
          <w:rFonts w:asciiTheme="minorHAnsi" w:hAnsiTheme="minorHAnsi"/>
          <w:color w:val="000000" w:themeColor="text1"/>
        </w:rPr>
        <w:t>1.9</w:t>
      </w:r>
      <w:r w:rsidR="00D258D1" w:rsidRPr="00564A46">
        <w:rPr>
          <w:rFonts w:asciiTheme="minorHAnsi" w:hAnsiTheme="minorHAnsi"/>
          <w:color w:val="000000" w:themeColor="text1"/>
        </w:rPr>
        <w:t>,</w:t>
      </w:r>
      <w:r w:rsidR="00534CEA" w:rsidRPr="00564A46">
        <w:rPr>
          <w:rFonts w:asciiTheme="minorHAnsi" w:hAnsiTheme="minorHAnsi"/>
          <w:color w:val="000000" w:themeColor="text1"/>
        </w:rPr>
        <w:t xml:space="preserve"> which </w:t>
      </w:r>
      <w:r w:rsidR="00AC464A" w:rsidRPr="00564A46">
        <w:rPr>
          <w:rFonts w:asciiTheme="minorHAnsi" w:hAnsiTheme="minorHAnsi"/>
          <w:color w:val="000000" w:themeColor="text1"/>
        </w:rPr>
        <w:t xml:space="preserve">resulted </w:t>
      </w:r>
      <w:r w:rsidR="00534CEA" w:rsidRPr="00564A46">
        <w:rPr>
          <w:rFonts w:asciiTheme="minorHAnsi" w:hAnsiTheme="minorHAnsi"/>
          <w:color w:val="000000" w:themeColor="text1"/>
        </w:rPr>
        <w:t>in a calc</w:t>
      </w:r>
      <w:r w:rsidR="00B501AF" w:rsidRPr="00564A46">
        <w:rPr>
          <w:rFonts w:asciiTheme="minorHAnsi" w:hAnsiTheme="minorHAnsi"/>
          <w:color w:val="000000" w:themeColor="text1"/>
        </w:rPr>
        <w:t>ulated dissolution</w:t>
      </w:r>
      <w:r w:rsidR="00B077B6" w:rsidRPr="00564A46">
        <w:rPr>
          <w:rFonts w:asciiTheme="minorHAnsi" w:hAnsiTheme="minorHAnsi"/>
          <w:color w:val="000000" w:themeColor="text1"/>
        </w:rPr>
        <w:t xml:space="preserve"> rate</w:t>
      </w:r>
      <w:r w:rsidR="00B501AF" w:rsidRPr="00564A46">
        <w:rPr>
          <w:rFonts w:asciiTheme="minorHAnsi" w:hAnsiTheme="minorHAnsi"/>
          <w:color w:val="000000" w:themeColor="text1"/>
        </w:rPr>
        <w:t xml:space="preserve"> ratio of 1.0 </w:t>
      </w:r>
      <w:r w:rsidR="00B501AF"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&lt;EndNote&gt;&lt;Cite&gt;&lt;Author&gt;Fagerberg&lt;/Author&gt;&lt;Year&gt;2015&lt;/Year&gt;&lt;RecNum&gt;111&lt;/RecNum&gt;&lt;DisplayText&gt;(10)&lt;/DisplayText&gt;&lt;record&gt;&lt;rec-number&gt;111&lt;/rec-number&gt;&lt;foreign-keys&gt;&lt;key app="EN" db-id="vapsarvf3x9d5serzs6vt59osvzvsr55efxx" timestamp="1560648040"&gt;111&lt;/key&gt;&lt;/foreign-keys&gt;&lt;ref-type name="Journal Article"&gt;17&lt;/ref-type&gt;&lt;contributors&gt;&lt;authors&gt;&lt;author&gt;Fagerberg, Jonas H.&lt;/author&gt;&lt;author&gt;Bergstrom, Christel A. S.&lt;/author&gt;&lt;/authors&gt;&lt;/contributors&gt;&lt;titles&gt;&lt;title&gt;Intestinal solubility and absorption of poorly water soluble compounds: predictions, challenges and solutions&lt;/title&gt;&lt;secondary-title&gt;Therapeutic delivery&lt;/secondary-title&gt;&lt;/titles&gt;&lt;periodical&gt;&lt;full-title&gt;Therapeutic delivery&lt;/full-title&gt;&lt;/periodical&gt;&lt;pages&gt;935-59&lt;/pages&gt;&lt;volume&gt;6&lt;/volume&gt;&lt;number&gt;8&lt;/number&gt;&lt;dates&gt;&lt;year&gt;2015&lt;/year&gt;&lt;pub-dates&gt;&lt;date&gt;2015&lt;/date&gt;&lt;/pub-dates&gt;&lt;/dates&gt;&lt;accession-num&gt;MEDLINE:26316058&lt;/accession-num&gt;&lt;urls&gt;&lt;related-urls&gt;&lt;url&gt;&amp;lt;Go to ISI&amp;gt;://MEDLINE:26316058&lt;/url&gt;&lt;/related-urls&gt;&lt;/urls&gt;&lt;electronic-resource-num&gt;10.4155/tde.15.45&lt;/electronic-resource-num&gt;&lt;/record&gt;&lt;/Cite&gt;&lt;/EndNote&gt;</w:instrText>
      </w:r>
      <w:r w:rsidR="00B501AF"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(10)</w:t>
      </w:r>
      <w:r w:rsidR="00B501AF" w:rsidRPr="00564A46">
        <w:rPr>
          <w:rFonts w:asciiTheme="minorHAnsi" w:hAnsiTheme="minorHAnsi"/>
          <w:color w:val="000000" w:themeColor="text1"/>
        </w:rPr>
        <w:fldChar w:fldCharType="end"/>
      </w:r>
      <w:r w:rsidR="00B501AF" w:rsidRPr="00564A46">
        <w:rPr>
          <w:rFonts w:asciiTheme="minorHAnsi" w:hAnsiTheme="minorHAnsi"/>
          <w:color w:val="000000" w:themeColor="text1"/>
        </w:rPr>
        <w:t>.</w:t>
      </w:r>
    </w:p>
    <w:p w14:paraId="285D4F7F" w14:textId="77777777" w:rsidR="002820E8" w:rsidRPr="00564A46" w:rsidRDefault="00534CEA" w:rsidP="00963D35">
      <w:pPr>
        <w:spacing w:after="240"/>
        <w:rPr>
          <w:rFonts w:asciiTheme="minorHAnsi" w:hAnsiTheme="minorHAnsi"/>
          <w:b/>
          <w:i/>
          <w:color w:val="000000" w:themeColor="text1"/>
        </w:rPr>
      </w:pPr>
      <w:r w:rsidRPr="00564A46">
        <w:rPr>
          <w:rFonts w:asciiTheme="minorHAnsi" w:hAnsiTheme="minorHAnsi"/>
          <w:b/>
          <w:i/>
          <w:color w:val="000000" w:themeColor="text1"/>
        </w:rPr>
        <w:t>Bases</w:t>
      </w:r>
    </w:p>
    <w:p w14:paraId="42C4AF62" w14:textId="76543756" w:rsidR="00534CEA" w:rsidRPr="00564A46" w:rsidRDefault="003965E5" w:rsidP="00F56802">
      <w:pPr>
        <w:spacing w:after="240"/>
        <w:rPr>
          <w:rFonts w:asciiTheme="minorHAnsi" w:hAnsiTheme="minorHAnsi"/>
          <w:b/>
          <w:i/>
          <w:color w:val="000000" w:themeColor="text1"/>
        </w:rPr>
      </w:pPr>
      <w:r w:rsidRPr="00564A46">
        <w:rPr>
          <w:rFonts w:asciiTheme="minorHAnsi" w:hAnsiTheme="minorHAnsi"/>
          <w:color w:val="000000" w:themeColor="text1"/>
        </w:rPr>
        <w:t xml:space="preserve">Dipyridamole and ketoconazole were chosen as a </w:t>
      </w:r>
      <w:proofErr w:type="gramStart"/>
      <w:r w:rsidRPr="00564A46">
        <w:rPr>
          <w:rFonts w:asciiTheme="minorHAnsi" w:hAnsiTheme="minorHAnsi"/>
          <w:color w:val="000000" w:themeColor="text1"/>
        </w:rPr>
        <w:t>relatively lipophilic weak bases</w:t>
      </w:r>
      <w:proofErr w:type="gramEnd"/>
      <w:r w:rsidRPr="00564A46">
        <w:rPr>
          <w:rFonts w:asciiTheme="minorHAnsi" w:hAnsiTheme="minorHAnsi"/>
          <w:color w:val="000000" w:themeColor="text1"/>
        </w:rPr>
        <w:t xml:space="preserve"> with relatively low </w:t>
      </w:r>
      <w:proofErr w:type="spellStart"/>
      <w:r w:rsidRPr="00564A46">
        <w:rPr>
          <w:rFonts w:asciiTheme="minorHAnsi" w:hAnsiTheme="minorHAnsi"/>
          <w:color w:val="000000" w:themeColor="text1"/>
        </w:rPr>
        <w:t>pK</w:t>
      </w:r>
      <w:r w:rsidRPr="00564A46">
        <w:rPr>
          <w:rFonts w:asciiTheme="minorHAnsi" w:hAnsiTheme="minorHAnsi"/>
          <w:color w:val="000000" w:themeColor="text1"/>
          <w:vertAlign w:val="subscript"/>
        </w:rPr>
        <w:t>a</w:t>
      </w:r>
      <w:r w:rsidRPr="00564A46">
        <w:rPr>
          <w:rFonts w:asciiTheme="minorHAnsi" w:hAnsiTheme="minorHAnsi"/>
          <w:color w:val="000000" w:themeColor="text1"/>
        </w:rPr>
        <w:t>s</w:t>
      </w:r>
      <w:proofErr w:type="spellEnd"/>
      <w:r w:rsidRPr="00564A46">
        <w:rPr>
          <w:rFonts w:asciiTheme="minorHAnsi" w:hAnsiTheme="minorHAnsi"/>
          <w:color w:val="000000" w:themeColor="text1"/>
        </w:rPr>
        <w:t xml:space="preserve">. </w:t>
      </w:r>
      <w:r w:rsidR="00534CEA" w:rsidRPr="00564A46">
        <w:rPr>
          <w:rFonts w:asciiTheme="minorHAnsi" w:hAnsiTheme="minorHAnsi"/>
          <w:color w:val="000000" w:themeColor="text1"/>
        </w:rPr>
        <w:t xml:space="preserve">As expected, no difference in dissolution rate was observed for </w:t>
      </w:r>
      <w:r w:rsidR="00300F65" w:rsidRPr="00564A46">
        <w:rPr>
          <w:rFonts w:asciiTheme="minorHAnsi" w:hAnsiTheme="minorHAnsi"/>
          <w:color w:val="000000" w:themeColor="text1"/>
        </w:rPr>
        <w:t xml:space="preserve">dipyridamole </w:t>
      </w:r>
      <w:r w:rsidR="00534CEA" w:rsidRPr="00564A46">
        <w:rPr>
          <w:rFonts w:asciiTheme="minorHAnsi" w:hAnsiTheme="minorHAnsi"/>
          <w:color w:val="000000" w:themeColor="text1"/>
        </w:rPr>
        <w:t xml:space="preserve">in </w:t>
      </w:r>
      <w:r w:rsidR="008B35B0" w:rsidRPr="00564A46">
        <w:rPr>
          <w:rFonts w:asciiTheme="minorHAnsi" w:hAnsiTheme="minorHAnsi"/>
          <w:color w:val="000000" w:themeColor="text1"/>
        </w:rPr>
        <w:t>equivalent</w:t>
      </w:r>
      <w:r w:rsidR="00534CEA" w:rsidRPr="00564A46">
        <w:rPr>
          <w:rFonts w:asciiTheme="minorHAnsi" w:hAnsiTheme="minorHAnsi"/>
          <w:color w:val="000000" w:themeColor="text1"/>
        </w:rPr>
        <w:t xml:space="preserve"> (0.</w:t>
      </w:r>
      <w:r w:rsidR="00300F65" w:rsidRPr="00564A46">
        <w:rPr>
          <w:rFonts w:asciiTheme="minorHAnsi" w:hAnsiTheme="minorHAnsi"/>
          <w:color w:val="000000" w:themeColor="text1"/>
        </w:rPr>
        <w:t>2-</w:t>
      </w:r>
      <w:r w:rsidR="00534CEA" w:rsidRPr="00564A46">
        <w:rPr>
          <w:rFonts w:asciiTheme="minorHAnsi" w:hAnsiTheme="minorHAnsi"/>
          <w:color w:val="000000" w:themeColor="text1"/>
        </w:rPr>
        <w:t xml:space="preserve">mM) </w:t>
      </w:r>
      <w:r w:rsidR="00300F65" w:rsidRPr="00564A46">
        <w:rPr>
          <w:rFonts w:asciiTheme="minorHAnsi" w:hAnsiTheme="minorHAnsi"/>
          <w:color w:val="000000" w:themeColor="text1"/>
        </w:rPr>
        <w:t xml:space="preserve">buffer </w:t>
      </w:r>
      <w:r w:rsidR="00534CEA" w:rsidRPr="00564A46">
        <w:rPr>
          <w:rFonts w:asciiTheme="minorHAnsi" w:hAnsiTheme="minorHAnsi"/>
          <w:color w:val="000000" w:themeColor="text1"/>
        </w:rPr>
        <w:t xml:space="preserve">versus </w:t>
      </w:r>
      <w:r w:rsidR="00300F65" w:rsidRPr="00564A46">
        <w:rPr>
          <w:rFonts w:asciiTheme="minorHAnsi" w:hAnsiTheme="minorHAnsi"/>
          <w:color w:val="000000" w:themeColor="text1"/>
        </w:rPr>
        <w:t>50-</w:t>
      </w:r>
      <w:r w:rsidR="00534CEA" w:rsidRPr="00564A46">
        <w:rPr>
          <w:rFonts w:asciiTheme="minorHAnsi" w:hAnsiTheme="minorHAnsi"/>
          <w:color w:val="000000" w:themeColor="text1"/>
        </w:rPr>
        <w:t xml:space="preserve">mM </w:t>
      </w:r>
      <w:r w:rsidR="00300F65" w:rsidRPr="00564A46">
        <w:rPr>
          <w:rFonts w:asciiTheme="minorHAnsi" w:hAnsiTheme="minorHAnsi"/>
          <w:color w:val="000000" w:themeColor="text1"/>
        </w:rPr>
        <w:t>buffer</w:t>
      </w:r>
      <w:r w:rsidR="00534CEA" w:rsidRPr="00564A46">
        <w:rPr>
          <w:rFonts w:asciiTheme="minorHAnsi" w:hAnsiTheme="minorHAnsi"/>
          <w:color w:val="000000" w:themeColor="text1"/>
        </w:rPr>
        <w:t xml:space="preserve">. A very slight increase in dissolution rate was observed with addition of </w:t>
      </w:r>
      <w:r w:rsidR="00300F65" w:rsidRPr="00564A46">
        <w:rPr>
          <w:rFonts w:asciiTheme="minorHAnsi" w:hAnsiTheme="minorHAnsi"/>
          <w:color w:val="000000" w:themeColor="text1"/>
        </w:rPr>
        <w:t xml:space="preserve">bile salts and </w:t>
      </w:r>
      <w:r w:rsidR="00474728" w:rsidRPr="00564A46">
        <w:rPr>
          <w:rFonts w:asciiTheme="minorHAnsi" w:hAnsiTheme="minorHAnsi"/>
          <w:color w:val="000000" w:themeColor="text1"/>
        </w:rPr>
        <w:t>phospholipids</w:t>
      </w:r>
      <w:r w:rsidR="00534CEA" w:rsidRPr="00564A46">
        <w:rPr>
          <w:rFonts w:asciiTheme="minorHAnsi" w:hAnsiTheme="minorHAnsi"/>
          <w:color w:val="000000" w:themeColor="text1"/>
        </w:rPr>
        <w:t xml:space="preserve"> (factor of 1.4 in both 0.</w:t>
      </w:r>
      <w:r w:rsidR="00300F65" w:rsidRPr="00564A46">
        <w:rPr>
          <w:rFonts w:asciiTheme="minorHAnsi" w:hAnsiTheme="minorHAnsi"/>
          <w:color w:val="000000" w:themeColor="text1"/>
        </w:rPr>
        <w:t>2-</w:t>
      </w:r>
      <w:r w:rsidR="00534CEA" w:rsidRPr="00564A46">
        <w:rPr>
          <w:rFonts w:asciiTheme="minorHAnsi" w:hAnsiTheme="minorHAnsi"/>
          <w:color w:val="000000" w:themeColor="text1"/>
        </w:rPr>
        <w:t xml:space="preserve">mM and </w:t>
      </w:r>
      <w:r w:rsidR="00300F65" w:rsidRPr="00564A46">
        <w:rPr>
          <w:rFonts w:asciiTheme="minorHAnsi" w:hAnsiTheme="minorHAnsi"/>
          <w:color w:val="000000" w:themeColor="text1"/>
        </w:rPr>
        <w:t>50-</w:t>
      </w:r>
      <w:r w:rsidR="00534CEA" w:rsidRPr="00564A46">
        <w:rPr>
          <w:rFonts w:asciiTheme="minorHAnsi" w:hAnsiTheme="minorHAnsi"/>
          <w:color w:val="000000" w:themeColor="text1"/>
        </w:rPr>
        <w:t xml:space="preserve">mM media). Dipyridamole has a measured solubility ratio in FaSSIF/blank buffer in the range of 1.8 </w:t>
      </w:r>
      <w:r w:rsidR="00300F65" w:rsidRPr="00564A46">
        <w:rPr>
          <w:rFonts w:asciiTheme="minorHAnsi" w:hAnsiTheme="minorHAnsi"/>
          <w:color w:val="000000" w:themeColor="text1"/>
        </w:rPr>
        <w:t xml:space="preserve">to </w:t>
      </w:r>
      <w:r w:rsidR="00534CEA" w:rsidRPr="00564A46">
        <w:rPr>
          <w:rFonts w:asciiTheme="minorHAnsi" w:hAnsiTheme="minorHAnsi"/>
          <w:color w:val="000000" w:themeColor="text1"/>
        </w:rPr>
        <w:t>3.5</w:t>
      </w:r>
      <w:r w:rsidR="00B501AF" w:rsidRPr="00564A46">
        <w:rPr>
          <w:rFonts w:asciiTheme="minorHAnsi" w:hAnsiTheme="minorHAnsi"/>
          <w:color w:val="000000" w:themeColor="text1"/>
        </w:rPr>
        <w:t xml:space="preserve">, which results in a calculated </w:t>
      </w:r>
      <w:r w:rsidR="00B501AF" w:rsidRPr="00564A46">
        <w:rPr>
          <w:rFonts w:asciiTheme="minorHAnsi" w:hAnsiTheme="minorHAnsi"/>
          <w:color w:val="000000" w:themeColor="text1"/>
        </w:rPr>
        <w:lastRenderedPageBreak/>
        <w:t xml:space="preserve">dissolution rate ratio of 1.0 </w:t>
      </w:r>
      <w:r w:rsidR="00B501AF"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&lt;EndNote&gt;&lt;Cite&gt;&lt;Author&gt;Fagerberg&lt;/Author&gt;&lt;Year&gt;2015&lt;/Year&gt;&lt;RecNum&gt;111&lt;/RecNum&gt;&lt;DisplayText&gt;(10)&lt;/DisplayText&gt;&lt;record&gt;&lt;rec-number&gt;111&lt;/rec-number&gt;&lt;foreign-keys&gt;&lt;key app="EN" db-id="vapsarvf3x9d5serzs6vt59osvzvsr55efxx" timestamp="1560648040"&gt;111&lt;/key&gt;&lt;/foreign-keys&gt;&lt;ref-type name="Journal Article"&gt;17&lt;/ref-type&gt;&lt;contributors&gt;&lt;authors&gt;&lt;author&gt;Fagerberg, Jonas H.&lt;/author&gt;&lt;author&gt;Bergstrom, Christel A. S.&lt;/author&gt;&lt;/authors&gt;&lt;/contributors&gt;&lt;titles&gt;&lt;title&gt;Intestinal solubility and absorption of poorly water soluble compounds: predictions, challenges and solutions&lt;/title&gt;&lt;secondary-title&gt;Therapeutic delivery&lt;/secondary-title&gt;&lt;/titles&gt;&lt;periodical&gt;&lt;full-title&gt;Therapeutic delivery&lt;/full-title&gt;&lt;/periodical&gt;&lt;pages&gt;935-59&lt;/pages&gt;&lt;volume&gt;6&lt;/volume&gt;&lt;number&gt;8&lt;/number&gt;&lt;dates&gt;&lt;year&gt;2015&lt;/year&gt;&lt;pub-dates&gt;&lt;date&gt;2015&lt;/date&gt;&lt;/pub-dates&gt;&lt;/dates&gt;&lt;accession-num&gt;MEDLINE:26316058&lt;/accession-num&gt;&lt;urls&gt;&lt;related-urls&gt;&lt;url&gt;&amp;lt;Go to ISI&amp;gt;://MEDLINE:26316058&lt;/url&gt;&lt;/related-urls&gt;&lt;/urls&gt;&lt;electronic-resource-num&gt;10.4155/tde.15.45&lt;/electronic-resource-num&gt;&lt;/record&gt;&lt;/Cite&gt;&lt;/EndNote&gt;</w:instrText>
      </w:r>
      <w:r w:rsidR="00B501AF"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(10)</w:t>
      </w:r>
      <w:r w:rsidR="00B501AF" w:rsidRPr="00564A46">
        <w:rPr>
          <w:rFonts w:asciiTheme="minorHAnsi" w:hAnsiTheme="minorHAnsi"/>
          <w:color w:val="000000" w:themeColor="text1"/>
        </w:rPr>
        <w:fldChar w:fldCharType="end"/>
      </w:r>
      <w:r w:rsidR="00534CEA" w:rsidRPr="00564A46">
        <w:rPr>
          <w:rFonts w:asciiTheme="minorHAnsi" w:hAnsiTheme="minorHAnsi"/>
          <w:color w:val="000000" w:themeColor="text1"/>
        </w:rPr>
        <w:t>.</w:t>
      </w:r>
      <w:r w:rsidRPr="00564A46">
        <w:rPr>
          <w:rFonts w:asciiTheme="minorHAnsi" w:hAnsiTheme="minorHAnsi"/>
          <w:color w:val="000000" w:themeColor="text1"/>
        </w:rPr>
        <w:t xml:space="preserve"> </w:t>
      </w:r>
      <w:r w:rsidR="00534CEA" w:rsidRPr="00564A46">
        <w:rPr>
          <w:rFonts w:asciiTheme="minorHAnsi" w:hAnsiTheme="minorHAnsi"/>
          <w:color w:val="000000" w:themeColor="text1"/>
        </w:rPr>
        <w:t xml:space="preserve">Ketoconazole showed nearly identical dissolution rates in all four buffers </w:t>
      </w:r>
      <w:proofErr w:type="gramStart"/>
      <w:r w:rsidR="00534CEA" w:rsidRPr="00564A46">
        <w:rPr>
          <w:rFonts w:asciiTheme="minorHAnsi" w:hAnsiTheme="minorHAnsi"/>
          <w:color w:val="000000" w:themeColor="text1"/>
        </w:rPr>
        <w:t>with the exception of</w:t>
      </w:r>
      <w:proofErr w:type="gramEnd"/>
      <w:r w:rsidR="00534CEA" w:rsidRPr="00564A46">
        <w:rPr>
          <w:rFonts w:asciiTheme="minorHAnsi" w:hAnsiTheme="minorHAnsi"/>
          <w:color w:val="000000" w:themeColor="text1"/>
        </w:rPr>
        <w:t xml:space="preserve"> a slightly diminished rate in the blank </w:t>
      </w:r>
      <w:r w:rsidR="008B35B0" w:rsidRPr="00564A46">
        <w:rPr>
          <w:rFonts w:asciiTheme="minorHAnsi" w:hAnsiTheme="minorHAnsi"/>
          <w:color w:val="000000" w:themeColor="text1"/>
        </w:rPr>
        <w:t>equivalent</w:t>
      </w:r>
      <w:r w:rsidR="00534CEA" w:rsidRPr="00564A46">
        <w:rPr>
          <w:rFonts w:asciiTheme="minorHAnsi" w:hAnsiTheme="minorHAnsi"/>
          <w:color w:val="000000" w:themeColor="text1"/>
        </w:rPr>
        <w:t xml:space="preserve"> (0.</w:t>
      </w:r>
      <w:r w:rsidR="00300F65" w:rsidRPr="00564A46">
        <w:rPr>
          <w:rFonts w:asciiTheme="minorHAnsi" w:hAnsiTheme="minorHAnsi"/>
          <w:color w:val="000000" w:themeColor="text1"/>
        </w:rPr>
        <w:t>2-</w:t>
      </w:r>
      <w:r w:rsidR="00534CEA" w:rsidRPr="00564A46">
        <w:rPr>
          <w:rFonts w:asciiTheme="minorHAnsi" w:hAnsiTheme="minorHAnsi"/>
          <w:color w:val="000000" w:themeColor="text1"/>
        </w:rPr>
        <w:t xml:space="preserve">mM) buffer. When comparing calculated </w:t>
      </w:r>
      <w:r w:rsidR="00F7181B" w:rsidRPr="00564A46">
        <w:rPr>
          <w:rFonts w:asciiTheme="minorHAnsi" w:hAnsiTheme="minorHAnsi"/>
          <w:color w:val="000000" w:themeColor="text1"/>
        </w:rPr>
        <w:t xml:space="preserve">dissolution </w:t>
      </w:r>
      <w:r w:rsidR="00534CEA" w:rsidRPr="00564A46">
        <w:rPr>
          <w:rFonts w:asciiTheme="minorHAnsi" w:hAnsiTheme="minorHAnsi"/>
          <w:color w:val="000000" w:themeColor="text1"/>
        </w:rPr>
        <w:t xml:space="preserve">rates within </w:t>
      </w:r>
      <w:r w:rsidR="00300F65" w:rsidRPr="00564A46">
        <w:rPr>
          <w:rFonts w:asciiTheme="minorHAnsi" w:hAnsiTheme="minorHAnsi"/>
          <w:color w:val="000000" w:themeColor="text1"/>
        </w:rPr>
        <w:t>the first 2</w:t>
      </w:r>
      <w:r w:rsidR="00534CEA" w:rsidRPr="00564A46">
        <w:rPr>
          <w:rFonts w:asciiTheme="minorHAnsi" w:hAnsiTheme="minorHAnsi"/>
          <w:color w:val="000000" w:themeColor="text1"/>
        </w:rPr>
        <w:t xml:space="preserve"> minutes of the experiments, the impact of buffer concentration </w:t>
      </w:r>
      <w:r w:rsidR="00491132" w:rsidRPr="00564A46">
        <w:rPr>
          <w:rFonts w:asciiTheme="minorHAnsi" w:hAnsiTheme="minorHAnsi"/>
          <w:color w:val="000000" w:themeColor="text1"/>
        </w:rPr>
        <w:t>was</w:t>
      </w:r>
      <w:r w:rsidR="00534CEA" w:rsidRPr="00564A46">
        <w:rPr>
          <w:rFonts w:asciiTheme="minorHAnsi" w:hAnsiTheme="minorHAnsi"/>
          <w:color w:val="000000" w:themeColor="text1"/>
        </w:rPr>
        <w:t xml:space="preserve"> 0.9</w:t>
      </w:r>
      <w:r w:rsidR="00491132" w:rsidRPr="00564A46">
        <w:rPr>
          <w:rFonts w:asciiTheme="minorHAnsi" w:hAnsiTheme="minorHAnsi"/>
          <w:color w:val="000000" w:themeColor="text1"/>
        </w:rPr>
        <w:t xml:space="preserve"> with bile salts/</w:t>
      </w:r>
      <w:r w:rsidR="00300F65" w:rsidRPr="00564A46">
        <w:rPr>
          <w:rFonts w:asciiTheme="minorHAnsi" w:hAnsiTheme="minorHAnsi"/>
          <w:color w:val="000000" w:themeColor="text1"/>
        </w:rPr>
        <w:t>phospho</w:t>
      </w:r>
      <w:r w:rsidR="00491132" w:rsidRPr="00564A46">
        <w:rPr>
          <w:rFonts w:asciiTheme="minorHAnsi" w:hAnsiTheme="minorHAnsi"/>
          <w:color w:val="000000" w:themeColor="text1"/>
        </w:rPr>
        <w:t xml:space="preserve">lipids present and </w:t>
      </w:r>
      <w:r w:rsidR="00534CEA" w:rsidRPr="00564A46">
        <w:rPr>
          <w:rFonts w:asciiTheme="minorHAnsi" w:hAnsiTheme="minorHAnsi"/>
          <w:color w:val="000000" w:themeColor="text1"/>
        </w:rPr>
        <w:t>1.8</w:t>
      </w:r>
      <w:r w:rsidR="00491132" w:rsidRPr="00564A46">
        <w:rPr>
          <w:rFonts w:asciiTheme="minorHAnsi" w:hAnsiTheme="minorHAnsi"/>
          <w:color w:val="000000" w:themeColor="text1"/>
        </w:rPr>
        <w:t xml:space="preserve"> without bile salts/</w:t>
      </w:r>
      <w:r w:rsidR="00300F65" w:rsidRPr="00564A46">
        <w:rPr>
          <w:rFonts w:asciiTheme="minorHAnsi" w:hAnsiTheme="minorHAnsi"/>
          <w:color w:val="000000" w:themeColor="text1"/>
        </w:rPr>
        <w:t>phospho</w:t>
      </w:r>
      <w:r w:rsidR="00491132" w:rsidRPr="00564A46">
        <w:rPr>
          <w:rFonts w:asciiTheme="minorHAnsi" w:hAnsiTheme="minorHAnsi"/>
          <w:color w:val="000000" w:themeColor="text1"/>
        </w:rPr>
        <w:t>lipids present</w:t>
      </w:r>
      <w:r w:rsidR="00534CEA" w:rsidRPr="00564A46">
        <w:rPr>
          <w:rFonts w:asciiTheme="minorHAnsi" w:hAnsiTheme="minorHAnsi"/>
          <w:color w:val="000000" w:themeColor="text1"/>
        </w:rPr>
        <w:t xml:space="preserve"> (</w:t>
      </w:r>
      <w:r w:rsidR="00491132" w:rsidRPr="00564A46">
        <w:rPr>
          <w:rFonts w:asciiTheme="minorHAnsi" w:hAnsiTheme="minorHAnsi"/>
          <w:color w:val="000000" w:themeColor="text1"/>
        </w:rPr>
        <w:t xml:space="preserve">no difference </w:t>
      </w:r>
      <w:r w:rsidR="00300F65" w:rsidRPr="00564A46">
        <w:rPr>
          <w:rFonts w:asciiTheme="minorHAnsi" w:hAnsiTheme="minorHAnsi"/>
          <w:color w:val="000000" w:themeColor="text1"/>
        </w:rPr>
        <w:t xml:space="preserve">was </w:t>
      </w:r>
      <w:r w:rsidR="00491132" w:rsidRPr="00564A46">
        <w:rPr>
          <w:rFonts w:asciiTheme="minorHAnsi" w:hAnsiTheme="minorHAnsi"/>
          <w:color w:val="000000" w:themeColor="text1"/>
        </w:rPr>
        <w:t>expected). The</w:t>
      </w:r>
      <w:r w:rsidR="00F7181B" w:rsidRPr="00564A46">
        <w:rPr>
          <w:rFonts w:asciiTheme="minorHAnsi" w:hAnsiTheme="minorHAnsi"/>
          <w:color w:val="000000" w:themeColor="text1"/>
        </w:rPr>
        <w:t xml:space="preserve"> differences in calculated rates</w:t>
      </w:r>
      <w:r w:rsidR="00534CEA" w:rsidRPr="00564A46">
        <w:rPr>
          <w:rFonts w:asciiTheme="minorHAnsi" w:hAnsiTheme="minorHAnsi"/>
          <w:color w:val="000000" w:themeColor="text1"/>
        </w:rPr>
        <w:t xml:space="preserve"> </w:t>
      </w:r>
      <w:r w:rsidR="00F7181B" w:rsidRPr="00564A46">
        <w:rPr>
          <w:rFonts w:asciiTheme="minorHAnsi" w:hAnsiTheme="minorHAnsi"/>
          <w:color w:val="000000" w:themeColor="text1"/>
        </w:rPr>
        <w:t xml:space="preserve">due to the presence of </w:t>
      </w:r>
      <w:r w:rsidR="00534CEA" w:rsidRPr="00564A46">
        <w:rPr>
          <w:rFonts w:asciiTheme="minorHAnsi" w:hAnsiTheme="minorHAnsi"/>
          <w:color w:val="000000" w:themeColor="text1"/>
        </w:rPr>
        <w:t>bile salts/</w:t>
      </w:r>
      <w:r w:rsidR="00300F65" w:rsidRPr="00564A46">
        <w:rPr>
          <w:rFonts w:asciiTheme="minorHAnsi" w:hAnsiTheme="minorHAnsi"/>
          <w:color w:val="000000" w:themeColor="text1"/>
        </w:rPr>
        <w:t>phospho</w:t>
      </w:r>
      <w:r w:rsidR="00534CEA" w:rsidRPr="00564A46">
        <w:rPr>
          <w:rFonts w:asciiTheme="minorHAnsi" w:hAnsiTheme="minorHAnsi"/>
          <w:color w:val="000000" w:themeColor="text1"/>
        </w:rPr>
        <w:t xml:space="preserve">lipids </w:t>
      </w:r>
      <w:r w:rsidR="00F7181B" w:rsidRPr="00564A46">
        <w:rPr>
          <w:rFonts w:asciiTheme="minorHAnsi" w:hAnsiTheme="minorHAnsi"/>
          <w:color w:val="000000" w:themeColor="text1"/>
        </w:rPr>
        <w:t>was</w:t>
      </w:r>
      <w:r w:rsidR="00534CEA" w:rsidRPr="00564A46">
        <w:rPr>
          <w:rFonts w:asciiTheme="minorHAnsi" w:hAnsiTheme="minorHAnsi"/>
          <w:color w:val="000000" w:themeColor="text1"/>
        </w:rPr>
        <w:t xml:space="preserve"> 0.7</w:t>
      </w:r>
      <w:r w:rsidR="00F7181B" w:rsidRPr="00564A46">
        <w:rPr>
          <w:rFonts w:asciiTheme="minorHAnsi" w:hAnsiTheme="minorHAnsi"/>
          <w:color w:val="000000" w:themeColor="text1"/>
        </w:rPr>
        <w:t xml:space="preserve"> for </w:t>
      </w:r>
      <w:r w:rsidR="00300F65" w:rsidRPr="00564A46">
        <w:rPr>
          <w:rFonts w:asciiTheme="minorHAnsi" w:hAnsiTheme="minorHAnsi"/>
          <w:color w:val="000000" w:themeColor="text1"/>
        </w:rPr>
        <w:t>50-</w:t>
      </w:r>
      <w:r w:rsidR="00F7181B" w:rsidRPr="00564A46">
        <w:rPr>
          <w:rFonts w:asciiTheme="minorHAnsi" w:hAnsiTheme="minorHAnsi"/>
          <w:color w:val="000000" w:themeColor="text1"/>
        </w:rPr>
        <w:t xml:space="preserve">mM buffer and </w:t>
      </w:r>
      <w:r w:rsidR="00534CEA" w:rsidRPr="00564A46">
        <w:rPr>
          <w:rFonts w:asciiTheme="minorHAnsi" w:hAnsiTheme="minorHAnsi"/>
          <w:color w:val="000000" w:themeColor="text1"/>
        </w:rPr>
        <w:t>1.5</w:t>
      </w:r>
      <w:r w:rsidR="00F7181B" w:rsidRPr="00564A46">
        <w:rPr>
          <w:rFonts w:asciiTheme="minorHAnsi" w:hAnsiTheme="minorHAnsi"/>
          <w:color w:val="000000" w:themeColor="text1"/>
        </w:rPr>
        <w:t xml:space="preserve"> for 0.</w:t>
      </w:r>
      <w:r w:rsidR="00300F65" w:rsidRPr="00564A46">
        <w:rPr>
          <w:rFonts w:asciiTheme="minorHAnsi" w:hAnsiTheme="minorHAnsi"/>
          <w:color w:val="000000" w:themeColor="text1"/>
        </w:rPr>
        <w:t>2-</w:t>
      </w:r>
      <w:r w:rsidR="00F7181B" w:rsidRPr="00564A46">
        <w:rPr>
          <w:rFonts w:asciiTheme="minorHAnsi" w:hAnsiTheme="minorHAnsi"/>
          <w:color w:val="000000" w:themeColor="text1"/>
        </w:rPr>
        <w:t>mM buffer</w:t>
      </w:r>
      <w:r w:rsidR="00534CEA" w:rsidRPr="00564A46">
        <w:rPr>
          <w:rFonts w:asciiTheme="minorHAnsi" w:hAnsiTheme="minorHAnsi"/>
          <w:color w:val="000000" w:themeColor="text1"/>
        </w:rPr>
        <w:t xml:space="preserve"> (</w:t>
      </w:r>
      <w:r w:rsidR="00300F65" w:rsidRPr="00564A46">
        <w:rPr>
          <w:rFonts w:asciiTheme="minorHAnsi" w:hAnsiTheme="minorHAnsi"/>
          <w:color w:val="000000" w:themeColor="text1"/>
        </w:rPr>
        <w:t xml:space="preserve">a </w:t>
      </w:r>
      <w:r w:rsidR="00534CEA" w:rsidRPr="00564A46">
        <w:rPr>
          <w:rFonts w:asciiTheme="minorHAnsi" w:hAnsiTheme="minorHAnsi"/>
          <w:color w:val="000000" w:themeColor="text1"/>
        </w:rPr>
        <w:t xml:space="preserve">minor difference </w:t>
      </w:r>
      <w:r w:rsidR="00300F65" w:rsidRPr="00564A46">
        <w:rPr>
          <w:rFonts w:asciiTheme="minorHAnsi" w:hAnsiTheme="minorHAnsi"/>
          <w:color w:val="000000" w:themeColor="text1"/>
        </w:rPr>
        <w:t xml:space="preserve">was </w:t>
      </w:r>
      <w:r w:rsidR="00534CEA" w:rsidRPr="00564A46">
        <w:rPr>
          <w:rFonts w:asciiTheme="minorHAnsi" w:hAnsiTheme="minorHAnsi"/>
          <w:color w:val="000000" w:themeColor="text1"/>
        </w:rPr>
        <w:t>expected). Results for the impact of bile salts/</w:t>
      </w:r>
      <w:r w:rsidR="00300F65" w:rsidRPr="00564A46">
        <w:rPr>
          <w:rFonts w:asciiTheme="minorHAnsi" w:hAnsiTheme="minorHAnsi"/>
          <w:color w:val="000000" w:themeColor="text1"/>
        </w:rPr>
        <w:t>phospho</w:t>
      </w:r>
      <w:r w:rsidR="00534CEA" w:rsidRPr="00564A46">
        <w:rPr>
          <w:rFonts w:asciiTheme="minorHAnsi" w:hAnsiTheme="minorHAnsi"/>
          <w:color w:val="000000" w:themeColor="text1"/>
        </w:rPr>
        <w:t>lipids are in line with a measured solubility rati</w:t>
      </w:r>
      <w:r w:rsidR="00B501AF" w:rsidRPr="00564A46">
        <w:rPr>
          <w:rFonts w:asciiTheme="minorHAnsi" w:hAnsiTheme="minorHAnsi"/>
          <w:color w:val="000000" w:themeColor="text1"/>
        </w:rPr>
        <w:t xml:space="preserve">o in the range of about 1.8 </w:t>
      </w:r>
      <w:r w:rsidR="00300F65" w:rsidRPr="00564A46">
        <w:rPr>
          <w:rFonts w:asciiTheme="minorHAnsi" w:hAnsiTheme="minorHAnsi"/>
          <w:color w:val="000000" w:themeColor="text1"/>
        </w:rPr>
        <w:t xml:space="preserve">to </w:t>
      </w:r>
      <w:r w:rsidR="00B501AF" w:rsidRPr="00564A46">
        <w:rPr>
          <w:rFonts w:asciiTheme="minorHAnsi" w:hAnsiTheme="minorHAnsi"/>
          <w:color w:val="000000" w:themeColor="text1"/>
        </w:rPr>
        <w:t xml:space="preserve">5 </w:t>
      </w:r>
      <w:r w:rsidR="00B501AF"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&lt;EndNote&gt;&lt;Cite&gt;&lt;Author&gt;Fagerberg&lt;/Author&gt;&lt;Year&gt;2015&lt;/Year&gt;&lt;RecNum&gt;111&lt;/RecNum&gt;&lt;DisplayText&gt;(10)&lt;/DisplayText&gt;&lt;record&gt;&lt;rec-number&gt;111&lt;/rec-number&gt;&lt;foreign-keys&gt;&lt;key app="EN" db-id="vapsarvf3x9d5serzs6vt59osvzvsr55efxx" timestamp="1560648040"&gt;111&lt;/key&gt;&lt;/foreign-keys&gt;&lt;ref-type name="Journal Article"&gt;17&lt;/ref-type&gt;&lt;contributors&gt;&lt;authors&gt;&lt;author&gt;Fagerberg, Jonas H.&lt;/author&gt;&lt;author&gt;Bergstrom, Christel A. S.&lt;/author&gt;&lt;/authors&gt;&lt;/contributors&gt;&lt;titles&gt;&lt;title&gt;Intestinal solubility and absorption of poorly water soluble compounds: predictions, challenges and solutions&lt;/title&gt;&lt;secondary-title&gt;Therapeutic delivery&lt;/secondary-title&gt;&lt;/titles&gt;&lt;periodical&gt;&lt;full-title&gt;Therapeutic delivery&lt;/full-title&gt;&lt;/periodical&gt;&lt;pages&gt;935-59&lt;/pages&gt;&lt;volume&gt;6&lt;/volume&gt;&lt;number&gt;8&lt;/number&gt;&lt;dates&gt;&lt;year&gt;2015&lt;/year&gt;&lt;pub-dates&gt;&lt;date&gt;2015&lt;/date&gt;&lt;/pub-dates&gt;&lt;/dates&gt;&lt;accession-num&gt;MEDLINE:26316058&lt;/accession-num&gt;&lt;urls&gt;&lt;related-urls&gt;&lt;url&gt;&amp;lt;Go to ISI&amp;gt;://MEDLINE:26316058&lt;/url&gt;&lt;/related-urls&gt;&lt;/urls&gt;&lt;electronic-resource-num&gt;10.4155/tde.15.45&lt;/electronic-resource-num&gt;&lt;/record&gt;&lt;/Cite&gt;&lt;/EndNote&gt;</w:instrText>
      </w:r>
      <w:r w:rsidR="00B501AF"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(10)</w:t>
      </w:r>
      <w:r w:rsidR="00B501AF" w:rsidRPr="00564A46">
        <w:rPr>
          <w:rFonts w:asciiTheme="minorHAnsi" w:hAnsiTheme="minorHAnsi"/>
          <w:color w:val="000000" w:themeColor="text1"/>
        </w:rPr>
        <w:fldChar w:fldCharType="end"/>
      </w:r>
      <w:r w:rsidR="00300F65" w:rsidRPr="00564A46">
        <w:rPr>
          <w:rFonts w:asciiTheme="minorHAnsi" w:hAnsiTheme="minorHAnsi"/>
          <w:color w:val="000000" w:themeColor="text1"/>
        </w:rPr>
        <w:t>,</w:t>
      </w:r>
      <w:r w:rsidR="00B501AF" w:rsidRPr="00564A46">
        <w:rPr>
          <w:rFonts w:asciiTheme="minorHAnsi" w:hAnsiTheme="minorHAnsi"/>
          <w:color w:val="000000" w:themeColor="text1"/>
        </w:rPr>
        <w:t xml:space="preserve"> </w:t>
      </w:r>
      <w:r w:rsidR="00534CEA" w:rsidRPr="00564A46">
        <w:rPr>
          <w:rFonts w:asciiTheme="minorHAnsi" w:hAnsiTheme="minorHAnsi"/>
          <w:color w:val="000000" w:themeColor="text1"/>
        </w:rPr>
        <w:t xml:space="preserve">leading to an expected 1.1-fold increase in dissolution rate in FaSSIF compared </w:t>
      </w:r>
      <w:r w:rsidR="00300F65" w:rsidRPr="00564A46">
        <w:rPr>
          <w:rFonts w:asciiTheme="minorHAnsi" w:hAnsiTheme="minorHAnsi"/>
          <w:color w:val="000000" w:themeColor="text1"/>
        </w:rPr>
        <w:t xml:space="preserve">with </w:t>
      </w:r>
      <w:r w:rsidR="00534CEA" w:rsidRPr="00564A46">
        <w:rPr>
          <w:rFonts w:asciiTheme="minorHAnsi" w:hAnsiTheme="minorHAnsi"/>
          <w:color w:val="000000" w:themeColor="text1"/>
        </w:rPr>
        <w:t>blank buffer.</w:t>
      </w:r>
    </w:p>
    <w:p w14:paraId="706BE005" w14:textId="18BF3901" w:rsidR="00534CEA" w:rsidRPr="00564A46" w:rsidRDefault="00091D1C" w:rsidP="00F56802">
      <w:pPr>
        <w:spacing w:afterLines="240" w:after="576"/>
        <w:contextualSpacing/>
        <w:rPr>
          <w:rFonts w:asciiTheme="minorHAnsi" w:hAnsiTheme="minorHAnsi"/>
          <w:color w:val="000000" w:themeColor="text1"/>
        </w:rPr>
      </w:pPr>
      <w:r w:rsidRPr="00564A46">
        <w:rPr>
          <w:rFonts w:asciiTheme="minorHAnsi" w:hAnsiTheme="minorHAnsi"/>
          <w:color w:val="000000" w:themeColor="text1"/>
        </w:rPr>
        <w:t>Atenolol was chosen as a non-lipophilic weak base with a high pK</w:t>
      </w:r>
      <w:r w:rsidRPr="00564A46">
        <w:rPr>
          <w:rFonts w:asciiTheme="minorHAnsi" w:hAnsiTheme="minorHAnsi"/>
          <w:color w:val="000000" w:themeColor="text1"/>
          <w:vertAlign w:val="subscript"/>
        </w:rPr>
        <w:t>a</w:t>
      </w:r>
      <w:r w:rsidRPr="00564A46">
        <w:rPr>
          <w:rFonts w:asciiTheme="minorHAnsi" w:hAnsiTheme="minorHAnsi"/>
          <w:color w:val="000000" w:themeColor="text1"/>
        </w:rPr>
        <w:t>.</w:t>
      </w:r>
      <w:r w:rsidR="00F56802" w:rsidRPr="00564A46">
        <w:rPr>
          <w:rFonts w:asciiTheme="minorHAnsi" w:hAnsiTheme="minorHAnsi"/>
          <w:color w:val="000000" w:themeColor="text1"/>
        </w:rPr>
        <w:t xml:space="preserve"> Since Atenolol is classified as BCS 1, it has a high S</w:t>
      </w:r>
      <w:r w:rsidR="00F56802" w:rsidRPr="00564A46">
        <w:rPr>
          <w:rFonts w:asciiTheme="minorHAnsi" w:hAnsiTheme="minorHAnsi"/>
          <w:color w:val="000000" w:themeColor="text1"/>
          <w:vertAlign w:val="subscript"/>
        </w:rPr>
        <w:t>o</w:t>
      </w:r>
      <w:r w:rsidR="00F56802" w:rsidRPr="00564A46">
        <w:rPr>
          <w:rFonts w:asciiTheme="minorHAnsi" w:hAnsiTheme="minorHAnsi"/>
          <w:color w:val="000000" w:themeColor="text1"/>
        </w:rPr>
        <w:t xml:space="preserve">. Therefore, while </w:t>
      </w:r>
      <w:r w:rsidR="00F56802" w:rsidRPr="00564A46">
        <w:rPr>
          <w:rFonts w:ascii="Calibri" w:eastAsia="Times New Roman" w:hAnsi="Calibri" w:cs="Calibri"/>
          <w:color w:val="000000" w:themeColor="text1"/>
        </w:rPr>
        <w:t>β &lt; 11, surface pH is calculated to increase to a high and similar extent in both 50 mM and 1 mM buffer. Therefore, the difference in calculated dissolution rates is less than 2-fold.</w:t>
      </w:r>
      <w:r w:rsidR="00F56802" w:rsidRPr="00564A46">
        <w:rPr>
          <w:rFonts w:asciiTheme="minorHAnsi" w:hAnsiTheme="minorHAnsi"/>
          <w:color w:val="000000" w:themeColor="text1"/>
        </w:rPr>
        <w:t xml:space="preserve"> </w:t>
      </w:r>
      <w:r w:rsidR="00534CEA" w:rsidRPr="00564A46">
        <w:rPr>
          <w:rFonts w:asciiTheme="minorHAnsi" w:hAnsiTheme="minorHAnsi"/>
          <w:color w:val="000000" w:themeColor="text1"/>
        </w:rPr>
        <w:t xml:space="preserve">Atenolol was predicted to show a 1.7-fold higher flux at 50 mM than </w:t>
      </w:r>
      <w:r w:rsidR="00300F65" w:rsidRPr="00564A46">
        <w:rPr>
          <w:rFonts w:asciiTheme="minorHAnsi" w:hAnsiTheme="minorHAnsi"/>
          <w:color w:val="000000" w:themeColor="text1"/>
        </w:rPr>
        <w:t xml:space="preserve">in </w:t>
      </w:r>
      <w:r w:rsidR="00534CEA" w:rsidRPr="00564A46">
        <w:rPr>
          <w:rFonts w:asciiTheme="minorHAnsi" w:hAnsiTheme="minorHAnsi"/>
          <w:color w:val="000000" w:themeColor="text1"/>
        </w:rPr>
        <w:t xml:space="preserve">the </w:t>
      </w:r>
      <w:r w:rsidR="008B35B0" w:rsidRPr="00564A46">
        <w:rPr>
          <w:rFonts w:asciiTheme="minorHAnsi" w:hAnsiTheme="minorHAnsi"/>
          <w:color w:val="000000" w:themeColor="text1"/>
        </w:rPr>
        <w:t>equivalent</w:t>
      </w:r>
      <w:r w:rsidR="00534CEA" w:rsidRPr="00564A46">
        <w:rPr>
          <w:rFonts w:asciiTheme="minorHAnsi" w:hAnsiTheme="minorHAnsi"/>
          <w:color w:val="000000" w:themeColor="text1"/>
        </w:rPr>
        <w:t xml:space="preserve"> buffer. </w:t>
      </w:r>
      <w:r w:rsidR="0096545E" w:rsidRPr="00564A46">
        <w:rPr>
          <w:rFonts w:asciiTheme="minorHAnsi" w:hAnsiTheme="minorHAnsi"/>
          <w:color w:val="000000" w:themeColor="text1"/>
        </w:rPr>
        <w:t>The observed difference was</w:t>
      </w:r>
      <w:r w:rsidR="00DC1202" w:rsidRPr="00564A46">
        <w:rPr>
          <w:rFonts w:asciiTheme="minorHAnsi" w:hAnsiTheme="minorHAnsi"/>
          <w:color w:val="000000" w:themeColor="text1"/>
        </w:rPr>
        <w:t xml:space="preserve"> 1.3-fold.</w:t>
      </w:r>
    </w:p>
    <w:p w14:paraId="7AFA8C37" w14:textId="77777777" w:rsidR="00F56802" w:rsidRPr="00564A46" w:rsidRDefault="00F56802" w:rsidP="00F56802">
      <w:pPr>
        <w:spacing w:afterLines="240" w:after="576"/>
        <w:contextualSpacing/>
        <w:rPr>
          <w:rFonts w:asciiTheme="minorHAnsi" w:hAnsiTheme="minorHAnsi"/>
          <w:color w:val="000000" w:themeColor="text1"/>
        </w:rPr>
      </w:pPr>
    </w:p>
    <w:p w14:paraId="757E191F" w14:textId="3DDCA954" w:rsidR="00534CEA" w:rsidRPr="00564A46" w:rsidRDefault="00534CEA" w:rsidP="00F56802">
      <w:pPr>
        <w:spacing w:afterLines="240" w:after="576"/>
        <w:rPr>
          <w:rFonts w:asciiTheme="minorHAnsi" w:hAnsiTheme="minorHAnsi"/>
          <w:color w:val="000000" w:themeColor="text1"/>
        </w:rPr>
      </w:pPr>
      <w:r w:rsidRPr="00564A46">
        <w:rPr>
          <w:rFonts w:asciiTheme="minorHAnsi" w:hAnsiTheme="minorHAnsi"/>
          <w:color w:val="000000" w:themeColor="text1"/>
        </w:rPr>
        <w:t xml:space="preserve">Finally, tamoxifen was selected as a model compound reflecting a relatively lipophilic base with </w:t>
      </w:r>
      <w:r w:rsidR="00160BDF" w:rsidRPr="00564A46">
        <w:rPr>
          <w:rFonts w:asciiTheme="minorHAnsi" w:hAnsiTheme="minorHAnsi"/>
          <w:color w:val="000000" w:themeColor="text1"/>
        </w:rPr>
        <w:t xml:space="preserve">a </w:t>
      </w:r>
      <w:r w:rsidRPr="00564A46">
        <w:rPr>
          <w:rFonts w:asciiTheme="minorHAnsi" w:hAnsiTheme="minorHAnsi"/>
          <w:color w:val="000000" w:themeColor="text1"/>
        </w:rPr>
        <w:t>high pK</w:t>
      </w:r>
      <w:r w:rsidRPr="00564A46">
        <w:rPr>
          <w:rFonts w:asciiTheme="minorHAnsi" w:hAnsiTheme="minorHAnsi"/>
          <w:color w:val="000000" w:themeColor="text1"/>
          <w:vertAlign w:val="subscript"/>
        </w:rPr>
        <w:t>a</w:t>
      </w:r>
      <w:r w:rsidRPr="00564A46">
        <w:rPr>
          <w:rFonts w:asciiTheme="minorHAnsi" w:hAnsiTheme="minorHAnsi"/>
          <w:color w:val="000000" w:themeColor="text1"/>
        </w:rPr>
        <w:t>. For this compound, no significant difference</w:t>
      </w:r>
      <w:r w:rsidR="00160BDF" w:rsidRPr="00564A46">
        <w:rPr>
          <w:rFonts w:asciiTheme="minorHAnsi" w:hAnsiTheme="minorHAnsi"/>
          <w:color w:val="000000" w:themeColor="text1"/>
        </w:rPr>
        <w:t xml:space="preserve"> was expected</w:t>
      </w:r>
      <w:r w:rsidRPr="00564A46">
        <w:rPr>
          <w:rFonts w:asciiTheme="minorHAnsi" w:hAnsiTheme="minorHAnsi"/>
          <w:color w:val="000000" w:themeColor="text1"/>
        </w:rPr>
        <w:t xml:space="preserve"> between </w:t>
      </w:r>
      <w:r w:rsidR="008B35B0" w:rsidRPr="00564A46">
        <w:rPr>
          <w:rFonts w:asciiTheme="minorHAnsi" w:hAnsiTheme="minorHAnsi"/>
          <w:color w:val="000000" w:themeColor="text1"/>
        </w:rPr>
        <w:t>equivalent</w:t>
      </w:r>
      <w:r w:rsidRPr="00564A46">
        <w:rPr>
          <w:rFonts w:asciiTheme="minorHAnsi" w:hAnsiTheme="minorHAnsi"/>
          <w:color w:val="000000" w:themeColor="text1"/>
        </w:rPr>
        <w:t xml:space="preserve"> buffer and </w:t>
      </w:r>
      <w:r w:rsidR="00300F65" w:rsidRPr="00564A46">
        <w:rPr>
          <w:rFonts w:asciiTheme="minorHAnsi" w:hAnsiTheme="minorHAnsi"/>
          <w:color w:val="000000" w:themeColor="text1"/>
        </w:rPr>
        <w:t>50-</w:t>
      </w:r>
      <w:r w:rsidRPr="00564A46">
        <w:rPr>
          <w:rFonts w:asciiTheme="minorHAnsi" w:hAnsiTheme="minorHAnsi"/>
          <w:color w:val="000000" w:themeColor="text1"/>
        </w:rPr>
        <w:t>mM buffer</w:t>
      </w:r>
      <w:r w:rsidR="00160BDF" w:rsidRPr="00564A46">
        <w:rPr>
          <w:rFonts w:asciiTheme="minorHAnsi" w:hAnsiTheme="minorHAnsi"/>
          <w:color w:val="000000" w:themeColor="text1"/>
        </w:rPr>
        <w:t xml:space="preserve">. Experimental results demonstrated a 1.1-fold difference in the presence of BS/PL and no difference in the absence of BS/PL. A </w:t>
      </w:r>
      <w:r w:rsidRPr="00564A46">
        <w:rPr>
          <w:rFonts w:asciiTheme="minorHAnsi" w:hAnsiTheme="minorHAnsi"/>
          <w:color w:val="000000" w:themeColor="text1"/>
        </w:rPr>
        <w:t>1.4-fold increase in dissolution rate</w:t>
      </w:r>
      <w:r w:rsidR="00160BDF" w:rsidRPr="00564A46">
        <w:rPr>
          <w:rFonts w:asciiTheme="minorHAnsi" w:hAnsiTheme="minorHAnsi"/>
          <w:color w:val="000000" w:themeColor="text1"/>
        </w:rPr>
        <w:t xml:space="preserve"> was expected</w:t>
      </w:r>
      <w:r w:rsidRPr="00564A46">
        <w:rPr>
          <w:rFonts w:asciiTheme="minorHAnsi" w:hAnsiTheme="minorHAnsi"/>
          <w:color w:val="000000" w:themeColor="text1"/>
        </w:rPr>
        <w:t xml:space="preserve"> in FaSSIF</w:t>
      </w:r>
      <w:r w:rsidR="00160BDF" w:rsidRPr="00564A46">
        <w:rPr>
          <w:rFonts w:asciiTheme="minorHAnsi" w:hAnsiTheme="minorHAnsi"/>
          <w:color w:val="000000" w:themeColor="text1"/>
        </w:rPr>
        <w:t xml:space="preserve"> versus </w:t>
      </w:r>
      <w:r w:rsidRPr="00564A46">
        <w:rPr>
          <w:rFonts w:asciiTheme="minorHAnsi" w:hAnsiTheme="minorHAnsi"/>
          <w:color w:val="000000" w:themeColor="text1"/>
        </w:rPr>
        <w:t xml:space="preserve">blank buffer (experimental solubility ratio of </w:t>
      </w:r>
      <w:r w:rsidR="007E4081" w:rsidRPr="00564A46">
        <w:rPr>
          <w:rFonts w:asciiTheme="minorHAnsi" w:hAnsiTheme="minorHAnsi"/>
          <w:color w:val="000000" w:themeColor="text1"/>
        </w:rPr>
        <w:t>26</w:t>
      </w:r>
      <w:r w:rsidR="00160BDF" w:rsidRPr="00564A46">
        <w:rPr>
          <w:rFonts w:asciiTheme="minorHAnsi" w:hAnsiTheme="minorHAnsi"/>
          <w:color w:val="000000" w:themeColor="text1"/>
        </w:rPr>
        <w:t>)</w:t>
      </w:r>
      <w:r w:rsidR="007E4081" w:rsidRPr="00564A46">
        <w:rPr>
          <w:rFonts w:asciiTheme="minorHAnsi" w:hAnsiTheme="minorHAnsi"/>
          <w:color w:val="000000" w:themeColor="text1"/>
        </w:rPr>
        <w:t xml:space="preserve"> </w:t>
      </w:r>
      <w:r w:rsidR="007E4081" w:rsidRPr="00564A46">
        <w:rPr>
          <w:rFonts w:asciiTheme="minorHAnsi" w:hAnsiTheme="minorHAnsi"/>
          <w:color w:val="000000" w:themeColor="text1"/>
        </w:rPr>
        <w:fldChar w:fldCharType="begin"/>
      </w:r>
      <w:r w:rsidR="00613FDE" w:rsidRPr="00564A46">
        <w:rPr>
          <w:rFonts w:asciiTheme="minorHAnsi" w:hAnsiTheme="minorHAnsi"/>
          <w:color w:val="000000" w:themeColor="text1"/>
        </w:rPr>
        <w:instrText xml:space="preserve"> ADDIN EN.CITE &lt;EndNote&gt;&lt;Cite&gt;&lt;Author&gt;Fagerberg&lt;/Author&gt;&lt;Year&gt;2015&lt;/Year&gt;&lt;RecNum&gt;111&lt;/RecNum&gt;&lt;DisplayText&gt;(10)&lt;/DisplayText&gt;&lt;record&gt;&lt;rec-number&gt;111&lt;/rec-number&gt;&lt;foreign-keys&gt;&lt;key app="EN" db-id="vapsarvf3x9d5serzs6vt59osvzvsr55efxx" timestamp="1560648040"&gt;111&lt;/key&gt;&lt;/foreign-keys&gt;&lt;ref-type name="Journal Article"&gt;17&lt;/ref-type&gt;&lt;contributors&gt;&lt;authors&gt;&lt;author&gt;Fagerberg, Jonas H.&lt;/author&gt;&lt;author&gt;Bergstrom, Christel A. S.&lt;/author&gt;&lt;/authors&gt;&lt;/contributors&gt;&lt;titles&gt;&lt;title&gt;Intestinal solubility and absorption of poorly water soluble compounds: predictions, challenges and solutions&lt;/title&gt;&lt;secondary-title&gt;Therapeutic delivery&lt;/secondary-title&gt;&lt;/titles&gt;&lt;periodical&gt;&lt;full-title&gt;Therapeutic delivery&lt;/full-title&gt;&lt;/periodical&gt;&lt;pages&gt;935-59&lt;/pages&gt;&lt;volume&gt;6&lt;/volume&gt;&lt;number&gt;8&lt;/number&gt;&lt;dates&gt;&lt;year&gt;2015&lt;/year&gt;&lt;pub-dates&gt;&lt;date&gt;2015&lt;/date&gt;&lt;/pub-dates&gt;&lt;/dates&gt;&lt;accession-num&gt;MEDLINE:26316058&lt;/accession-num&gt;&lt;urls&gt;&lt;related-urls&gt;&lt;url&gt;&amp;lt;Go to ISI&amp;gt;://MEDLINE:26316058&lt;/url&gt;&lt;/related-urls&gt;&lt;/urls&gt;&lt;electronic-resource-num&gt;10.4155/tde.15.45&lt;/electronic-resource-num&gt;&lt;/record&gt;&lt;/Cite&gt;&lt;/EndNote&gt;</w:instrText>
      </w:r>
      <w:r w:rsidR="007E4081" w:rsidRPr="00564A46">
        <w:rPr>
          <w:rFonts w:asciiTheme="minorHAnsi" w:hAnsiTheme="minorHAnsi"/>
          <w:color w:val="000000" w:themeColor="text1"/>
        </w:rPr>
        <w:fldChar w:fldCharType="separate"/>
      </w:r>
      <w:r w:rsidR="00613FDE" w:rsidRPr="00564A46">
        <w:rPr>
          <w:rFonts w:asciiTheme="minorHAnsi" w:hAnsiTheme="minorHAnsi"/>
          <w:noProof/>
          <w:color w:val="000000" w:themeColor="text1"/>
        </w:rPr>
        <w:t>(10)</w:t>
      </w:r>
      <w:r w:rsidR="007E4081" w:rsidRPr="00564A46">
        <w:rPr>
          <w:rFonts w:asciiTheme="minorHAnsi" w:hAnsiTheme="minorHAnsi"/>
          <w:color w:val="000000" w:themeColor="text1"/>
        </w:rPr>
        <w:fldChar w:fldCharType="end"/>
      </w:r>
      <w:r w:rsidRPr="00564A46">
        <w:rPr>
          <w:rFonts w:asciiTheme="minorHAnsi" w:hAnsiTheme="minorHAnsi"/>
          <w:color w:val="000000" w:themeColor="text1"/>
        </w:rPr>
        <w:t xml:space="preserve">. </w:t>
      </w:r>
      <w:r w:rsidR="00160BDF" w:rsidRPr="00564A46">
        <w:rPr>
          <w:rFonts w:asciiTheme="minorHAnsi" w:hAnsiTheme="minorHAnsi"/>
          <w:color w:val="000000" w:themeColor="text1"/>
        </w:rPr>
        <w:t>E</w:t>
      </w:r>
      <w:r w:rsidRPr="00564A46">
        <w:rPr>
          <w:rFonts w:asciiTheme="minorHAnsi" w:hAnsiTheme="minorHAnsi"/>
          <w:color w:val="000000" w:themeColor="text1"/>
        </w:rPr>
        <w:t>xperimental findings</w:t>
      </w:r>
      <w:r w:rsidR="00160BDF" w:rsidRPr="00564A46">
        <w:rPr>
          <w:rFonts w:asciiTheme="minorHAnsi" w:hAnsiTheme="minorHAnsi"/>
          <w:color w:val="000000" w:themeColor="text1"/>
        </w:rPr>
        <w:t xml:space="preserve"> agreed with expectations,</w:t>
      </w:r>
      <w:r w:rsidRPr="00564A46">
        <w:rPr>
          <w:rFonts w:asciiTheme="minorHAnsi" w:hAnsiTheme="minorHAnsi"/>
          <w:color w:val="000000" w:themeColor="text1"/>
        </w:rPr>
        <w:t xml:space="preserve"> showing a </w:t>
      </w:r>
      <w:r w:rsidR="00AA3748" w:rsidRPr="00564A46">
        <w:rPr>
          <w:rFonts w:asciiTheme="minorHAnsi" w:hAnsiTheme="minorHAnsi"/>
          <w:color w:val="000000" w:themeColor="text1"/>
        </w:rPr>
        <w:t>1.4-</w:t>
      </w:r>
      <w:r w:rsidR="00160BDF" w:rsidRPr="00564A46">
        <w:rPr>
          <w:rFonts w:asciiTheme="minorHAnsi" w:hAnsiTheme="minorHAnsi"/>
          <w:color w:val="000000" w:themeColor="text1"/>
        </w:rPr>
        <w:t>fold difference in 50 mM buffer, and a</w:t>
      </w:r>
      <w:r w:rsidR="00300F65" w:rsidRPr="00564A46">
        <w:rPr>
          <w:rFonts w:asciiTheme="minorHAnsi" w:hAnsiTheme="minorHAnsi"/>
          <w:color w:val="000000" w:themeColor="text1"/>
        </w:rPr>
        <w:t xml:space="preserve"> </w:t>
      </w:r>
      <w:r w:rsidR="00AA3748" w:rsidRPr="00564A46">
        <w:rPr>
          <w:rFonts w:asciiTheme="minorHAnsi" w:hAnsiTheme="minorHAnsi"/>
          <w:color w:val="000000" w:themeColor="text1"/>
        </w:rPr>
        <w:t>1.6-fold</w:t>
      </w:r>
      <w:r w:rsidR="00300F65" w:rsidRPr="00564A46">
        <w:rPr>
          <w:rFonts w:asciiTheme="minorHAnsi" w:hAnsiTheme="minorHAnsi"/>
          <w:color w:val="000000" w:themeColor="text1"/>
        </w:rPr>
        <w:t xml:space="preserve"> difference</w:t>
      </w:r>
      <w:r w:rsidR="00160BDF" w:rsidRPr="00564A46">
        <w:rPr>
          <w:rFonts w:asciiTheme="minorHAnsi" w:hAnsiTheme="minorHAnsi"/>
          <w:color w:val="000000" w:themeColor="text1"/>
        </w:rPr>
        <w:t xml:space="preserve"> in 0.3 mM buffer.</w:t>
      </w:r>
      <w:r w:rsidRPr="00564A46">
        <w:rPr>
          <w:rFonts w:asciiTheme="minorHAnsi" w:hAnsiTheme="minorHAnsi"/>
          <w:color w:val="000000" w:themeColor="text1"/>
        </w:rPr>
        <w:t xml:space="preserve"> </w:t>
      </w:r>
    </w:p>
    <w:p w14:paraId="10C3B0A8" w14:textId="77777777" w:rsidR="00BC796B" w:rsidRPr="00564A46" w:rsidRDefault="00BC796B">
      <w:pPr>
        <w:spacing w:after="160" w:line="259" w:lineRule="auto"/>
        <w:rPr>
          <w:rFonts w:asciiTheme="minorHAnsi" w:hAnsiTheme="minorHAnsi"/>
          <w:b/>
          <w:i/>
          <w:color w:val="000000" w:themeColor="text1"/>
        </w:rPr>
      </w:pPr>
      <w:r w:rsidRPr="00564A46">
        <w:rPr>
          <w:rFonts w:asciiTheme="minorHAnsi" w:hAnsiTheme="minorHAnsi"/>
          <w:b/>
          <w:i/>
          <w:color w:val="000000" w:themeColor="text1"/>
        </w:rPr>
        <w:br w:type="page"/>
      </w:r>
    </w:p>
    <w:p w14:paraId="0EEF33CF" w14:textId="1B832233" w:rsidR="00534CEA" w:rsidRPr="00564A46" w:rsidRDefault="00534CEA" w:rsidP="00963D35">
      <w:pPr>
        <w:spacing w:after="240"/>
        <w:rPr>
          <w:rFonts w:asciiTheme="minorHAnsi" w:hAnsiTheme="minorHAnsi"/>
          <w:b/>
          <w:i/>
          <w:color w:val="000000" w:themeColor="text1"/>
        </w:rPr>
      </w:pPr>
      <w:r w:rsidRPr="00564A46">
        <w:rPr>
          <w:rFonts w:asciiTheme="minorHAnsi" w:hAnsiTheme="minorHAnsi"/>
          <w:b/>
          <w:i/>
          <w:color w:val="000000" w:themeColor="text1"/>
        </w:rPr>
        <w:lastRenderedPageBreak/>
        <w:t>Neutral compounds</w:t>
      </w:r>
    </w:p>
    <w:p w14:paraId="4FC3C091" w14:textId="45F15DED" w:rsidR="00534CEA" w:rsidRPr="00564A46" w:rsidRDefault="00534CEA" w:rsidP="00963D35">
      <w:pPr>
        <w:spacing w:after="240"/>
        <w:rPr>
          <w:rFonts w:asciiTheme="minorHAnsi" w:hAnsiTheme="minorHAnsi"/>
          <w:color w:val="000000" w:themeColor="text1"/>
        </w:rPr>
      </w:pPr>
      <w:r w:rsidRPr="00564A46">
        <w:rPr>
          <w:rFonts w:asciiTheme="minorHAnsi" w:hAnsiTheme="minorHAnsi"/>
          <w:color w:val="000000" w:themeColor="text1"/>
        </w:rPr>
        <w:t>Danazol (</w:t>
      </w:r>
      <w:r w:rsidR="00ED49AD" w:rsidRPr="00564A46">
        <w:rPr>
          <w:rFonts w:asciiTheme="minorHAnsi" w:hAnsiTheme="minorHAnsi"/>
          <w:color w:val="000000" w:themeColor="text1"/>
        </w:rPr>
        <w:t>l</w:t>
      </w:r>
      <w:r w:rsidR="00300F65" w:rsidRPr="00564A46">
        <w:rPr>
          <w:rFonts w:asciiTheme="minorHAnsi" w:hAnsiTheme="minorHAnsi"/>
          <w:color w:val="000000" w:themeColor="text1"/>
        </w:rPr>
        <w:t>og P</w:t>
      </w:r>
      <w:r w:rsidR="00ED49AD" w:rsidRPr="00564A46">
        <w:rPr>
          <w:rFonts w:asciiTheme="minorHAnsi" w:hAnsiTheme="minorHAnsi"/>
          <w:color w:val="000000" w:themeColor="text1"/>
        </w:rPr>
        <w:t>/log D</w:t>
      </w:r>
      <w:r w:rsidR="00ED49AD" w:rsidRPr="00564A46">
        <w:rPr>
          <w:rFonts w:asciiTheme="minorHAnsi" w:hAnsiTheme="minorHAnsi"/>
          <w:color w:val="000000" w:themeColor="text1"/>
          <w:vertAlign w:val="subscript"/>
        </w:rPr>
        <w:t>6.5</w:t>
      </w:r>
      <w:r w:rsidR="00300F65" w:rsidRPr="00564A46">
        <w:rPr>
          <w:rFonts w:asciiTheme="minorHAnsi" w:hAnsiTheme="minorHAnsi"/>
          <w:color w:val="000000" w:themeColor="text1"/>
          <w:vertAlign w:val="subscript"/>
        </w:rPr>
        <w:t xml:space="preserve"> </w:t>
      </w:r>
      <w:r w:rsidRPr="00564A46">
        <w:rPr>
          <w:rFonts w:asciiTheme="minorHAnsi" w:hAnsiTheme="minorHAnsi"/>
          <w:color w:val="000000" w:themeColor="text1"/>
        </w:rPr>
        <w:t>&gt;</w:t>
      </w:r>
      <w:r w:rsidR="00300F65" w:rsidRPr="00564A46">
        <w:rPr>
          <w:rFonts w:asciiTheme="minorHAnsi" w:hAnsiTheme="minorHAnsi"/>
          <w:color w:val="000000" w:themeColor="text1"/>
        </w:rPr>
        <w:t xml:space="preserve"> </w:t>
      </w:r>
      <w:r w:rsidRPr="00564A46">
        <w:rPr>
          <w:rFonts w:asciiTheme="minorHAnsi" w:hAnsiTheme="minorHAnsi"/>
          <w:color w:val="000000" w:themeColor="text1"/>
        </w:rPr>
        <w:t>3) and prednisolone (</w:t>
      </w:r>
      <w:r w:rsidR="00ED49AD" w:rsidRPr="00564A46">
        <w:rPr>
          <w:rFonts w:asciiTheme="minorHAnsi" w:hAnsiTheme="minorHAnsi"/>
          <w:color w:val="000000" w:themeColor="text1"/>
        </w:rPr>
        <w:t>l</w:t>
      </w:r>
      <w:r w:rsidR="00300F65" w:rsidRPr="00564A46">
        <w:rPr>
          <w:rFonts w:asciiTheme="minorHAnsi" w:hAnsiTheme="minorHAnsi"/>
          <w:color w:val="000000" w:themeColor="text1"/>
        </w:rPr>
        <w:t>og</w:t>
      </w:r>
      <w:r w:rsidR="00ED49AD" w:rsidRPr="00564A46">
        <w:rPr>
          <w:rFonts w:asciiTheme="minorHAnsi" w:hAnsiTheme="minorHAnsi"/>
          <w:color w:val="000000" w:themeColor="text1"/>
        </w:rPr>
        <w:t xml:space="preserve"> </w:t>
      </w:r>
      <w:r w:rsidR="00300F65" w:rsidRPr="00564A46">
        <w:rPr>
          <w:rFonts w:asciiTheme="minorHAnsi" w:hAnsiTheme="minorHAnsi"/>
          <w:color w:val="000000" w:themeColor="text1"/>
        </w:rPr>
        <w:t>P</w:t>
      </w:r>
      <w:r w:rsidR="00ED49AD" w:rsidRPr="00564A46">
        <w:rPr>
          <w:rFonts w:asciiTheme="minorHAnsi" w:hAnsiTheme="minorHAnsi"/>
          <w:color w:val="000000" w:themeColor="text1"/>
        </w:rPr>
        <w:t>/ log D</w:t>
      </w:r>
      <w:r w:rsidR="00ED49AD" w:rsidRPr="00564A46">
        <w:rPr>
          <w:rFonts w:asciiTheme="minorHAnsi" w:hAnsiTheme="minorHAnsi"/>
          <w:color w:val="000000" w:themeColor="text1"/>
          <w:vertAlign w:val="subscript"/>
        </w:rPr>
        <w:t>6.</w:t>
      </w:r>
      <w:proofErr w:type="gramStart"/>
      <w:r w:rsidR="00ED49AD" w:rsidRPr="00564A46">
        <w:rPr>
          <w:rFonts w:asciiTheme="minorHAnsi" w:hAnsiTheme="minorHAnsi"/>
          <w:color w:val="000000" w:themeColor="text1"/>
          <w:vertAlign w:val="subscript"/>
        </w:rPr>
        <w:t xml:space="preserve">5  </w:t>
      </w:r>
      <w:r w:rsidRPr="00564A46">
        <w:rPr>
          <w:rFonts w:asciiTheme="minorHAnsi" w:hAnsiTheme="minorHAnsi"/>
          <w:color w:val="000000" w:themeColor="text1"/>
        </w:rPr>
        <w:t>&lt;</w:t>
      </w:r>
      <w:proofErr w:type="gramEnd"/>
      <w:r w:rsidR="00300F65" w:rsidRPr="00564A46">
        <w:rPr>
          <w:rFonts w:asciiTheme="minorHAnsi" w:hAnsiTheme="minorHAnsi"/>
          <w:color w:val="000000" w:themeColor="text1"/>
        </w:rPr>
        <w:t xml:space="preserve"> </w:t>
      </w:r>
      <w:r w:rsidRPr="00564A46">
        <w:rPr>
          <w:rFonts w:asciiTheme="minorHAnsi" w:hAnsiTheme="minorHAnsi"/>
          <w:color w:val="000000" w:themeColor="text1"/>
        </w:rPr>
        <w:t xml:space="preserve">3) were selected as two model compounds to evaluate the effect of addition of </w:t>
      </w:r>
      <w:r w:rsidR="00E8007D" w:rsidRPr="00564A46">
        <w:rPr>
          <w:rFonts w:asciiTheme="minorHAnsi" w:hAnsiTheme="minorHAnsi"/>
          <w:color w:val="000000" w:themeColor="text1"/>
        </w:rPr>
        <w:t>bile salts and phospholipids</w:t>
      </w:r>
      <w:r w:rsidRPr="00564A46">
        <w:rPr>
          <w:rFonts w:asciiTheme="minorHAnsi" w:hAnsiTheme="minorHAnsi"/>
          <w:color w:val="000000" w:themeColor="text1"/>
        </w:rPr>
        <w:t>. For these compounds</w:t>
      </w:r>
      <w:r w:rsidR="00AF0398" w:rsidRPr="00564A46">
        <w:rPr>
          <w:rFonts w:asciiTheme="minorHAnsi" w:hAnsiTheme="minorHAnsi"/>
          <w:color w:val="000000" w:themeColor="text1"/>
        </w:rPr>
        <w:t>,</w:t>
      </w:r>
      <w:r w:rsidRPr="00564A46">
        <w:rPr>
          <w:rFonts w:asciiTheme="minorHAnsi" w:hAnsiTheme="minorHAnsi"/>
          <w:color w:val="000000" w:themeColor="text1"/>
        </w:rPr>
        <w:t xml:space="preserve"> </w:t>
      </w:r>
      <w:r w:rsidR="00250A24" w:rsidRPr="00564A46">
        <w:rPr>
          <w:rFonts w:asciiTheme="minorHAnsi" w:hAnsiTheme="minorHAnsi"/>
          <w:color w:val="000000" w:themeColor="text1"/>
        </w:rPr>
        <w:t xml:space="preserve">no difference </w:t>
      </w:r>
      <w:r w:rsidR="00AF0398" w:rsidRPr="00564A46">
        <w:rPr>
          <w:rFonts w:asciiTheme="minorHAnsi" w:hAnsiTheme="minorHAnsi"/>
          <w:color w:val="000000" w:themeColor="text1"/>
        </w:rPr>
        <w:t xml:space="preserve">in dissolution rate as a function of buffer concentration </w:t>
      </w:r>
      <w:r w:rsidR="00250A24" w:rsidRPr="00564A46">
        <w:rPr>
          <w:rFonts w:asciiTheme="minorHAnsi" w:hAnsiTheme="minorHAnsi"/>
          <w:color w:val="000000" w:themeColor="text1"/>
        </w:rPr>
        <w:t>was expected</w:t>
      </w:r>
      <w:r w:rsidR="00AF0398" w:rsidRPr="00564A46">
        <w:rPr>
          <w:rFonts w:asciiTheme="minorHAnsi" w:hAnsiTheme="minorHAnsi"/>
          <w:color w:val="000000" w:themeColor="text1"/>
        </w:rPr>
        <w:t xml:space="preserve">. This expectation was confirmed as evidenced by a 0.9-fold and 1.1-fold difference in the presence and absence of BS/PL, respectively, for danazol, and a 0.9-fold difference both in the presence and absence of BS/PL for prednisolone. </w:t>
      </w:r>
      <w:r w:rsidR="00785137" w:rsidRPr="00564A46">
        <w:rPr>
          <w:rFonts w:asciiTheme="minorHAnsi" w:hAnsiTheme="minorHAnsi"/>
          <w:color w:val="000000" w:themeColor="text1"/>
        </w:rPr>
        <w:t>As a non-lipophilic compound</w:t>
      </w:r>
      <w:r w:rsidR="00AF0398" w:rsidRPr="00564A46">
        <w:rPr>
          <w:rFonts w:asciiTheme="minorHAnsi" w:hAnsiTheme="minorHAnsi"/>
          <w:color w:val="000000" w:themeColor="text1"/>
        </w:rPr>
        <w:t>,</w:t>
      </w:r>
      <w:r w:rsidR="00785137" w:rsidRPr="00564A46">
        <w:rPr>
          <w:rFonts w:asciiTheme="minorHAnsi" w:hAnsiTheme="minorHAnsi"/>
          <w:color w:val="000000" w:themeColor="text1"/>
        </w:rPr>
        <w:t xml:space="preserve"> </w:t>
      </w:r>
      <w:r w:rsidRPr="00564A46">
        <w:rPr>
          <w:rFonts w:asciiTheme="minorHAnsi" w:hAnsiTheme="minorHAnsi"/>
          <w:color w:val="000000" w:themeColor="text1"/>
        </w:rPr>
        <w:t>prednisolone</w:t>
      </w:r>
      <w:r w:rsidR="00AF0398" w:rsidRPr="00564A46">
        <w:rPr>
          <w:rFonts w:asciiTheme="minorHAnsi" w:hAnsiTheme="minorHAnsi"/>
          <w:color w:val="000000" w:themeColor="text1"/>
        </w:rPr>
        <w:t xml:space="preserve"> was not expected</w:t>
      </w:r>
      <w:r w:rsidRPr="00564A46">
        <w:rPr>
          <w:rFonts w:asciiTheme="minorHAnsi" w:hAnsiTheme="minorHAnsi"/>
          <w:color w:val="000000" w:themeColor="text1"/>
        </w:rPr>
        <w:t xml:space="preserve"> </w:t>
      </w:r>
      <w:r w:rsidR="00785137" w:rsidRPr="00564A46">
        <w:rPr>
          <w:rFonts w:asciiTheme="minorHAnsi" w:hAnsiTheme="minorHAnsi"/>
          <w:color w:val="000000" w:themeColor="text1"/>
        </w:rPr>
        <w:t>t</w:t>
      </w:r>
      <w:r w:rsidRPr="00564A46">
        <w:rPr>
          <w:rFonts w:asciiTheme="minorHAnsi" w:hAnsiTheme="minorHAnsi"/>
          <w:color w:val="000000" w:themeColor="text1"/>
        </w:rPr>
        <w:t xml:space="preserve">o show increased </w:t>
      </w:r>
      <w:r w:rsidR="00AF0398" w:rsidRPr="00564A46">
        <w:rPr>
          <w:rFonts w:asciiTheme="minorHAnsi" w:hAnsiTheme="minorHAnsi"/>
          <w:color w:val="000000" w:themeColor="text1"/>
        </w:rPr>
        <w:t>dissolution rate</w:t>
      </w:r>
      <w:r w:rsidRPr="00564A46">
        <w:rPr>
          <w:rFonts w:asciiTheme="minorHAnsi" w:hAnsiTheme="minorHAnsi"/>
          <w:color w:val="000000" w:themeColor="text1"/>
        </w:rPr>
        <w:t xml:space="preserve"> when exposed to </w:t>
      </w:r>
      <w:r w:rsidR="00E8007D" w:rsidRPr="00564A46">
        <w:rPr>
          <w:rFonts w:asciiTheme="minorHAnsi" w:hAnsiTheme="minorHAnsi"/>
          <w:color w:val="000000" w:themeColor="text1"/>
        </w:rPr>
        <w:t>bile salts and phospholipids</w:t>
      </w:r>
      <w:r w:rsidR="00AF0398" w:rsidRPr="00564A46">
        <w:rPr>
          <w:rFonts w:asciiTheme="minorHAnsi" w:hAnsiTheme="minorHAnsi"/>
          <w:color w:val="000000" w:themeColor="text1"/>
        </w:rPr>
        <w:t>, and no experimental difference was observed. Danazol</w:t>
      </w:r>
      <w:r w:rsidRPr="00564A46">
        <w:rPr>
          <w:rFonts w:asciiTheme="minorHAnsi" w:hAnsiTheme="minorHAnsi"/>
          <w:color w:val="000000" w:themeColor="text1"/>
        </w:rPr>
        <w:t>, which is highly lipo</w:t>
      </w:r>
      <w:r w:rsidR="00E8007D" w:rsidRPr="00564A46">
        <w:rPr>
          <w:rFonts w:asciiTheme="minorHAnsi" w:hAnsiTheme="minorHAnsi"/>
          <w:color w:val="000000" w:themeColor="text1"/>
        </w:rPr>
        <w:t>p</w:t>
      </w:r>
      <w:r w:rsidRPr="00564A46">
        <w:rPr>
          <w:rFonts w:asciiTheme="minorHAnsi" w:hAnsiTheme="minorHAnsi"/>
          <w:color w:val="000000" w:themeColor="text1"/>
        </w:rPr>
        <w:t>hilic, was expected to show an increased dissolution rate</w:t>
      </w:r>
      <w:r w:rsidR="00AF0398" w:rsidRPr="00564A46">
        <w:rPr>
          <w:rFonts w:asciiTheme="minorHAnsi" w:hAnsiTheme="minorHAnsi"/>
          <w:color w:val="000000" w:themeColor="text1"/>
        </w:rPr>
        <w:t xml:space="preserve"> in the presence of BS/PL</w:t>
      </w:r>
      <w:r w:rsidRPr="00564A46">
        <w:rPr>
          <w:rFonts w:asciiTheme="minorHAnsi" w:hAnsiTheme="minorHAnsi"/>
          <w:color w:val="000000" w:themeColor="text1"/>
        </w:rPr>
        <w:t xml:space="preserve">. The experiments confirmed </w:t>
      </w:r>
      <w:r w:rsidR="00AF0398" w:rsidRPr="00564A46">
        <w:rPr>
          <w:rFonts w:asciiTheme="minorHAnsi" w:hAnsiTheme="minorHAnsi"/>
          <w:color w:val="000000" w:themeColor="text1"/>
        </w:rPr>
        <w:t>an increase in dissolution rate of 1.7-fold in both 50 mM and 10 mM buffer.</w:t>
      </w:r>
    </w:p>
    <w:p w14:paraId="4FD6067C" w14:textId="77777777" w:rsidR="00BF1AAC" w:rsidRPr="00564A46" w:rsidRDefault="00BF1AAC">
      <w:pPr>
        <w:spacing w:after="160" w:line="259" w:lineRule="auto"/>
        <w:rPr>
          <w:rFonts w:asciiTheme="minorHAnsi" w:hAnsiTheme="minorHAnsi"/>
          <w:b/>
          <w:color w:val="000000" w:themeColor="text1"/>
        </w:rPr>
      </w:pPr>
      <w:r w:rsidRPr="00564A46">
        <w:rPr>
          <w:rFonts w:asciiTheme="minorHAnsi" w:hAnsiTheme="minorHAnsi"/>
          <w:b/>
          <w:color w:val="000000" w:themeColor="text1"/>
        </w:rPr>
        <w:br w:type="page"/>
      </w:r>
    </w:p>
    <w:p w14:paraId="6D7097FE" w14:textId="106D655B" w:rsidR="00D92445" w:rsidRPr="00564A46" w:rsidRDefault="00D92445" w:rsidP="00963D35">
      <w:pPr>
        <w:widowControl w:val="0"/>
        <w:autoSpaceDE w:val="0"/>
        <w:autoSpaceDN w:val="0"/>
        <w:adjustRightInd w:val="0"/>
        <w:spacing w:after="240"/>
        <w:jc w:val="center"/>
        <w:rPr>
          <w:rFonts w:asciiTheme="minorHAnsi" w:hAnsiTheme="minorHAnsi"/>
          <w:color w:val="000000" w:themeColor="text1"/>
        </w:rPr>
      </w:pPr>
      <w:r w:rsidRPr="00564A46">
        <w:rPr>
          <w:rFonts w:asciiTheme="minorHAnsi" w:hAnsiTheme="minorHAnsi"/>
          <w:b/>
          <w:color w:val="000000" w:themeColor="text1"/>
        </w:rPr>
        <w:lastRenderedPageBreak/>
        <w:t xml:space="preserve">Table </w:t>
      </w:r>
      <w:r w:rsidR="00C112B7" w:rsidRPr="00564A46">
        <w:rPr>
          <w:rFonts w:asciiTheme="minorHAnsi" w:hAnsiTheme="minorHAnsi"/>
          <w:b/>
          <w:color w:val="000000" w:themeColor="text1"/>
        </w:rPr>
        <w:t>S1</w:t>
      </w:r>
      <w:r w:rsidRPr="00564A46">
        <w:rPr>
          <w:rFonts w:asciiTheme="minorHAnsi" w:hAnsiTheme="minorHAnsi"/>
          <w:b/>
          <w:color w:val="000000" w:themeColor="text1"/>
        </w:rPr>
        <w:t>.</w:t>
      </w:r>
      <w:r w:rsidRPr="00564A46">
        <w:rPr>
          <w:rFonts w:asciiTheme="minorHAnsi" w:hAnsiTheme="minorHAnsi"/>
          <w:color w:val="000000" w:themeColor="text1"/>
        </w:rPr>
        <w:t xml:space="preserve"> Model compounds</w:t>
      </w:r>
      <w:r w:rsidR="00C112B7" w:rsidRPr="00564A46">
        <w:rPr>
          <w:rFonts w:asciiTheme="minorHAnsi" w:hAnsiTheme="minorHAnsi"/>
          <w:color w:val="000000" w:themeColor="text1"/>
        </w:rPr>
        <w:t xml:space="preserve"> tested</w:t>
      </w:r>
      <w:r w:rsidRPr="00564A46">
        <w:rPr>
          <w:rFonts w:asciiTheme="minorHAnsi" w:hAnsiTheme="minorHAnsi"/>
          <w:color w:val="000000" w:themeColor="text1"/>
        </w:rPr>
        <w:t xml:space="preserve"> for </w:t>
      </w:r>
      <w:r w:rsidR="006A1279" w:rsidRPr="00564A46">
        <w:rPr>
          <w:rFonts w:asciiTheme="minorHAnsi" w:hAnsiTheme="minorHAnsi"/>
          <w:color w:val="000000" w:themeColor="text1"/>
        </w:rPr>
        <w:t xml:space="preserve">confirmation of </w:t>
      </w:r>
      <w:r w:rsidR="00665575" w:rsidRPr="00564A46">
        <w:rPr>
          <w:rFonts w:asciiTheme="minorHAnsi" w:hAnsiTheme="minorHAnsi"/>
          <w:color w:val="000000" w:themeColor="text1"/>
        </w:rPr>
        <w:t>recommendations</w:t>
      </w:r>
    </w:p>
    <w:tbl>
      <w:tblPr>
        <w:tblStyle w:val="TableGrid"/>
        <w:tblW w:w="5000" w:type="pct"/>
        <w:tblLook w:val="04A0" w:firstRow="1" w:lastRow="0" w:firstColumn="1" w:lastColumn="0" w:noHBand="0" w:noVBand="1"/>
      </w:tblPr>
      <w:tblGrid>
        <w:gridCol w:w="1761"/>
        <w:gridCol w:w="2425"/>
        <w:gridCol w:w="1775"/>
        <w:gridCol w:w="1459"/>
        <w:gridCol w:w="1930"/>
      </w:tblGrid>
      <w:tr w:rsidR="00564A46" w:rsidRPr="00564A46" w:rsidDel="004378F4" w14:paraId="369333D8" w14:textId="77777777" w:rsidTr="00963D35">
        <w:trPr>
          <w:trHeight w:val="360"/>
        </w:trPr>
        <w:tc>
          <w:tcPr>
            <w:tcW w:w="942" w:type="pct"/>
            <w:noWrap/>
            <w:vAlign w:val="center"/>
            <w:hideMark/>
          </w:tcPr>
          <w:p w14:paraId="1383D287" w14:textId="77777777" w:rsidR="00D92445" w:rsidRPr="00564A46" w:rsidRDefault="00D92445" w:rsidP="00AC464A">
            <w:pPr>
              <w:spacing w:line="240" w:lineRule="auto"/>
              <w:rPr>
                <w:rFonts w:asciiTheme="minorHAnsi" w:eastAsia="Times New Roman" w:hAnsiTheme="minorHAnsi"/>
                <w:b/>
                <w:color w:val="000000" w:themeColor="text1"/>
                <w:sz w:val="20"/>
                <w:szCs w:val="20"/>
                <w:vertAlign w:val="subscript"/>
              </w:rPr>
            </w:pPr>
            <w:proofErr w:type="spellStart"/>
            <w:r w:rsidRPr="00564A46">
              <w:rPr>
                <w:rFonts w:asciiTheme="minorHAnsi" w:eastAsia="Times New Roman" w:hAnsiTheme="minorHAnsi"/>
                <w:b/>
                <w:color w:val="000000" w:themeColor="text1"/>
                <w:sz w:val="20"/>
                <w:szCs w:val="20"/>
              </w:rPr>
              <w:t>Compound</w:t>
            </w:r>
            <w:r w:rsidRPr="00564A46">
              <w:rPr>
                <w:rFonts w:asciiTheme="minorHAnsi" w:eastAsia="Times New Roman" w:hAnsiTheme="minorHAnsi"/>
                <w:b/>
                <w:color w:val="000000" w:themeColor="text1"/>
                <w:sz w:val="20"/>
                <w:szCs w:val="20"/>
                <w:vertAlign w:val="superscript"/>
              </w:rPr>
              <w:t>a</w:t>
            </w:r>
            <w:proofErr w:type="spellEnd"/>
          </w:p>
        </w:tc>
        <w:tc>
          <w:tcPr>
            <w:tcW w:w="1297" w:type="pct"/>
            <w:vAlign w:val="center"/>
          </w:tcPr>
          <w:p w14:paraId="43304435" w14:textId="766FA8C6" w:rsidR="00D92445" w:rsidRPr="00564A46" w:rsidRDefault="00324244" w:rsidP="00963D35">
            <w:pPr>
              <w:spacing w:line="240" w:lineRule="auto"/>
              <w:jc w:val="center"/>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t>Compound Type</w:t>
            </w:r>
          </w:p>
        </w:tc>
        <w:tc>
          <w:tcPr>
            <w:tcW w:w="949" w:type="pct"/>
            <w:noWrap/>
            <w:vAlign w:val="center"/>
            <w:hideMark/>
          </w:tcPr>
          <w:p w14:paraId="2DB583D1" w14:textId="77777777" w:rsidR="00D92445" w:rsidRPr="00564A46" w:rsidRDefault="00D92445" w:rsidP="00963D35">
            <w:pPr>
              <w:spacing w:line="240" w:lineRule="auto"/>
              <w:jc w:val="center"/>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t>pK</w:t>
            </w:r>
            <w:r w:rsidRPr="00564A46">
              <w:rPr>
                <w:rFonts w:asciiTheme="minorHAnsi" w:eastAsia="Times New Roman" w:hAnsiTheme="minorHAnsi"/>
                <w:b/>
                <w:color w:val="000000" w:themeColor="text1"/>
                <w:sz w:val="20"/>
                <w:szCs w:val="20"/>
                <w:vertAlign w:val="subscript"/>
              </w:rPr>
              <w:t>a</w:t>
            </w:r>
          </w:p>
        </w:tc>
        <w:tc>
          <w:tcPr>
            <w:tcW w:w="780" w:type="pct"/>
            <w:noWrap/>
            <w:vAlign w:val="center"/>
            <w:hideMark/>
          </w:tcPr>
          <w:p w14:paraId="278EA53F" w14:textId="5E5C334D" w:rsidR="00D92445" w:rsidRPr="00564A46" w:rsidRDefault="00526A2F" w:rsidP="00963D35">
            <w:pPr>
              <w:spacing w:line="240" w:lineRule="auto"/>
              <w:jc w:val="center"/>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t>l</w:t>
            </w:r>
            <w:r w:rsidR="00E8007D" w:rsidRPr="00564A46">
              <w:rPr>
                <w:rFonts w:asciiTheme="minorHAnsi" w:eastAsia="Times New Roman" w:hAnsiTheme="minorHAnsi"/>
                <w:b/>
                <w:color w:val="000000" w:themeColor="text1"/>
                <w:sz w:val="20"/>
                <w:szCs w:val="20"/>
              </w:rPr>
              <w:t>og D</w:t>
            </w:r>
            <w:r w:rsidR="00E8007D" w:rsidRPr="00564A46">
              <w:rPr>
                <w:rFonts w:asciiTheme="minorHAnsi" w:eastAsia="Times New Roman" w:hAnsiTheme="minorHAnsi"/>
                <w:b/>
                <w:color w:val="000000" w:themeColor="text1"/>
                <w:sz w:val="20"/>
                <w:szCs w:val="20"/>
                <w:vertAlign w:val="subscript"/>
              </w:rPr>
              <w:t>6</w:t>
            </w:r>
            <w:r w:rsidR="00D92445" w:rsidRPr="00564A46">
              <w:rPr>
                <w:rFonts w:asciiTheme="minorHAnsi" w:eastAsia="Times New Roman" w:hAnsiTheme="minorHAnsi"/>
                <w:b/>
                <w:color w:val="000000" w:themeColor="text1"/>
                <w:sz w:val="20"/>
                <w:szCs w:val="20"/>
                <w:vertAlign w:val="subscript"/>
              </w:rPr>
              <w:t>.5</w:t>
            </w:r>
          </w:p>
        </w:tc>
        <w:tc>
          <w:tcPr>
            <w:tcW w:w="1032" w:type="pct"/>
            <w:noWrap/>
            <w:vAlign w:val="center"/>
            <w:hideMark/>
          </w:tcPr>
          <w:p w14:paraId="26661DD5" w14:textId="48434E09" w:rsidR="00D92445" w:rsidRPr="00564A46" w:rsidRDefault="00D92445" w:rsidP="003F6FEE">
            <w:pPr>
              <w:spacing w:line="240" w:lineRule="auto"/>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t>S</w:t>
            </w:r>
            <w:r w:rsidR="00526A2F" w:rsidRPr="00564A46">
              <w:rPr>
                <w:rFonts w:asciiTheme="minorHAnsi" w:eastAsia="Times New Roman" w:hAnsiTheme="minorHAnsi"/>
                <w:b/>
                <w:color w:val="000000" w:themeColor="text1"/>
                <w:sz w:val="20"/>
                <w:szCs w:val="20"/>
                <w:vertAlign w:val="subscript"/>
              </w:rPr>
              <w:t>o</w:t>
            </w:r>
            <w:r w:rsidRPr="00564A46">
              <w:rPr>
                <w:rFonts w:asciiTheme="minorHAnsi" w:eastAsia="Times New Roman" w:hAnsiTheme="minorHAnsi"/>
                <w:b/>
                <w:color w:val="000000" w:themeColor="text1"/>
                <w:sz w:val="20"/>
                <w:szCs w:val="20"/>
              </w:rPr>
              <w:t xml:space="preserve"> (µg/mL)</w:t>
            </w:r>
          </w:p>
        </w:tc>
      </w:tr>
      <w:tr w:rsidR="00564A46" w:rsidRPr="00564A46" w:rsidDel="004378F4" w14:paraId="3652F57F" w14:textId="77777777" w:rsidTr="00963D35">
        <w:trPr>
          <w:trHeight w:val="360"/>
        </w:trPr>
        <w:tc>
          <w:tcPr>
            <w:tcW w:w="942" w:type="pct"/>
            <w:noWrap/>
            <w:vAlign w:val="center"/>
            <w:hideMark/>
          </w:tcPr>
          <w:p w14:paraId="4838B98A" w14:textId="77777777"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Atenolol</w:t>
            </w:r>
          </w:p>
        </w:tc>
        <w:tc>
          <w:tcPr>
            <w:tcW w:w="1297" w:type="pct"/>
            <w:vAlign w:val="center"/>
          </w:tcPr>
          <w:p w14:paraId="4332B554"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Base</w:t>
            </w:r>
          </w:p>
        </w:tc>
        <w:tc>
          <w:tcPr>
            <w:tcW w:w="949" w:type="pct"/>
            <w:noWrap/>
            <w:vAlign w:val="center"/>
          </w:tcPr>
          <w:p w14:paraId="0B633B53" w14:textId="1EE71F3C"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9.5</w:t>
            </w:r>
            <w:r w:rsidRPr="00564A46">
              <w:rPr>
                <w:rFonts w:asciiTheme="minorHAnsi" w:eastAsia="Times New Roman" w:hAnsiTheme="minorHAnsi"/>
                <w:color w:val="000000" w:themeColor="text1"/>
                <w:sz w:val="20"/>
                <w:szCs w:val="20"/>
                <w:vertAlign w:val="superscript"/>
              </w:rPr>
              <w:t>b</w:t>
            </w:r>
          </w:p>
        </w:tc>
        <w:tc>
          <w:tcPr>
            <w:tcW w:w="780" w:type="pct"/>
            <w:noWrap/>
            <w:vAlign w:val="center"/>
          </w:tcPr>
          <w:p w14:paraId="78E79087"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-2.8</w:t>
            </w:r>
            <w:r w:rsidRPr="00564A46">
              <w:rPr>
                <w:rFonts w:asciiTheme="minorHAnsi" w:eastAsia="Times New Roman" w:hAnsiTheme="minorHAnsi"/>
                <w:color w:val="000000" w:themeColor="text1"/>
                <w:sz w:val="20"/>
                <w:szCs w:val="20"/>
                <w:vertAlign w:val="superscript"/>
              </w:rPr>
              <w:t>c</w:t>
            </w:r>
          </w:p>
        </w:tc>
        <w:tc>
          <w:tcPr>
            <w:tcW w:w="1032" w:type="pct"/>
            <w:noWrap/>
            <w:vAlign w:val="center"/>
          </w:tcPr>
          <w:p w14:paraId="66A07FC7"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13,500</w:t>
            </w:r>
            <w:r w:rsidRPr="00564A46">
              <w:rPr>
                <w:rFonts w:asciiTheme="minorHAnsi" w:eastAsia="Times New Roman" w:hAnsiTheme="minorHAnsi"/>
                <w:color w:val="000000" w:themeColor="text1"/>
                <w:sz w:val="20"/>
                <w:szCs w:val="20"/>
                <w:vertAlign w:val="superscript"/>
              </w:rPr>
              <w:t>b</w:t>
            </w:r>
          </w:p>
        </w:tc>
      </w:tr>
      <w:tr w:rsidR="00564A46" w:rsidRPr="00564A46" w:rsidDel="00FB34DF" w14:paraId="205F3D27" w14:textId="77777777" w:rsidTr="00963D35">
        <w:trPr>
          <w:trHeight w:val="360"/>
        </w:trPr>
        <w:tc>
          <w:tcPr>
            <w:tcW w:w="942" w:type="pct"/>
            <w:noWrap/>
            <w:vAlign w:val="center"/>
          </w:tcPr>
          <w:p w14:paraId="27A0DACF" w14:textId="77777777"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Dipyridamole</w:t>
            </w:r>
          </w:p>
        </w:tc>
        <w:tc>
          <w:tcPr>
            <w:tcW w:w="1297" w:type="pct"/>
            <w:vAlign w:val="center"/>
          </w:tcPr>
          <w:p w14:paraId="60F71096"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Base</w:t>
            </w:r>
          </w:p>
        </w:tc>
        <w:tc>
          <w:tcPr>
            <w:tcW w:w="949" w:type="pct"/>
            <w:noWrap/>
            <w:vAlign w:val="center"/>
          </w:tcPr>
          <w:p w14:paraId="01443F16"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6.2</w:t>
            </w:r>
            <w:r w:rsidRPr="00564A46">
              <w:rPr>
                <w:rFonts w:asciiTheme="minorHAnsi" w:eastAsia="Times New Roman" w:hAnsiTheme="minorHAnsi"/>
                <w:color w:val="000000" w:themeColor="text1"/>
                <w:sz w:val="20"/>
                <w:szCs w:val="20"/>
                <w:vertAlign w:val="superscript"/>
              </w:rPr>
              <w:t>d</w:t>
            </w:r>
          </w:p>
        </w:tc>
        <w:tc>
          <w:tcPr>
            <w:tcW w:w="780" w:type="pct"/>
            <w:noWrap/>
            <w:vAlign w:val="center"/>
          </w:tcPr>
          <w:p w14:paraId="3234D462"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3.6</w:t>
            </w:r>
            <w:r w:rsidRPr="00564A46">
              <w:rPr>
                <w:rFonts w:asciiTheme="minorHAnsi" w:eastAsia="Times New Roman" w:hAnsiTheme="minorHAnsi"/>
                <w:color w:val="000000" w:themeColor="text1"/>
                <w:sz w:val="20"/>
                <w:szCs w:val="20"/>
                <w:vertAlign w:val="superscript"/>
              </w:rPr>
              <w:t>e</w:t>
            </w:r>
          </w:p>
        </w:tc>
        <w:tc>
          <w:tcPr>
            <w:tcW w:w="1032" w:type="pct"/>
            <w:noWrap/>
            <w:vAlign w:val="center"/>
          </w:tcPr>
          <w:p w14:paraId="2FC47F95"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14.5</w:t>
            </w:r>
            <w:r w:rsidRPr="00564A46">
              <w:rPr>
                <w:rFonts w:asciiTheme="minorHAnsi" w:eastAsia="Times New Roman" w:hAnsiTheme="minorHAnsi"/>
                <w:color w:val="000000" w:themeColor="text1"/>
                <w:sz w:val="20"/>
                <w:szCs w:val="20"/>
                <w:vertAlign w:val="superscript"/>
              </w:rPr>
              <w:t>d</w:t>
            </w:r>
          </w:p>
        </w:tc>
      </w:tr>
      <w:tr w:rsidR="00564A46" w:rsidRPr="00564A46" w:rsidDel="004378F4" w14:paraId="5A51CFB7" w14:textId="77777777" w:rsidTr="00963D35">
        <w:trPr>
          <w:trHeight w:val="360"/>
        </w:trPr>
        <w:tc>
          <w:tcPr>
            <w:tcW w:w="942" w:type="pct"/>
            <w:noWrap/>
            <w:vAlign w:val="center"/>
          </w:tcPr>
          <w:p w14:paraId="00B9BDFA" w14:textId="77777777"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Ketoconazole</w:t>
            </w:r>
          </w:p>
        </w:tc>
        <w:tc>
          <w:tcPr>
            <w:tcW w:w="1297" w:type="pct"/>
            <w:vAlign w:val="center"/>
          </w:tcPr>
          <w:p w14:paraId="70B9CF82"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Base</w:t>
            </w:r>
          </w:p>
        </w:tc>
        <w:tc>
          <w:tcPr>
            <w:tcW w:w="949" w:type="pct"/>
            <w:noWrap/>
            <w:vAlign w:val="center"/>
          </w:tcPr>
          <w:p w14:paraId="235AB2D1"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6.1</w:t>
            </w:r>
            <w:r w:rsidRPr="00564A46">
              <w:rPr>
                <w:rFonts w:asciiTheme="minorHAnsi" w:eastAsia="Times New Roman" w:hAnsiTheme="minorHAnsi"/>
                <w:color w:val="000000" w:themeColor="text1"/>
                <w:sz w:val="20"/>
                <w:szCs w:val="20"/>
                <w:vertAlign w:val="superscript"/>
              </w:rPr>
              <w:t>f</w:t>
            </w:r>
          </w:p>
        </w:tc>
        <w:tc>
          <w:tcPr>
            <w:tcW w:w="780" w:type="pct"/>
            <w:noWrap/>
            <w:vAlign w:val="center"/>
          </w:tcPr>
          <w:p w14:paraId="698AB7A4"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4.2</w:t>
            </w:r>
            <w:r w:rsidRPr="00564A46">
              <w:rPr>
                <w:rFonts w:asciiTheme="minorHAnsi" w:eastAsia="Times New Roman" w:hAnsiTheme="minorHAnsi"/>
                <w:color w:val="000000" w:themeColor="text1"/>
                <w:sz w:val="20"/>
                <w:szCs w:val="20"/>
                <w:vertAlign w:val="superscript"/>
              </w:rPr>
              <w:t>g</w:t>
            </w:r>
          </w:p>
        </w:tc>
        <w:tc>
          <w:tcPr>
            <w:tcW w:w="1032" w:type="pct"/>
            <w:noWrap/>
            <w:vAlign w:val="center"/>
          </w:tcPr>
          <w:p w14:paraId="09B405DE"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3.7</w:t>
            </w:r>
            <w:r w:rsidRPr="00564A46">
              <w:rPr>
                <w:rFonts w:asciiTheme="minorHAnsi" w:eastAsia="Times New Roman" w:hAnsiTheme="minorHAnsi"/>
                <w:color w:val="000000" w:themeColor="text1"/>
                <w:sz w:val="20"/>
                <w:szCs w:val="20"/>
                <w:vertAlign w:val="superscript"/>
              </w:rPr>
              <w:t>f</w:t>
            </w:r>
          </w:p>
        </w:tc>
      </w:tr>
      <w:tr w:rsidR="00564A46" w:rsidRPr="00564A46" w:rsidDel="004378F4" w14:paraId="3DFBB9F7" w14:textId="77777777" w:rsidTr="00963D35">
        <w:trPr>
          <w:trHeight w:val="360"/>
        </w:trPr>
        <w:tc>
          <w:tcPr>
            <w:tcW w:w="942" w:type="pct"/>
            <w:noWrap/>
            <w:vAlign w:val="center"/>
          </w:tcPr>
          <w:p w14:paraId="0F9A96EB" w14:textId="77777777"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Tamoxifen</w:t>
            </w:r>
          </w:p>
        </w:tc>
        <w:tc>
          <w:tcPr>
            <w:tcW w:w="1297" w:type="pct"/>
            <w:vAlign w:val="center"/>
          </w:tcPr>
          <w:p w14:paraId="389C7D61"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Base</w:t>
            </w:r>
          </w:p>
        </w:tc>
        <w:tc>
          <w:tcPr>
            <w:tcW w:w="949" w:type="pct"/>
            <w:noWrap/>
            <w:vAlign w:val="center"/>
          </w:tcPr>
          <w:p w14:paraId="6682BB11"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8.5</w:t>
            </w:r>
            <w:r w:rsidRPr="00564A46">
              <w:rPr>
                <w:rFonts w:asciiTheme="minorHAnsi" w:eastAsia="Times New Roman" w:hAnsiTheme="minorHAnsi"/>
                <w:color w:val="000000" w:themeColor="text1"/>
                <w:sz w:val="20"/>
                <w:szCs w:val="20"/>
                <w:vertAlign w:val="superscript"/>
              </w:rPr>
              <w:t>h</w:t>
            </w:r>
          </w:p>
        </w:tc>
        <w:tc>
          <w:tcPr>
            <w:tcW w:w="780" w:type="pct"/>
            <w:noWrap/>
            <w:vAlign w:val="center"/>
          </w:tcPr>
          <w:p w14:paraId="404F6A4B"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4.5</w:t>
            </w:r>
            <w:r w:rsidRPr="00564A46">
              <w:rPr>
                <w:rFonts w:asciiTheme="minorHAnsi" w:eastAsia="Times New Roman" w:hAnsiTheme="minorHAnsi"/>
                <w:color w:val="000000" w:themeColor="text1"/>
                <w:sz w:val="20"/>
                <w:szCs w:val="20"/>
                <w:vertAlign w:val="superscript"/>
              </w:rPr>
              <w:t>i</w:t>
            </w:r>
          </w:p>
        </w:tc>
        <w:tc>
          <w:tcPr>
            <w:tcW w:w="1032" w:type="pct"/>
            <w:noWrap/>
            <w:vAlign w:val="center"/>
          </w:tcPr>
          <w:p w14:paraId="41ADA766"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0.04</w:t>
            </w:r>
            <w:r w:rsidRPr="00564A46">
              <w:rPr>
                <w:rFonts w:asciiTheme="minorHAnsi" w:eastAsia="Times New Roman" w:hAnsiTheme="minorHAnsi"/>
                <w:color w:val="000000" w:themeColor="text1"/>
                <w:sz w:val="20"/>
                <w:szCs w:val="20"/>
                <w:vertAlign w:val="superscript"/>
              </w:rPr>
              <w:t>j</w:t>
            </w:r>
          </w:p>
        </w:tc>
      </w:tr>
      <w:tr w:rsidR="00564A46" w:rsidRPr="00564A46" w:rsidDel="004378F4" w14:paraId="6469DAB9" w14:textId="77777777" w:rsidTr="00963D35">
        <w:trPr>
          <w:trHeight w:val="360"/>
        </w:trPr>
        <w:tc>
          <w:tcPr>
            <w:tcW w:w="942" w:type="pct"/>
            <w:noWrap/>
            <w:vAlign w:val="center"/>
          </w:tcPr>
          <w:p w14:paraId="7D19FE43" w14:textId="3E21F0C2"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proofErr w:type="spellStart"/>
            <w:r w:rsidRPr="00564A46">
              <w:rPr>
                <w:rFonts w:asciiTheme="minorHAnsi" w:eastAsia="Times New Roman" w:hAnsiTheme="minorHAnsi"/>
                <w:color w:val="000000" w:themeColor="text1"/>
                <w:sz w:val="20"/>
                <w:szCs w:val="20"/>
              </w:rPr>
              <w:t>Flufenamic</w:t>
            </w:r>
            <w:proofErr w:type="spellEnd"/>
            <w:r w:rsidRPr="00564A46">
              <w:rPr>
                <w:rFonts w:asciiTheme="minorHAnsi" w:eastAsia="Times New Roman" w:hAnsiTheme="minorHAnsi"/>
                <w:color w:val="000000" w:themeColor="text1"/>
                <w:sz w:val="20"/>
                <w:szCs w:val="20"/>
              </w:rPr>
              <w:t xml:space="preserve"> </w:t>
            </w:r>
            <w:r w:rsidR="00E8007D" w:rsidRPr="00564A46">
              <w:rPr>
                <w:rFonts w:asciiTheme="minorHAnsi" w:eastAsia="Times New Roman" w:hAnsiTheme="minorHAnsi"/>
                <w:color w:val="000000" w:themeColor="text1"/>
                <w:sz w:val="20"/>
                <w:szCs w:val="20"/>
              </w:rPr>
              <w:t>acid</w:t>
            </w:r>
          </w:p>
        </w:tc>
        <w:tc>
          <w:tcPr>
            <w:tcW w:w="1297" w:type="pct"/>
            <w:vAlign w:val="center"/>
          </w:tcPr>
          <w:p w14:paraId="693C3FC2"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Acid</w:t>
            </w:r>
          </w:p>
        </w:tc>
        <w:tc>
          <w:tcPr>
            <w:tcW w:w="949" w:type="pct"/>
            <w:noWrap/>
            <w:vAlign w:val="center"/>
          </w:tcPr>
          <w:p w14:paraId="4766D336"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4.6</w:t>
            </w:r>
            <w:r w:rsidRPr="00564A46">
              <w:rPr>
                <w:rFonts w:asciiTheme="minorHAnsi" w:eastAsia="Times New Roman" w:hAnsiTheme="minorHAnsi"/>
                <w:color w:val="000000" w:themeColor="text1"/>
                <w:sz w:val="20"/>
                <w:szCs w:val="20"/>
                <w:vertAlign w:val="superscript"/>
              </w:rPr>
              <w:t>k</w:t>
            </w:r>
          </w:p>
        </w:tc>
        <w:tc>
          <w:tcPr>
            <w:tcW w:w="780" w:type="pct"/>
            <w:noWrap/>
            <w:vAlign w:val="center"/>
          </w:tcPr>
          <w:p w14:paraId="4EC1A15F"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3.7</w:t>
            </w:r>
            <w:r w:rsidRPr="00564A46">
              <w:rPr>
                <w:rFonts w:asciiTheme="minorHAnsi" w:eastAsia="Times New Roman" w:hAnsiTheme="minorHAnsi"/>
                <w:color w:val="000000" w:themeColor="text1"/>
                <w:sz w:val="20"/>
                <w:szCs w:val="20"/>
                <w:vertAlign w:val="superscript"/>
              </w:rPr>
              <w:t>l</w:t>
            </w:r>
          </w:p>
        </w:tc>
        <w:tc>
          <w:tcPr>
            <w:tcW w:w="1032" w:type="pct"/>
            <w:noWrap/>
            <w:vAlign w:val="center"/>
          </w:tcPr>
          <w:p w14:paraId="7558A2C8"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1.3</w:t>
            </w:r>
            <w:r w:rsidRPr="00564A46">
              <w:rPr>
                <w:rFonts w:asciiTheme="minorHAnsi" w:eastAsia="Times New Roman" w:hAnsiTheme="minorHAnsi"/>
                <w:color w:val="000000" w:themeColor="text1"/>
                <w:sz w:val="20"/>
                <w:szCs w:val="20"/>
                <w:vertAlign w:val="superscript"/>
              </w:rPr>
              <w:t>m</w:t>
            </w:r>
          </w:p>
        </w:tc>
      </w:tr>
      <w:tr w:rsidR="00564A46" w:rsidRPr="00564A46" w:rsidDel="004378F4" w14:paraId="4D4A2FF3" w14:textId="77777777" w:rsidTr="00963D35">
        <w:trPr>
          <w:trHeight w:val="360"/>
        </w:trPr>
        <w:tc>
          <w:tcPr>
            <w:tcW w:w="942" w:type="pct"/>
            <w:tcBorders>
              <w:bottom w:val="single" w:sz="4" w:space="0" w:color="auto"/>
            </w:tcBorders>
            <w:noWrap/>
            <w:vAlign w:val="center"/>
          </w:tcPr>
          <w:p w14:paraId="4BF8E604" w14:textId="77777777"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Ibuprofen</w:t>
            </w:r>
          </w:p>
        </w:tc>
        <w:tc>
          <w:tcPr>
            <w:tcW w:w="1297" w:type="pct"/>
            <w:tcBorders>
              <w:bottom w:val="single" w:sz="4" w:space="0" w:color="auto"/>
            </w:tcBorders>
            <w:vAlign w:val="center"/>
          </w:tcPr>
          <w:p w14:paraId="269CF621"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Acid</w:t>
            </w:r>
          </w:p>
        </w:tc>
        <w:tc>
          <w:tcPr>
            <w:tcW w:w="949" w:type="pct"/>
            <w:tcBorders>
              <w:bottom w:val="single" w:sz="4" w:space="0" w:color="auto"/>
            </w:tcBorders>
            <w:noWrap/>
            <w:vAlign w:val="center"/>
          </w:tcPr>
          <w:p w14:paraId="6E9B1F2F"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4.4</w:t>
            </w:r>
            <w:r w:rsidRPr="00564A46">
              <w:rPr>
                <w:rFonts w:asciiTheme="minorHAnsi" w:eastAsia="Times New Roman" w:hAnsiTheme="minorHAnsi"/>
                <w:color w:val="000000" w:themeColor="text1"/>
                <w:sz w:val="20"/>
                <w:szCs w:val="20"/>
                <w:vertAlign w:val="superscript"/>
              </w:rPr>
              <w:t>n</w:t>
            </w:r>
          </w:p>
        </w:tc>
        <w:tc>
          <w:tcPr>
            <w:tcW w:w="780" w:type="pct"/>
            <w:tcBorders>
              <w:bottom w:val="single" w:sz="4" w:space="0" w:color="auto"/>
            </w:tcBorders>
            <w:noWrap/>
            <w:vAlign w:val="center"/>
          </w:tcPr>
          <w:p w14:paraId="50084E0D"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1.7</w:t>
            </w:r>
            <w:r w:rsidRPr="00564A46">
              <w:rPr>
                <w:rFonts w:asciiTheme="minorHAnsi" w:eastAsia="Times New Roman" w:hAnsiTheme="minorHAnsi"/>
                <w:color w:val="000000" w:themeColor="text1"/>
                <w:sz w:val="20"/>
                <w:szCs w:val="20"/>
                <w:vertAlign w:val="superscript"/>
              </w:rPr>
              <w:t>o</w:t>
            </w:r>
          </w:p>
        </w:tc>
        <w:tc>
          <w:tcPr>
            <w:tcW w:w="1032" w:type="pct"/>
            <w:tcBorders>
              <w:bottom w:val="single" w:sz="4" w:space="0" w:color="auto"/>
            </w:tcBorders>
            <w:noWrap/>
            <w:vAlign w:val="center"/>
          </w:tcPr>
          <w:p w14:paraId="69A72BDA"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68</w:t>
            </w:r>
            <w:r w:rsidRPr="00564A46">
              <w:rPr>
                <w:rFonts w:asciiTheme="minorHAnsi" w:eastAsia="Times New Roman" w:hAnsiTheme="minorHAnsi"/>
                <w:color w:val="000000" w:themeColor="text1"/>
                <w:sz w:val="20"/>
                <w:szCs w:val="20"/>
                <w:vertAlign w:val="superscript"/>
              </w:rPr>
              <w:t>n</w:t>
            </w:r>
          </w:p>
        </w:tc>
      </w:tr>
      <w:tr w:rsidR="00564A46" w:rsidRPr="00564A46" w:rsidDel="004378F4" w14:paraId="4BEDF56D" w14:textId="77777777" w:rsidTr="00963D35">
        <w:trPr>
          <w:trHeight w:val="360"/>
        </w:trPr>
        <w:tc>
          <w:tcPr>
            <w:tcW w:w="942" w:type="pct"/>
            <w:tcBorders>
              <w:bottom w:val="single" w:sz="4" w:space="0" w:color="auto"/>
            </w:tcBorders>
            <w:noWrap/>
            <w:vAlign w:val="center"/>
          </w:tcPr>
          <w:p w14:paraId="321E4A61" w14:textId="77777777"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Danazol</w:t>
            </w:r>
          </w:p>
        </w:tc>
        <w:tc>
          <w:tcPr>
            <w:tcW w:w="1297" w:type="pct"/>
            <w:tcBorders>
              <w:bottom w:val="single" w:sz="4" w:space="0" w:color="auto"/>
            </w:tcBorders>
            <w:vAlign w:val="center"/>
          </w:tcPr>
          <w:p w14:paraId="4F18418E"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Neutral</w:t>
            </w:r>
          </w:p>
        </w:tc>
        <w:tc>
          <w:tcPr>
            <w:tcW w:w="949" w:type="pct"/>
            <w:tcBorders>
              <w:bottom w:val="single" w:sz="4" w:space="0" w:color="auto"/>
            </w:tcBorders>
            <w:noWrap/>
            <w:vAlign w:val="center"/>
          </w:tcPr>
          <w:p w14:paraId="7097C803"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w:t>
            </w:r>
          </w:p>
        </w:tc>
        <w:tc>
          <w:tcPr>
            <w:tcW w:w="780" w:type="pct"/>
            <w:tcBorders>
              <w:bottom w:val="single" w:sz="4" w:space="0" w:color="auto"/>
            </w:tcBorders>
            <w:noWrap/>
            <w:vAlign w:val="center"/>
          </w:tcPr>
          <w:p w14:paraId="09E11CB8"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4.5</w:t>
            </w:r>
            <w:r w:rsidRPr="00564A46">
              <w:rPr>
                <w:rFonts w:asciiTheme="minorHAnsi" w:eastAsia="Times New Roman" w:hAnsiTheme="minorHAnsi"/>
                <w:color w:val="000000" w:themeColor="text1"/>
                <w:sz w:val="20"/>
                <w:szCs w:val="20"/>
                <w:vertAlign w:val="superscript"/>
              </w:rPr>
              <w:t>p</w:t>
            </w:r>
          </w:p>
        </w:tc>
        <w:tc>
          <w:tcPr>
            <w:tcW w:w="1032" w:type="pct"/>
            <w:tcBorders>
              <w:bottom w:val="single" w:sz="4" w:space="0" w:color="auto"/>
            </w:tcBorders>
            <w:noWrap/>
            <w:vAlign w:val="center"/>
          </w:tcPr>
          <w:p w14:paraId="1C177B9D"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0.5</w:t>
            </w:r>
            <w:r w:rsidRPr="00564A46">
              <w:rPr>
                <w:rFonts w:asciiTheme="minorHAnsi" w:eastAsia="Times New Roman" w:hAnsiTheme="minorHAnsi"/>
                <w:color w:val="000000" w:themeColor="text1"/>
                <w:sz w:val="20"/>
                <w:szCs w:val="20"/>
                <w:vertAlign w:val="superscript"/>
              </w:rPr>
              <w:t>q</w:t>
            </w:r>
          </w:p>
        </w:tc>
      </w:tr>
      <w:tr w:rsidR="00D92445" w:rsidRPr="00564A46" w:rsidDel="004378F4" w14:paraId="492C9B08" w14:textId="77777777" w:rsidTr="00963D35">
        <w:trPr>
          <w:trHeight w:val="360"/>
        </w:trPr>
        <w:tc>
          <w:tcPr>
            <w:tcW w:w="942" w:type="pct"/>
            <w:tcBorders>
              <w:top w:val="single" w:sz="4" w:space="0" w:color="auto"/>
              <w:left w:val="single" w:sz="4" w:space="0" w:color="auto"/>
              <w:bottom w:val="single" w:sz="4" w:space="0" w:color="auto"/>
              <w:right w:val="single" w:sz="4" w:space="0" w:color="auto"/>
            </w:tcBorders>
            <w:noWrap/>
            <w:vAlign w:val="center"/>
          </w:tcPr>
          <w:p w14:paraId="02ED23B4" w14:textId="77777777" w:rsidR="00D92445" w:rsidRPr="00564A46" w:rsidRDefault="00D92445" w:rsidP="00AC464A">
            <w:pPr>
              <w:shd w:val="clear" w:color="auto" w:fill="FFFFFF" w:themeFill="background1"/>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Prednisolone</w:t>
            </w:r>
          </w:p>
        </w:tc>
        <w:tc>
          <w:tcPr>
            <w:tcW w:w="1297" w:type="pct"/>
            <w:tcBorders>
              <w:top w:val="single" w:sz="4" w:space="0" w:color="auto"/>
              <w:left w:val="single" w:sz="4" w:space="0" w:color="auto"/>
              <w:bottom w:val="single" w:sz="4" w:space="0" w:color="auto"/>
              <w:right w:val="single" w:sz="4" w:space="0" w:color="auto"/>
            </w:tcBorders>
            <w:vAlign w:val="center"/>
          </w:tcPr>
          <w:p w14:paraId="5E7F6058"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Neutral</w:t>
            </w:r>
          </w:p>
        </w:tc>
        <w:tc>
          <w:tcPr>
            <w:tcW w:w="949" w:type="pct"/>
            <w:tcBorders>
              <w:top w:val="single" w:sz="4" w:space="0" w:color="auto"/>
              <w:left w:val="single" w:sz="4" w:space="0" w:color="auto"/>
              <w:bottom w:val="single" w:sz="4" w:space="0" w:color="auto"/>
              <w:right w:val="single" w:sz="4" w:space="0" w:color="auto"/>
            </w:tcBorders>
            <w:noWrap/>
            <w:vAlign w:val="center"/>
          </w:tcPr>
          <w:p w14:paraId="579FF366"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w:t>
            </w:r>
          </w:p>
        </w:tc>
        <w:tc>
          <w:tcPr>
            <w:tcW w:w="780" w:type="pct"/>
            <w:tcBorders>
              <w:top w:val="single" w:sz="4" w:space="0" w:color="auto"/>
              <w:left w:val="single" w:sz="4" w:space="0" w:color="auto"/>
              <w:bottom w:val="single" w:sz="4" w:space="0" w:color="auto"/>
              <w:right w:val="single" w:sz="4" w:space="0" w:color="auto"/>
            </w:tcBorders>
            <w:noWrap/>
            <w:vAlign w:val="center"/>
          </w:tcPr>
          <w:p w14:paraId="2E498252" w14:textId="77777777" w:rsidR="00D92445" w:rsidRPr="00564A46" w:rsidRDefault="00D92445" w:rsidP="00963D35">
            <w:pPr>
              <w:shd w:val="clear" w:color="auto" w:fill="FFFFFF" w:themeFill="background1"/>
              <w:spacing w:line="240" w:lineRule="auto"/>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1.6</w:t>
            </w:r>
            <w:r w:rsidRPr="00564A46">
              <w:rPr>
                <w:rFonts w:asciiTheme="minorHAnsi" w:eastAsia="Times New Roman" w:hAnsiTheme="minorHAnsi"/>
                <w:color w:val="000000" w:themeColor="text1"/>
                <w:sz w:val="20"/>
                <w:szCs w:val="20"/>
                <w:vertAlign w:val="superscript"/>
              </w:rPr>
              <w:t>r</w:t>
            </w:r>
          </w:p>
        </w:tc>
        <w:tc>
          <w:tcPr>
            <w:tcW w:w="1032" w:type="pct"/>
            <w:tcBorders>
              <w:top w:val="single" w:sz="4" w:space="0" w:color="auto"/>
              <w:left w:val="single" w:sz="4" w:space="0" w:color="auto"/>
              <w:bottom w:val="single" w:sz="4" w:space="0" w:color="auto"/>
              <w:right w:val="single" w:sz="4" w:space="0" w:color="auto"/>
            </w:tcBorders>
            <w:noWrap/>
            <w:vAlign w:val="center"/>
          </w:tcPr>
          <w:p w14:paraId="55195DB4" w14:textId="77777777" w:rsidR="00D92445" w:rsidRPr="00564A46" w:rsidRDefault="00D92445" w:rsidP="003F6FEE">
            <w:pPr>
              <w:shd w:val="clear" w:color="auto" w:fill="FFFFFF" w:themeFill="background1"/>
              <w:tabs>
                <w:tab w:val="decimal" w:pos="745"/>
              </w:tabs>
              <w:spacing w:line="240" w:lineRule="auto"/>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396</w:t>
            </w:r>
            <w:r w:rsidRPr="00564A46">
              <w:rPr>
                <w:rFonts w:asciiTheme="minorHAnsi" w:eastAsia="Times New Roman" w:hAnsiTheme="minorHAnsi"/>
                <w:color w:val="000000" w:themeColor="text1"/>
                <w:sz w:val="20"/>
                <w:szCs w:val="20"/>
                <w:vertAlign w:val="superscript"/>
              </w:rPr>
              <w:t>j</w:t>
            </w:r>
          </w:p>
        </w:tc>
      </w:tr>
    </w:tbl>
    <w:p w14:paraId="4F44572D" w14:textId="77777777" w:rsidR="00D92445" w:rsidRPr="00564A46" w:rsidRDefault="00D92445" w:rsidP="00963D35">
      <w:pPr>
        <w:widowControl w:val="0"/>
        <w:shd w:val="clear" w:color="auto" w:fill="FFFFFF" w:themeFill="background1"/>
        <w:autoSpaceDE w:val="0"/>
        <w:autoSpaceDN w:val="0"/>
        <w:adjustRightInd w:val="0"/>
        <w:spacing w:line="240" w:lineRule="auto"/>
        <w:rPr>
          <w:rFonts w:asciiTheme="minorHAnsi" w:hAnsiTheme="minorHAnsi"/>
          <w:color w:val="000000" w:themeColor="text1"/>
          <w:sz w:val="2"/>
          <w:szCs w:val="2"/>
        </w:rPr>
      </w:pPr>
    </w:p>
    <w:tbl>
      <w:tblPr>
        <w:tblW w:w="5009" w:type="pct"/>
        <w:tblBorders>
          <w:top w:val="single" w:sz="4" w:space="0" w:color="auto"/>
          <w:left w:val="single" w:sz="4" w:space="0" w:color="auto"/>
          <w:bottom w:val="single" w:sz="4" w:space="0" w:color="auto"/>
          <w:right w:val="single" w:sz="4" w:space="0" w:color="auto"/>
        </w:tblBorders>
        <w:tblLayout w:type="fixed"/>
        <w:tblCellMar>
          <w:top w:w="72" w:type="dxa"/>
          <w:left w:w="115" w:type="dxa"/>
          <w:right w:w="115" w:type="dxa"/>
        </w:tblCellMar>
        <w:tblLook w:val="04A0" w:firstRow="1" w:lastRow="0" w:firstColumn="1" w:lastColumn="0" w:noHBand="0" w:noVBand="1"/>
      </w:tblPr>
      <w:tblGrid>
        <w:gridCol w:w="9367"/>
      </w:tblGrid>
      <w:tr w:rsidR="00D92445" w:rsidRPr="00564A46" w14:paraId="40BA5B14" w14:textId="77777777" w:rsidTr="00DB6D28">
        <w:trPr>
          <w:trHeight w:val="300"/>
        </w:trPr>
        <w:tc>
          <w:tcPr>
            <w:tcW w:w="5000" w:type="pct"/>
            <w:shd w:val="clear" w:color="auto" w:fill="auto"/>
            <w:noWrap/>
            <w:vAlign w:val="center"/>
          </w:tcPr>
          <w:p w14:paraId="0BD127F3" w14:textId="42CF8A96" w:rsidR="00D92445" w:rsidRPr="00564A46" w:rsidRDefault="00E8007D" w:rsidP="00963D35">
            <w:pPr>
              <w:spacing w:line="240" w:lineRule="auto"/>
              <w:ind w:left="425" w:hanging="425"/>
              <w:rPr>
                <w:rFonts w:asciiTheme="minorHAnsi" w:hAnsiTheme="minorHAnsi"/>
                <w:color w:val="000000" w:themeColor="text1"/>
                <w:sz w:val="20"/>
                <w:szCs w:val="20"/>
              </w:rPr>
            </w:pPr>
            <w:proofErr w:type="spellStart"/>
            <w:proofErr w:type="gramStart"/>
            <w:r w:rsidRPr="00564A46">
              <w:rPr>
                <w:rFonts w:asciiTheme="minorHAnsi" w:hAnsiTheme="minorHAnsi"/>
                <w:color w:val="000000" w:themeColor="text1"/>
                <w:sz w:val="20"/>
                <w:szCs w:val="20"/>
                <w:vertAlign w:val="superscript"/>
              </w:rPr>
              <w:t>a</w:t>
            </w:r>
            <w:proofErr w:type="spellEnd"/>
            <w:proofErr w:type="gramEnd"/>
            <w:r w:rsidRPr="00564A46">
              <w:rPr>
                <w:rFonts w:asciiTheme="minorHAnsi" w:hAnsiTheme="minorHAnsi"/>
                <w:color w:val="000000" w:themeColor="text1"/>
                <w:sz w:val="20"/>
                <w:szCs w:val="20"/>
              </w:rPr>
              <w:t xml:space="preserve"> </w:t>
            </w:r>
            <w:r w:rsidRPr="00564A46">
              <w:rPr>
                <w:rFonts w:asciiTheme="minorHAnsi" w:hAnsiTheme="minorHAnsi"/>
                <w:color w:val="000000" w:themeColor="text1"/>
                <w:sz w:val="20"/>
                <w:szCs w:val="20"/>
              </w:rPr>
              <w:tab/>
            </w:r>
            <w:r w:rsidR="00D92445" w:rsidRPr="00564A46">
              <w:rPr>
                <w:rFonts w:asciiTheme="minorHAnsi" w:hAnsiTheme="minorHAnsi"/>
                <w:color w:val="000000" w:themeColor="text1"/>
                <w:sz w:val="20"/>
                <w:szCs w:val="20"/>
              </w:rPr>
              <w:t>Abbreviations used: partition coefficient between octanol and water at pH 6.5 (</w:t>
            </w:r>
            <w:r w:rsidR="00526A2F" w:rsidRPr="00564A46">
              <w:rPr>
                <w:rFonts w:asciiTheme="minorHAnsi" w:hAnsiTheme="minorHAnsi"/>
                <w:color w:val="000000" w:themeColor="text1"/>
                <w:sz w:val="20"/>
                <w:szCs w:val="20"/>
              </w:rPr>
              <w:t>l</w:t>
            </w:r>
            <w:r w:rsidRPr="00564A46">
              <w:rPr>
                <w:rFonts w:asciiTheme="minorHAnsi" w:hAnsiTheme="minorHAnsi"/>
                <w:color w:val="000000" w:themeColor="text1"/>
                <w:sz w:val="20"/>
                <w:szCs w:val="20"/>
              </w:rPr>
              <w:t>og D</w:t>
            </w:r>
            <w:r w:rsidR="00D92445" w:rsidRPr="00564A46">
              <w:rPr>
                <w:rFonts w:asciiTheme="minorHAnsi" w:hAnsiTheme="minorHAnsi"/>
                <w:color w:val="000000" w:themeColor="text1"/>
                <w:sz w:val="20"/>
                <w:szCs w:val="20"/>
                <w:vertAlign w:val="subscript"/>
              </w:rPr>
              <w:t>6.5</w:t>
            </w:r>
            <w:r w:rsidR="00D92445" w:rsidRPr="00564A46">
              <w:rPr>
                <w:rFonts w:asciiTheme="minorHAnsi" w:hAnsiTheme="minorHAnsi"/>
                <w:color w:val="000000" w:themeColor="text1"/>
                <w:sz w:val="20"/>
                <w:szCs w:val="20"/>
              </w:rPr>
              <w:t>); intrinsic solubility (S</w:t>
            </w:r>
            <w:r w:rsidR="00526A2F" w:rsidRPr="00564A46">
              <w:rPr>
                <w:rFonts w:asciiTheme="minorHAnsi" w:hAnsiTheme="minorHAnsi"/>
                <w:color w:val="000000" w:themeColor="text1"/>
                <w:sz w:val="20"/>
                <w:szCs w:val="20"/>
                <w:vertAlign w:val="subscript"/>
              </w:rPr>
              <w:t>O</w:t>
            </w:r>
            <w:r w:rsidR="00D92445" w:rsidRPr="00564A46">
              <w:rPr>
                <w:rFonts w:asciiTheme="minorHAnsi" w:hAnsiTheme="minorHAnsi"/>
                <w:color w:val="000000" w:themeColor="text1"/>
                <w:sz w:val="20"/>
                <w:szCs w:val="20"/>
              </w:rPr>
              <w:t xml:space="preserve">). </w:t>
            </w:r>
          </w:p>
          <w:p w14:paraId="71F65D81" w14:textId="6A40890E"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b</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&lt;EndNote&gt;&lt;Cite&gt;&lt;Author&gt;Avdeef&lt;/Author&gt;&lt;Year&gt;2000&lt;/Year&gt;&lt;RecNum&gt;139&lt;/RecNum&gt;&lt;DisplayText&gt;(11)&lt;/DisplayText&gt;&lt;record&gt;&lt;rec-number&gt;139&lt;/rec-number&gt;&lt;foreign-keys&gt;&lt;key app="EN" db-id="vapsarvf3x9d5serzs6vt59osvzvsr55efxx" timestamp="1560648040"&gt;139&lt;/key&gt;&lt;/foreign-keys&gt;&lt;ref-type name="Journal Article"&gt;17&lt;/ref-type&gt;&lt;contributors&gt;&lt;authors&gt;&lt;author&gt;Avdeef, A.&lt;/author&gt;&lt;author&gt;Berger, C. M.&lt;/author&gt;&lt;author&gt;Brownell, C.&lt;/author&gt;&lt;/authors&gt;&lt;/contributors&gt;&lt;auth-address&gt;pION INC, Cambridge, Massachusetts 02138, USA. aavdeef@pion-inc.com&lt;/auth-address&gt;&lt;titles&gt;&lt;title&gt;pH-metric solubility. 2: correlation between the acid-base titration and the saturation shake-flask solubility-pH methods&lt;/title&gt;&lt;secondary-title&gt;Pharm Res&lt;/secondary-title&gt;&lt;/titles&gt;&lt;periodical&gt;&lt;full-title&gt;Pharm Res&lt;/full-title&gt;&lt;/periodical&gt;&lt;pages&gt;85-9&lt;/pages&gt;&lt;volume&gt;17&lt;/volume&gt;&lt;number&gt;1&lt;/number&gt;&lt;keywords&gt;&lt;keyword&gt;Hydrogen-Ion Concentration&lt;/keyword&gt;&lt;keyword&gt;Potentiometry&lt;/keyword&gt;&lt;keyword&gt;*Solubility&lt;/keyword&gt;&lt;/keywords&gt;&lt;dates&gt;&lt;year&gt;2000&lt;/year&gt;&lt;pub-dates&gt;&lt;date&gt;Jan&lt;/date&gt;&lt;/pub-dates&gt;&lt;/dates&gt;&lt;isbn&gt;0724-8741 (Print)&amp;#xD;0724-8741 (Linking)&lt;/isbn&gt;&lt;accession-num&gt;10714613&lt;/accession-num&gt;&lt;urls&gt;&lt;related-urls&gt;&lt;url&gt;https://www.ncbi.nlm.nih.gov/pubmed/10714613&lt;/url&gt;&lt;/related-urls&gt;&lt;/urls&gt;&lt;/record&gt;&lt;/Cite&gt;&lt;/EndNote&gt;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(11)</w:t>
            </w:r>
            <w:r w:rsidRPr="00564A46">
              <w:rPr>
                <w:rFonts w:asciiTheme="minorHAnsi" w:hAnsiTheme="minorHAnsi"/>
                <w:color w:val="000000" w:themeColor="text1"/>
                <w:sz w:val="20"/>
                <w:szCs w:val="20"/>
              </w:rPr>
              <w:fldChar w:fldCharType="end"/>
            </w:r>
          </w:p>
          <w:p w14:paraId="136E21F7" w14:textId="24EDFA45"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c</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&lt;EndNote&gt;&lt;Cite&gt;&lt;Author&gt;Mohsen-Nia&lt;/Author&gt;&lt;Year&gt;2012&lt;/Year&gt;&lt;RecNum&gt;140&lt;/RecNum&gt;&lt;DisplayText&gt;(12)&lt;/DisplayText&gt;&lt;record&gt;&lt;rec-number&gt;140&lt;/rec-number&gt;&lt;foreign-keys&gt;&lt;key app="EN" db-id="vapsarvf3x9d5serzs6vt59osvzvsr55efxx" timestamp="1560648040"&gt;140&lt;/key&gt;&lt;/foreign-keys&gt;&lt;ref-type name="Journal Article"&gt;17&lt;/ref-type&gt;&lt;contributors&gt;&lt;authors&gt;&lt;author&gt;Mohsen-Nia, M.&lt;/author&gt;&lt;author&gt;Ebrahimabadi, A. H.&lt;/author&gt;&lt;author&gt;Niknahad, B.&lt;/author&gt;&lt;/authors&gt;&lt;/contributors&gt;&lt;titles&gt;&lt;title&gt;Partition coefficient n-octanol/water of propranolol and atenolol at different temperatures: Experimental and theoretical studies&lt;/title&gt;&lt;secondary-title&gt;The Journal of Chemical Thermodynamics&lt;/secondary-title&gt;&lt;/titles&gt;&lt;periodical&gt;&lt;full-title&gt;The Journal of Chemical Thermodynamics&lt;/full-title&gt;&lt;/periodical&gt;&lt;pages&gt;393-397&lt;/pages&gt;&lt;volume&gt;54&lt;/volume&gt;&lt;keywords&gt;&lt;keyword&gt;Propranolol&lt;/keyword&gt;&lt;keyword&gt;Atenolol&lt;/keyword&gt;&lt;keyword&gt;Partition coefficient&lt;/keyword&gt;&lt;keyword&gt;Phase equilibrium&lt;/keyword&gt;&lt;keyword&gt;Activity coefficient model&lt;/keyword&gt;&lt;/keywords&gt;&lt;dates&gt;&lt;year&gt;2012&lt;/year&gt;&lt;pub-dates&gt;&lt;date&gt;11//&lt;/date&gt;&lt;/pub-dates&gt;&lt;/dates&gt;&lt;isbn&gt;0021-9614&lt;/isbn&gt;&lt;urls&gt;&lt;related-urls&gt;&lt;url&gt;http://www.sciencedirect.com/science/article/pii/S0021961412002108&lt;/url&gt;&lt;/related-urls&gt;&lt;/urls&gt;&lt;electronic-resource-num&gt;http://dx.doi.org/10.1016/j.jct.2012.05.021&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(12)</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 xml:space="preserve">. Calculated </w:t>
            </w:r>
            <w:r w:rsidR="00526A2F" w:rsidRPr="00564A46">
              <w:rPr>
                <w:rFonts w:asciiTheme="minorHAnsi" w:hAnsiTheme="minorHAnsi"/>
                <w:color w:val="000000" w:themeColor="text1"/>
                <w:sz w:val="20"/>
                <w:szCs w:val="20"/>
              </w:rPr>
              <w:t>l</w:t>
            </w:r>
            <w:r w:rsidR="00E8007D" w:rsidRPr="00564A46">
              <w:rPr>
                <w:rFonts w:asciiTheme="minorHAnsi" w:hAnsiTheme="minorHAnsi"/>
                <w:color w:val="000000" w:themeColor="text1"/>
                <w:sz w:val="20"/>
                <w:szCs w:val="20"/>
              </w:rPr>
              <w:t>og D</w:t>
            </w:r>
            <w:r w:rsidRPr="00564A46">
              <w:rPr>
                <w:rFonts w:asciiTheme="minorHAnsi" w:hAnsiTheme="minorHAnsi"/>
                <w:color w:val="000000" w:themeColor="text1"/>
                <w:sz w:val="20"/>
                <w:szCs w:val="20"/>
                <w:vertAlign w:val="subscript"/>
              </w:rPr>
              <w:t>6.5</w:t>
            </w:r>
            <w:r w:rsidRPr="00564A46">
              <w:rPr>
                <w:rFonts w:asciiTheme="minorHAnsi" w:hAnsiTheme="minorHAnsi"/>
                <w:color w:val="000000" w:themeColor="text1"/>
                <w:sz w:val="20"/>
                <w:szCs w:val="20"/>
              </w:rPr>
              <w:t xml:space="preserve"> using </w:t>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and pK</w:t>
            </w:r>
            <w:r w:rsidRPr="00564A46">
              <w:rPr>
                <w:rFonts w:asciiTheme="minorHAnsi" w:hAnsiTheme="minorHAnsi"/>
                <w:color w:val="000000" w:themeColor="text1"/>
                <w:sz w:val="20"/>
                <w:szCs w:val="20"/>
                <w:vertAlign w:val="subscript"/>
              </w:rPr>
              <w:t>a</w:t>
            </w:r>
            <w:r w:rsidRPr="00564A46">
              <w:rPr>
                <w:rFonts w:asciiTheme="minorHAnsi" w:hAnsiTheme="minorHAnsi"/>
                <w:color w:val="000000" w:themeColor="text1"/>
                <w:sz w:val="20"/>
                <w:szCs w:val="20"/>
              </w:rPr>
              <w:t>.</w:t>
            </w:r>
          </w:p>
          <w:p w14:paraId="0319BD34" w14:textId="1CD9B593"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d</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&lt;EndNote&gt;&lt;Cite&gt;&lt;Author&gt;Marmol&lt;/Author&gt;&lt;RecNum&gt;141&lt;/RecNum&gt;&lt;DisplayText&gt;(13)&lt;/DisplayText&gt;&lt;record&gt;&lt;rec-number&gt;141&lt;/rec-number&gt;&lt;foreign-keys&gt;&lt;key app="EN" db-id="vapsarvf3x9d5serzs6vt59osvzvsr55efxx" timestamp="1560648040"&gt;141&lt;/key&gt;&lt;/foreign-keys&gt;&lt;ref-type name="Online Multimedia"&gt;48&lt;/ref-type&gt;&lt;contributors&gt;&lt;authors&gt;&lt;author&gt;Marmol, A.L.&lt;/author&gt;&lt;author&gt;Box, K.&lt;/author&gt;&lt;author&gt;Wagner, K.G.&lt;/author&gt;&lt;/authors&gt;&lt;/contributors&gt;&lt;titles&gt;&lt;title&gt;Mechanistic Evaluation of Supersaturation and Solubility Enhancement for &amp;quot;Chasing&amp;quot; and &amp;quot;Non Chasing&amp;quot; APIs using Colloids&lt;/title&gt;&lt;/titles&gt;&lt;dates&gt;&lt;/dates&gt;&lt;urls&gt;&lt;/urls&gt;&lt;/record&gt;&lt;/Cite&gt;&lt;/EndNote&gt;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(13)</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w:t>
            </w:r>
          </w:p>
          <w:p w14:paraId="0D7C1769" w14:textId="74E94E66"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 xml:space="preserve">e </w:t>
            </w:r>
            <w:r w:rsidR="00E8007D" w:rsidRPr="00564A46">
              <w:rPr>
                <w:rFonts w:asciiTheme="minorHAnsi" w:hAnsiTheme="minorHAnsi"/>
                <w:color w:val="000000" w:themeColor="text1"/>
                <w:sz w:val="20"/>
                <w:szCs w:val="20"/>
                <w:vertAlign w:val="superscript"/>
              </w:rPr>
              <w:tab/>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&lt;EndNote&gt;&lt;Cite&gt;&lt;Author&gt;Box&lt;/Author&gt;&lt;Year&gt;2017&lt;/Year&gt;&lt;RecNum&gt;142&lt;/RecNum&gt;&lt;DisplayText&gt;(14)&lt;/DisplayText&gt;&lt;record&gt;&lt;rec-number&gt;142&lt;/rec-number&gt;&lt;foreign-keys&gt;&lt;key app="EN" db-id="vapsarvf3x9d5serzs6vt59osvzvsr55efxx" timestamp="1560648040"&gt;142&lt;/key&gt;&lt;/foreign-keys&gt;&lt;ref-type name="Personal Communication"&gt;26&lt;/ref-type&gt;&lt;contributors&gt;&lt;authors&gt;&lt;author&gt;Box, K.&lt;/author&gt;&lt;/authors&gt;&lt;secondary-authors&gt;&lt;author&gt;personal communication to Mudie, D. M.&lt;/author&gt;&lt;/secondary-authors&gt;&lt;/contributors&gt;&lt;titles&gt;&lt;/titles&gt;&lt;dates&gt;&lt;year&gt;2017&lt;/year&gt;&lt;/dates&gt;&lt;pub-location&gt;Sirius Analytical, Ltd.&lt;/pub-location&gt;&lt;urls&gt;&lt;/urls&gt;&lt;/record&gt;&lt;/Cite&gt;&lt;/EndNote&gt;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(14)</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 xml:space="preserve">. Calculated </w:t>
            </w:r>
            <w:r w:rsidR="00526A2F" w:rsidRPr="00564A46">
              <w:rPr>
                <w:rFonts w:asciiTheme="minorHAnsi" w:hAnsiTheme="minorHAnsi"/>
                <w:color w:val="000000" w:themeColor="text1"/>
                <w:sz w:val="20"/>
                <w:szCs w:val="20"/>
              </w:rPr>
              <w:t>l</w:t>
            </w:r>
            <w:r w:rsidR="00E8007D" w:rsidRPr="00564A46">
              <w:rPr>
                <w:rFonts w:asciiTheme="minorHAnsi" w:hAnsiTheme="minorHAnsi"/>
                <w:color w:val="000000" w:themeColor="text1"/>
                <w:sz w:val="20"/>
                <w:szCs w:val="20"/>
              </w:rPr>
              <w:t>og D</w:t>
            </w:r>
            <w:r w:rsidRPr="00564A46">
              <w:rPr>
                <w:rFonts w:asciiTheme="minorHAnsi" w:hAnsiTheme="minorHAnsi"/>
                <w:color w:val="000000" w:themeColor="text1"/>
                <w:sz w:val="20"/>
                <w:szCs w:val="20"/>
                <w:vertAlign w:val="subscript"/>
              </w:rPr>
              <w:t>6.5</w:t>
            </w:r>
            <w:r w:rsidRPr="00564A46">
              <w:rPr>
                <w:rFonts w:asciiTheme="minorHAnsi" w:hAnsiTheme="minorHAnsi"/>
                <w:color w:val="000000" w:themeColor="text1"/>
                <w:sz w:val="20"/>
                <w:szCs w:val="20"/>
              </w:rPr>
              <w:t xml:space="preserve"> using </w:t>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and pK</w:t>
            </w:r>
            <w:r w:rsidRPr="00564A46">
              <w:rPr>
                <w:rFonts w:asciiTheme="minorHAnsi" w:hAnsiTheme="minorHAnsi"/>
                <w:color w:val="000000" w:themeColor="text1"/>
                <w:sz w:val="20"/>
                <w:szCs w:val="20"/>
                <w:vertAlign w:val="subscript"/>
              </w:rPr>
              <w:t>a</w:t>
            </w:r>
            <w:r w:rsidRPr="00564A46">
              <w:rPr>
                <w:rFonts w:asciiTheme="minorHAnsi" w:hAnsiTheme="minorHAnsi"/>
                <w:color w:val="000000" w:themeColor="text1"/>
                <w:sz w:val="20"/>
                <w:szCs w:val="20"/>
              </w:rPr>
              <w:t xml:space="preserve">. </w:t>
            </w:r>
          </w:p>
          <w:p w14:paraId="6C9ACE5E" w14:textId="56305031"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f</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&lt;EndNote&gt;&lt;Cite&gt;&lt;Author&gt;Hsieh&lt;/Author&gt;&lt;Year&gt;2012&lt;/Year&gt;&lt;RecNum&gt;143&lt;/RecNum&gt;&lt;DisplayText&gt;(15)&lt;/DisplayText&gt;&lt;record&gt;&lt;rec-number&gt;143&lt;/rec-number&gt;&lt;foreign-keys&gt;&lt;key app="EN" db-id="vapsarvf3x9d5serzs6vt59osvzvsr55efxx" timestamp="1560648040"&gt;143&lt;/key&gt;&lt;/foreign-keys&gt;&lt;ref-type name="Journal Article"&gt;17&lt;/ref-type&gt;&lt;contributors&gt;&lt;authors&gt;&lt;author&gt;Hsieh, Y. L.&lt;/author&gt;&lt;author&gt;Ilevbare, G. A.&lt;/author&gt;&lt;author&gt;Van Eerdenbrugh, B.&lt;/author&gt;&lt;author&gt;Box, K. J.&lt;/author&gt;&lt;author&gt;Sanchez-Felix, M. V.&lt;/author&gt;&lt;author&gt;Taylor, L. S.&lt;/author&gt;&lt;/authors&gt;&lt;/contributors&gt;&lt;auth-address&gt;Department of Industrial and Physical Pharmacy, College of Pharmacy, Purdue University, West Lafayette, Indiana, USA.&lt;/auth-address&gt;&lt;titles&gt;&lt;title&gt;pH-Induced precipitation behavior of weakly basic compounds: determination of extent and duration of supersaturation using potentiometric titration and correlation to solid state properties&lt;/title&gt;&lt;secondary-title&gt;Pharm Res&lt;/secondary-title&gt;&lt;/titles&gt;&lt;periodical&gt;&lt;full-title&gt;Pharm Res&lt;/full-title&gt;&lt;/periodical&gt;&lt;pages&gt;2738-53&lt;/pages&gt;&lt;volume&gt;29&lt;/volume&gt;&lt;number&gt;10&lt;/number&gt;&lt;keywords&gt;&lt;keyword&gt;Acids/chemistry&lt;/keyword&gt;&lt;keyword&gt;Alkalies/*chemistry&lt;/keyword&gt;&lt;keyword&gt;Chemical Precipitation&lt;/keyword&gt;&lt;keyword&gt;Crystallization&lt;/keyword&gt;&lt;keyword&gt;Hydrogen-Ion Concentration&lt;/keyword&gt;&lt;keyword&gt;Potentiometry&lt;/keyword&gt;&lt;keyword&gt;Solubility&lt;/keyword&gt;&lt;keyword&gt;Solutions/*chemistry&lt;/keyword&gt;&lt;/keywords&gt;&lt;dates&gt;&lt;year&gt;2012&lt;/year&gt;&lt;pub-dates&gt;&lt;date&gt;Oct&lt;/date&gt;&lt;/pub-dates&gt;&lt;/dates&gt;&lt;isbn&gt;1573-904X (Electronic)&amp;#xD;0724-8741 (Linking)&lt;/isbn&gt;&lt;accession-num&gt;22580905&lt;/accession-num&gt;&lt;urls&gt;&lt;related-urls&gt;&lt;url&gt;https://www.ncbi.nlm.nih.gov/pubmed/22580905&lt;/url&gt;&lt;/related-urls&gt;&lt;/urls&gt;&lt;electronic-resource-num&gt;10.1007/s11095-012-0759-8&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(15)</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w:t>
            </w:r>
          </w:p>
          <w:p w14:paraId="09EBD7F9" w14:textId="28CDCB7E"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g</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from reference </w:t>
            </w:r>
            <w:r w:rsidRPr="00564A46">
              <w:rPr>
                <w:rFonts w:asciiTheme="minorHAnsi" w:hAnsiTheme="minorHAnsi"/>
                <w:color w:val="000000" w:themeColor="text1"/>
                <w:sz w:val="20"/>
                <w:szCs w:val="20"/>
              </w:rPr>
              <w:fldChar w:fldCharType="begin">
                <w:fldData xml:space="preserve">PEVuZE5vdGU+PENpdGU+PEF1dGhvcj5KYWNvYnM8L0F1dGhvcj48WWVhcj4yMDE2PC9ZZWFyPjxS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</w:fldData>
              </w:fldChar>
            </w:r>
            <w:r w:rsidR="00613FDE" w:rsidRPr="00564A46">
              <w:rPr>
                <w:rFonts w:asciiTheme="minorHAnsi" w:hAnsiTheme="minorHAnsi"/>
                <w:color w:val="000000" w:themeColor="text1"/>
                <w:sz w:val="20"/>
                <w:szCs w:val="20"/>
              </w:rPr>
              <w:instrText xml:space="preserve"> ADDIN EN.CITE </w:instrText>
            </w:r>
            <w:r w:rsidR="00613FDE" w:rsidRPr="00564A46">
              <w:rPr>
                <w:rFonts w:asciiTheme="minorHAnsi" w:hAnsiTheme="minorHAnsi"/>
                <w:color w:val="000000" w:themeColor="text1"/>
                <w:sz w:val="20"/>
                <w:szCs w:val="20"/>
              </w:rPr>
              <w:fldChar w:fldCharType="begin">
                <w:fldData xml:space="preserve">PEVuZE5vdGU+PENpdGU+PEF1dGhvcj5KYWNvYnM8L0F1dGhvcj48WWVhcj4yMDE2PC9ZZWFyPjxS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</w:fldData>
              </w:fldChar>
            </w:r>
            <w:r w:rsidR="00613FDE" w:rsidRPr="00564A46">
              <w:rPr>
                <w:rFonts w:asciiTheme="minorHAnsi" w:hAnsiTheme="minorHAnsi"/>
                <w:color w:val="000000" w:themeColor="text1"/>
                <w:sz w:val="20"/>
                <w:szCs w:val="20"/>
              </w:rPr>
              <w:instrText xml:space="preserve"> ADDIN EN.CITE.DATA </w:instrText>
            </w:r>
            <w:r w:rsidR="00613FDE" w:rsidRPr="00564A46">
              <w:rPr>
                <w:rFonts w:asciiTheme="minorHAnsi" w:hAnsiTheme="minorHAnsi"/>
                <w:color w:val="000000" w:themeColor="text1"/>
                <w:sz w:val="20"/>
                <w:szCs w:val="20"/>
              </w:rPr>
            </w:r>
            <w:r w:rsidR="00613FDE"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(16)</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 xml:space="preserve">. Calculated </w:t>
            </w:r>
            <w:r w:rsidR="00526A2F" w:rsidRPr="00564A46">
              <w:rPr>
                <w:rFonts w:asciiTheme="minorHAnsi" w:hAnsiTheme="minorHAnsi"/>
                <w:color w:val="000000" w:themeColor="text1"/>
                <w:sz w:val="20"/>
                <w:szCs w:val="20"/>
              </w:rPr>
              <w:t>l</w:t>
            </w:r>
            <w:r w:rsidR="00E8007D" w:rsidRPr="00564A46">
              <w:rPr>
                <w:rFonts w:asciiTheme="minorHAnsi" w:hAnsiTheme="minorHAnsi"/>
                <w:color w:val="000000" w:themeColor="text1"/>
                <w:sz w:val="20"/>
                <w:szCs w:val="20"/>
              </w:rPr>
              <w:t>og D</w:t>
            </w:r>
            <w:r w:rsidRPr="00564A46">
              <w:rPr>
                <w:rFonts w:asciiTheme="minorHAnsi" w:hAnsiTheme="minorHAnsi"/>
                <w:color w:val="000000" w:themeColor="text1"/>
                <w:sz w:val="20"/>
                <w:szCs w:val="20"/>
                <w:vertAlign w:val="subscript"/>
              </w:rPr>
              <w:t>6.5</w:t>
            </w:r>
            <w:r w:rsidRPr="00564A46">
              <w:rPr>
                <w:rFonts w:asciiTheme="minorHAnsi" w:hAnsiTheme="minorHAnsi"/>
                <w:color w:val="000000" w:themeColor="text1"/>
                <w:sz w:val="20"/>
                <w:szCs w:val="20"/>
              </w:rPr>
              <w:t xml:space="preserve"> using </w:t>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and pK</w:t>
            </w:r>
            <w:r w:rsidRPr="00564A46">
              <w:rPr>
                <w:rFonts w:asciiTheme="minorHAnsi" w:hAnsiTheme="minorHAnsi"/>
                <w:color w:val="000000" w:themeColor="text1"/>
                <w:sz w:val="20"/>
                <w:szCs w:val="20"/>
                <w:vertAlign w:val="subscript"/>
              </w:rPr>
              <w:t>a</w:t>
            </w:r>
            <w:r w:rsidRPr="00564A46">
              <w:rPr>
                <w:rFonts w:asciiTheme="minorHAnsi" w:hAnsiTheme="minorHAnsi"/>
                <w:color w:val="000000" w:themeColor="text1"/>
                <w:sz w:val="20"/>
                <w:szCs w:val="20"/>
              </w:rPr>
              <w:t>.</w:t>
            </w:r>
          </w:p>
          <w:p w14:paraId="37C92D9F" w14:textId="377DB189"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 xml:space="preserve">h </w:t>
            </w:r>
            <w:r w:rsidR="00E8007D" w:rsidRPr="00564A46">
              <w:rPr>
                <w:rFonts w:asciiTheme="minorHAnsi" w:hAnsiTheme="minorHAnsi"/>
                <w:color w:val="000000" w:themeColor="text1"/>
                <w:sz w:val="20"/>
                <w:szCs w:val="20"/>
                <w:vertAlign w:val="superscript"/>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&lt;EndNote&gt;&lt;Cite&gt;&lt;Author&gt;Sun&lt;/Author&gt;&lt;Year&gt;2011&lt;/Year&gt;&lt;RecNum&gt;146&lt;/RecNum&gt;&lt;DisplayText&gt;(17)&lt;/DisplayText&gt;&lt;record&gt;&lt;rec-number&gt;146&lt;/rec-number&gt;&lt;foreign-keys&gt;&lt;key app="EN" db-id="vapsarvf3x9d5serzs6vt59osvzvsr55efxx" timestamp="1560648040"&gt;146&lt;/key&gt;&lt;/foreign-keys&gt;&lt;ref-type name="Journal Article"&gt;17&lt;/ref-type&gt;&lt;contributors&gt;&lt;authors&gt;&lt;author&gt;Sun, N.&lt;/author&gt;&lt;author&gt;Avdeef, A.&lt;/author&gt;&lt;/authors&gt;&lt;/contributors&gt;&lt;auth-address&gt;pION INC, 5 Constitution Way, Woburn, MA 01801, USA. na.sun@novartis.com&lt;/auth-address&gt;&lt;titles&gt;&lt;title&gt;Biorelevant pK(a) (37 degrees C) predicted from the 2D structure of the molecule and its pK(a) at 25 degrees C&lt;/title&gt;&lt;secondary-title&gt;J Pharm Biomed Anal&lt;/secondary-title&gt;&lt;/titles&gt;&lt;periodical&gt;&lt;full-title&gt;J Pharm Biomed Anal&lt;/full-title&gt;&lt;/periodical&gt;&lt;pages&gt;173-82&lt;/pages&gt;&lt;volume&gt;56&lt;/volume&gt;&lt;number&gt;2&lt;/number&gt;&lt;keywords&gt;&lt;keyword&gt;Entropy&lt;/keyword&gt;&lt;keyword&gt;Hydrogen-Ion Concentration&lt;/keyword&gt;&lt;keyword&gt;Linear Models&lt;/keyword&gt;&lt;keyword&gt;*Models, Chemical&lt;/keyword&gt;&lt;keyword&gt;*Molecular Structure&lt;/keyword&gt;&lt;keyword&gt;Osmolar Concentration&lt;/keyword&gt;&lt;keyword&gt;Pharmaceutical Preparations/*chemistry&lt;/keyword&gt;&lt;keyword&gt;Reproducibility of Results&lt;/keyword&gt;&lt;keyword&gt;Solvents/chemistry&lt;/keyword&gt;&lt;keyword&gt;Structure-Activity Relationship&lt;/keyword&gt;&lt;keyword&gt;*Temperature&lt;/keyword&gt;&lt;/keywords&gt;&lt;dates&gt;&lt;year&gt;2011&lt;/year&gt;&lt;pub-dates&gt;&lt;date&gt;Sep 10&lt;/date&gt;&lt;/pub-dates&gt;&lt;/dates&gt;&lt;isbn&gt;1873-264X (Electronic)&amp;#xD;0731-7085 (Linking)&lt;/isbn&gt;&lt;accession-num&gt;21652160&lt;/accession-num&gt;&lt;urls&gt;&lt;related-urls&gt;&lt;url&gt;https://www.ncbi.nlm.nih.gov/pubmed/21652160&lt;/url&gt;&lt;/related-urls&gt;&lt;/urls&gt;&lt;custom2&gt;PMC3134134&lt;/custom2&gt;&lt;electronic-resource-num&gt;10.1016/j.jpba.2011.05.007&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(17)</w:t>
            </w:r>
            <w:r w:rsidRPr="00564A46">
              <w:rPr>
                <w:rFonts w:asciiTheme="minorHAnsi" w:hAnsiTheme="minorHAnsi"/>
                <w:color w:val="000000" w:themeColor="text1"/>
                <w:sz w:val="20"/>
                <w:szCs w:val="20"/>
              </w:rPr>
              <w:fldChar w:fldCharType="end"/>
            </w:r>
          </w:p>
          <w:p w14:paraId="3BE7EF26" w14:textId="0EE0A757"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I</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00526A2F" w:rsidRPr="00564A46">
              <w:rPr>
                <w:rFonts w:asciiTheme="minorHAnsi" w:hAnsiTheme="minorHAnsi"/>
                <w:color w:val="000000" w:themeColor="text1"/>
                <w:sz w:val="20"/>
                <w:szCs w:val="20"/>
              </w:rPr>
              <w:t>l</w:t>
            </w:r>
            <w:r w:rsidR="00E8007D" w:rsidRPr="00564A46">
              <w:rPr>
                <w:rFonts w:asciiTheme="minorHAnsi" w:hAnsiTheme="minorHAnsi"/>
                <w:color w:val="000000" w:themeColor="text1"/>
                <w:sz w:val="20"/>
                <w:szCs w:val="20"/>
              </w:rPr>
              <w:t>og D</w:t>
            </w:r>
            <w:r w:rsidRPr="00564A46">
              <w:rPr>
                <w:rFonts w:asciiTheme="minorHAnsi" w:hAnsiTheme="minorHAnsi"/>
                <w:color w:val="000000" w:themeColor="text1"/>
                <w:sz w:val="20"/>
                <w:szCs w:val="20"/>
              </w:rPr>
              <w:t xml:space="preserve"> value measured at pH 7.4. 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&lt;EndNote&gt;&lt;Cite&gt;&lt;Author&gt;Jena&lt;/Author&gt;&lt;Year&gt;2014&lt;/Year&gt;&lt;RecNum&gt;145&lt;/RecNum&gt;&lt;DisplayText&gt;(18)&lt;/DisplayText&gt;&lt;record&gt;&lt;rec-number&gt;145&lt;/rec-number&gt;&lt;foreign-keys&gt;&lt;key app="EN" db-id="vapsarvf3x9d5serzs6vt59osvzvsr55efxx" timestamp="1560648040"&gt;145&lt;/key&gt;&lt;/foreign-keys&gt;&lt;ref-type name="Journal Article"&gt;17&lt;/ref-type&gt;&lt;contributors&gt;&lt;authors&gt;&lt;author&gt;Jena, Sunil Kumar&lt;/author&gt;&lt;author&gt;Singh, Charan&lt;/author&gt;&lt;author&gt;Dora, Chander Parkash&lt;/author&gt;&lt;author&gt;Suresh, Sarasija&lt;/author&gt;&lt;/authors&gt;&lt;/contributors&gt;&lt;titles&gt;&lt;title&gt;Development of tamoxifen-phospholipid complex: Novel approach for improving solubility and bioavailability&lt;/title&gt;&lt;secondary-title&gt;International Journal of Pharmaceutics&lt;/secondary-title&gt;&lt;/titles&gt;&lt;periodical&gt;&lt;full-title&gt;International Journal of Pharmaceutics&lt;/full-title&gt;&lt;/periodical&gt;&lt;pages&gt;1-9&lt;/pages&gt;&lt;volume&gt;473&lt;/volume&gt;&lt;number&gt;1–2&lt;/number&gt;&lt;keywords&gt;&lt;keyword&gt;Tamoxifen&lt;/keyword&gt;&lt;keyword&gt;Phospholipid&lt;/keyword&gt;&lt;keyword&gt;Tamoxifen-phospholipid complex&lt;/keyword&gt;&lt;keyword&gt;Solubility&lt;/keyword&gt;&lt;keyword&gt;Oral bioavailability&lt;/keyword&gt;&lt;/keywords&gt;&lt;dates&gt;&lt;year&gt;2014&lt;/year&gt;&lt;pub-dates&gt;&lt;date&gt;10/1/&lt;/date&gt;&lt;/pub-dates&gt;&lt;/dates&gt;&lt;isbn&gt;0378-5173&lt;/isbn&gt;&lt;urls&gt;&lt;related-urls&gt;&lt;url&gt;http://www.sciencedirect.com/science/article/pii/S0378517314004852&lt;/url&gt;&lt;/related-urls&gt;&lt;/urls&gt;&lt;electronic-resource-num&gt;http://dx.doi.org/10.1016/j.ijpharm.2014.06.056&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(18)</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 ADMET Predictor</w:t>
            </w:r>
            <w:r w:rsidR="00E8007D" w:rsidRPr="00564A46">
              <w:rPr>
                <w:rFonts w:ascii="Calibri" w:hAnsi="Calibri"/>
                <w:color w:val="000000" w:themeColor="text1"/>
                <w:sz w:val="20"/>
                <w:szCs w:val="20"/>
              </w:rPr>
              <w:t>™</w:t>
            </w:r>
            <w:r w:rsidRPr="00564A46">
              <w:rPr>
                <w:rFonts w:asciiTheme="minorHAnsi" w:hAnsiTheme="minorHAnsi"/>
                <w:color w:val="000000" w:themeColor="text1"/>
                <w:sz w:val="20"/>
                <w:szCs w:val="20"/>
              </w:rPr>
              <w:t xml:space="preserve"> calculated values of 3.3 at pH 6.5.</w:t>
            </w:r>
          </w:p>
          <w:p w14:paraId="4BCE5C19" w14:textId="677A7EF5"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 xml:space="preserve">j </w:t>
            </w:r>
            <w:r w:rsidR="00E8007D" w:rsidRPr="00564A46">
              <w:rPr>
                <w:rFonts w:asciiTheme="minorHAnsi" w:hAnsiTheme="minorHAnsi"/>
                <w:color w:val="000000" w:themeColor="text1"/>
                <w:sz w:val="20"/>
                <w:szCs w:val="20"/>
                <w:vertAlign w:val="superscript"/>
              </w:rPr>
              <w:tab/>
            </w:r>
            <w:r w:rsidRPr="00564A46">
              <w:rPr>
                <w:rFonts w:asciiTheme="minorHAnsi" w:hAnsiTheme="minorHAnsi"/>
                <w:color w:val="000000" w:themeColor="text1"/>
                <w:sz w:val="20"/>
                <w:szCs w:val="20"/>
              </w:rPr>
              <w:t xml:space="preserve">Experimental data measured </w:t>
            </w:r>
            <w:r w:rsidR="000A5690" w:rsidRPr="00564A46">
              <w:rPr>
                <w:rFonts w:asciiTheme="minorHAnsi" w:hAnsiTheme="minorHAnsi"/>
                <w:color w:val="000000" w:themeColor="text1"/>
                <w:sz w:val="20"/>
                <w:szCs w:val="20"/>
              </w:rPr>
              <w:t xml:space="preserve">at </w:t>
            </w:r>
            <w:r w:rsidRPr="00564A46">
              <w:rPr>
                <w:rFonts w:asciiTheme="minorHAnsi" w:hAnsiTheme="minorHAnsi"/>
                <w:color w:val="000000" w:themeColor="text1"/>
                <w:sz w:val="20"/>
                <w:szCs w:val="20"/>
              </w:rPr>
              <w:t>Uppsala</w:t>
            </w:r>
            <w:r w:rsidR="000A5690" w:rsidRPr="00564A46">
              <w:rPr>
                <w:rFonts w:asciiTheme="minorHAnsi" w:hAnsiTheme="minorHAnsi"/>
                <w:color w:val="000000" w:themeColor="text1"/>
                <w:sz w:val="20"/>
                <w:szCs w:val="20"/>
              </w:rPr>
              <w:t xml:space="preserve"> University laboratories.</w:t>
            </w:r>
          </w:p>
          <w:p w14:paraId="46AFF603" w14:textId="5A6AD9AA"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k</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proofErr w:type="gramStart"/>
            <w:r w:rsidRPr="00564A46">
              <w:rPr>
                <w:rFonts w:asciiTheme="minorHAnsi" w:hAnsiTheme="minorHAnsi"/>
                <w:color w:val="000000" w:themeColor="text1"/>
                <w:sz w:val="20"/>
                <w:szCs w:val="20"/>
              </w:rPr>
              <w:t>From</w:t>
            </w:r>
            <w:proofErr w:type="gramEnd"/>
            <w:r w:rsidRPr="00564A46">
              <w:rPr>
                <w:rFonts w:asciiTheme="minorHAnsi" w:hAnsiTheme="minorHAnsi"/>
                <w:color w:val="000000" w:themeColor="text1"/>
                <w:sz w:val="20"/>
                <w:szCs w:val="20"/>
              </w:rPr>
              <w:t xml:space="preserve"> www.drugbank.ca</w:t>
            </w:r>
          </w:p>
          <w:p w14:paraId="677D9D24" w14:textId="56EC98D9"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l</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&lt;EndNote&gt;&lt;Cite&gt;&lt;Author&gt;Hadgraft&lt;/Author&gt;&lt;Year&gt;2000&lt;/Year&gt;&lt;RecNum&gt;147&lt;/RecNum&gt;&lt;DisplayText&gt;(19)&lt;/DisplayText&gt;&lt;record&gt;&lt;rec-number&gt;147&lt;/rec-number&gt;&lt;foreign-keys&gt;&lt;key app="EN" db-id="vapsarvf3x9d5serzs6vt59osvzvsr55efxx" timestamp="1560648040"&gt;147&lt;/key&gt;&lt;/foreign-keys&gt;&lt;ref-type name="Journal Article"&gt;17&lt;/ref-type&gt;&lt;contributors&gt;&lt;authors&gt;&lt;author&gt;Hadgraft, J.&lt;/author&gt;&lt;author&gt;du Plessis, J.&lt;/author&gt;&lt;author&gt;Goosen, C.&lt;/author&gt;&lt;/authors&gt;&lt;/contributors&gt;&lt;auth-address&gt;The Welsh School of Pharmacy, Cardiff University, Redwood Building, CF1 3XF, Cardiff, UK. jonathan.hadgraft@btinternet.com&lt;/auth-address&gt;&lt;titles&gt;&lt;title&gt;The selection of non-steroidal anti-inflammatory agents for dermal delivery&lt;/title&gt;&lt;secondary-title&gt;Int J Pharm&lt;/secondary-title&gt;&lt;/titles&gt;&lt;periodical&gt;&lt;full-title&gt;Int J Pharm&lt;/full-title&gt;&lt;/periodical&gt;&lt;pages&gt;31-7&lt;/pages&gt;&lt;volume&gt;207&lt;/volume&gt;&lt;number&gt;1-2&lt;/number&gt;&lt;keywords&gt;&lt;keyword&gt;Administration, Cutaneous&lt;/keyword&gt;&lt;keyword&gt;Anti-Inflammatory Agents, Non-Steroidal/*administration &amp;amp;&lt;/keyword&gt;&lt;keyword&gt;dosage/chemistry/pharmacokinetics&lt;/keyword&gt;&lt;keyword&gt;Humans&lt;/keyword&gt;&lt;keyword&gt;Hydrogen-Ion Concentration&lt;/keyword&gt;&lt;keyword&gt;Molecular Weight&lt;/keyword&gt;&lt;keyword&gt;Permeability&lt;/keyword&gt;&lt;keyword&gt;*Skin Absorption&lt;/keyword&gt;&lt;keyword&gt;Solubility&lt;/keyword&gt;&lt;/keywords&gt;&lt;dates&gt;&lt;year&gt;2000&lt;/year&gt;&lt;pub-dates&gt;&lt;date&gt;Oct 10&lt;/date&gt;&lt;/pub-dates&gt;&lt;/dates&gt;&lt;isbn&gt;0378-5173 (Print)&amp;#xD;0378-5173 (Linking)&lt;/isbn&gt;&lt;accession-num&gt;11036227&lt;/accession-num&gt;&lt;urls&gt;&lt;related-urls&gt;&lt;url&gt;https://www.ncbi.nlm.nih.gov/pubmed/11036227&lt;/url&gt;&lt;/related-urls&gt;&lt;/urls&gt;&lt;/record&gt;&lt;/Cite&gt;&lt;/EndNote&gt;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(19)</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 Calculated Log</w:t>
            </w:r>
            <w:r w:rsidR="000A5690" w:rsidRPr="00564A46">
              <w:rPr>
                <w:rFonts w:asciiTheme="minorHAnsi" w:hAnsiTheme="minorHAnsi"/>
                <w:color w:val="000000" w:themeColor="text1"/>
                <w:sz w:val="20"/>
                <w:szCs w:val="20"/>
              </w:rPr>
              <w:t xml:space="preserve"> </w:t>
            </w:r>
            <w:r w:rsidRPr="00564A46">
              <w:rPr>
                <w:rFonts w:asciiTheme="minorHAnsi" w:hAnsiTheme="minorHAnsi"/>
                <w:color w:val="000000" w:themeColor="text1"/>
                <w:sz w:val="20"/>
                <w:szCs w:val="20"/>
              </w:rPr>
              <w:t>D</w:t>
            </w:r>
            <w:r w:rsidRPr="00564A46">
              <w:rPr>
                <w:rFonts w:asciiTheme="minorHAnsi" w:hAnsiTheme="minorHAnsi"/>
                <w:color w:val="000000" w:themeColor="text1"/>
                <w:sz w:val="20"/>
                <w:szCs w:val="20"/>
                <w:vertAlign w:val="subscript"/>
              </w:rPr>
              <w:t>6.5</w:t>
            </w:r>
            <w:r w:rsidRPr="00564A46">
              <w:rPr>
                <w:rFonts w:asciiTheme="minorHAnsi" w:hAnsiTheme="minorHAnsi"/>
                <w:color w:val="000000" w:themeColor="text1"/>
                <w:sz w:val="20"/>
                <w:szCs w:val="20"/>
              </w:rPr>
              <w:t xml:space="preserve"> using </w:t>
            </w:r>
            <w:r w:rsidR="00170A91" w:rsidRPr="00564A46">
              <w:rPr>
                <w:rFonts w:asciiTheme="minorHAnsi" w:hAnsiTheme="minorHAnsi"/>
                <w:color w:val="000000" w:themeColor="text1"/>
                <w:sz w:val="20"/>
                <w:szCs w:val="20"/>
              </w:rPr>
              <w:t>log P</w:t>
            </w:r>
            <w:r w:rsidRPr="00564A46">
              <w:rPr>
                <w:rFonts w:asciiTheme="minorHAnsi" w:hAnsiTheme="minorHAnsi"/>
                <w:color w:val="000000" w:themeColor="text1"/>
                <w:sz w:val="20"/>
                <w:szCs w:val="20"/>
              </w:rPr>
              <w:t xml:space="preserve"> and pK</w:t>
            </w:r>
            <w:r w:rsidRPr="00564A46">
              <w:rPr>
                <w:rFonts w:asciiTheme="minorHAnsi" w:hAnsiTheme="minorHAnsi"/>
                <w:color w:val="000000" w:themeColor="text1"/>
                <w:sz w:val="20"/>
                <w:szCs w:val="20"/>
                <w:vertAlign w:val="subscript"/>
              </w:rPr>
              <w:t>a</w:t>
            </w:r>
            <w:r w:rsidRPr="00564A46">
              <w:rPr>
                <w:rFonts w:asciiTheme="minorHAnsi" w:hAnsiTheme="minorHAnsi"/>
                <w:color w:val="000000" w:themeColor="text1"/>
                <w:sz w:val="20"/>
                <w:szCs w:val="20"/>
              </w:rPr>
              <w:t xml:space="preserve">. </w:t>
            </w:r>
          </w:p>
          <w:p w14:paraId="590255ED" w14:textId="19563A30"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m</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&lt;EndNote&gt;&lt;Cite&gt;&lt;Author&gt;Palmer&lt;/Author&gt;&lt;Year&gt;2008&lt;/Year&gt;&lt;RecNum&gt;148&lt;/RecNum&gt;&lt;DisplayText&gt;(20)&lt;/DisplayText&gt;&lt;record&gt;&lt;rec-number&gt;148&lt;/rec-number&gt;&lt;foreign-keys&gt;&lt;key app="EN" db-id="vapsarvf3x9d5serzs6vt59osvzvsr55efxx" timestamp="1560648040"&gt;148&lt;/key&gt;&lt;/foreign-keys&gt;&lt;ref-type name="Journal Article"&gt;17&lt;/ref-type&gt;&lt;contributors&gt;&lt;authors&gt;&lt;author&gt;Palmer, D. S.&lt;/author&gt;&lt;author&gt;Llinas, A.&lt;/author&gt;&lt;author&gt;Morao, I.&lt;/author&gt;&lt;author&gt;Day, G. M.&lt;/author&gt;&lt;author&gt;Goodman, J. M.&lt;/author&gt;&lt;author&gt;Glen, R. C.&lt;/author&gt;&lt;author&gt;Mitchell, J. B.&lt;/author&gt;&lt;/authors&gt;&lt;/contributors&gt;&lt;auth-address&gt;The Pfizer Institute for Pharmaceutical Materials Science and Unilever Centre for Molecular Science Informatics, Department of Chemistry, University of Cambridge, Lensfield Road, Cambridge, CB2 1EW, United Kingdom.&lt;/auth-address&gt;&lt;titles&gt;&lt;title&gt;Predicting intrinsic aqueous solubility by a thermodynamic cycle&lt;/title&gt;&lt;secondary-title&gt;Mol Pharm&lt;/secondary-title&gt;&lt;/titles&gt;&lt;periodical&gt;&lt;full-title&gt;Mol Pharm&lt;/full-title&gt;&lt;/periodical&gt;&lt;pages&gt;266-79&lt;/pages&gt;&lt;volume&gt;5&lt;/volume&gt;&lt;number&gt;2&lt;/number&gt;&lt;keywords&gt;&lt;keyword&gt;Quantitative Structure-Activity Relationship&lt;/keyword&gt;&lt;keyword&gt;*Solubility&lt;/keyword&gt;&lt;keyword&gt;*Thermodynamics&lt;/keyword&gt;&lt;/keywords&gt;&lt;dates&gt;&lt;year&gt;2008&lt;/year&gt;&lt;pub-dates&gt;&lt;date&gt;Mar-Apr&lt;/date&gt;&lt;/pub-dates&gt;&lt;/dates&gt;&lt;isbn&gt;1543-8384 (Print)&amp;#xD;1543-8384 (Linking)&lt;/isbn&gt;&lt;accession-num&gt;18290628&lt;/accession-num&gt;&lt;urls&gt;&lt;related-urls&gt;&lt;url&gt;https://www.ncbi.nlm.nih.gov/pubmed/18290628&lt;/url&gt;&lt;/related-urls&gt;&lt;/urls&gt;&lt;electronic-resource-num&gt;10.1021/mp7000878&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(20)</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w:t>
            </w:r>
          </w:p>
          <w:p w14:paraId="49A75BDC" w14:textId="5BBEFDFC"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n</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&lt;EndNote&gt;&lt;Cite&gt;&lt;Author&gt;Krieg&lt;/Author&gt;&lt;Year&gt;2015&lt;/Year&gt;&lt;RecNum&gt;67&lt;/RecNum&gt;&lt;DisplayText&gt;(21)&lt;/DisplayText&gt;&lt;record&gt;&lt;rec-number&gt;67&lt;/rec-number&gt;&lt;foreign-keys&gt;&lt;key app="EN" db-id="vapsarvf3x9d5serzs6vt59osvzvsr55efxx" timestamp="1560648040"&gt;67&lt;/key&gt;&lt;/foreign-keys&gt;&lt;ref-type name="Journal Article"&gt;17&lt;/ref-type&gt;&lt;contributors&gt;&lt;authors&gt;&lt;author&gt;Krieg, Brian J.&lt;/author&gt;&lt;author&gt;Taghavi, Seyed Mohammad&lt;/author&gt;&lt;author&gt;Amidon, Gordon L.&lt;/author&gt;&lt;author&gt;Amidon, Gregory E.&lt;/author&gt;&lt;/authors&gt;&lt;/contributors&gt;&lt;titles&gt;&lt;title&gt;In Vivo Predictive Dissolution: Comparing the Effect of Bicarbonate and Phosphate Buffer on the Dissolution of Weak Acids and Weak Bases&lt;/title&gt;&lt;secondary-title&gt;Journal of Pharmaceutical Sciences&lt;/secondary-title&gt;&lt;/titles&gt;&lt;periodical&gt;&lt;full-title&gt;Journal of Pharmaceutical Sciences&lt;/full-title&gt;&lt;/periodical&gt;&lt;pages&gt;2894-2904&lt;/pages&gt;&lt;volume&gt;104&lt;/volume&gt;&lt;number&gt;9&lt;/number&gt;&lt;dates&gt;&lt;year&gt;2015&lt;/year&gt;&lt;pub-dates&gt;&lt;date&gt;Sep&lt;/date&gt;&lt;/pub-dates&gt;&lt;/dates&gt;&lt;isbn&gt;0022-3549&lt;/isbn&gt;&lt;accession-num&gt;WOS:000359857200021&lt;/accession-num&gt;&lt;urls&gt;&lt;related-urls&gt;&lt;url&gt;&amp;lt;Go to ISI&amp;gt;://WOS:000359857200021&lt;/url&gt;&lt;/related-urls&gt;&lt;/urls&gt;&lt;electronic-resource-num&gt;10.1002/jps.24460&lt;/electronic-resource-num&gt;&lt;/record&gt;&lt;/Cite&gt;&lt;/EndNote&gt;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(21)</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w:t>
            </w:r>
          </w:p>
          <w:p w14:paraId="347BDCF1" w14:textId="657D6159"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 xml:space="preserve">o </w:t>
            </w:r>
            <w:r w:rsidR="00E8007D" w:rsidRPr="00564A46">
              <w:rPr>
                <w:rFonts w:asciiTheme="minorHAnsi" w:hAnsiTheme="minorHAnsi"/>
                <w:color w:val="000000" w:themeColor="text1"/>
                <w:sz w:val="20"/>
                <w:szCs w:val="20"/>
                <w:vertAlign w:val="superscript"/>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&lt;EndNote&gt;&lt;Cite&gt;&lt;Author&gt;Mudie&lt;/Author&gt;&lt;Year&gt;2012&lt;/Year&gt;&lt;RecNum&gt;19&lt;/RecNum&gt;&lt;DisplayText&gt;(22)&lt;/DisplayText&gt;&lt;record&gt;&lt;rec-number&gt;19&lt;/rec-number&gt;&lt;foreign-keys&gt;&lt;key app="EN" db-id="vapsarvf3x9d5serzs6vt59osvzvsr55efxx" timestamp="1560648040"&gt;19&lt;/key&gt;&lt;/foreign-keys&gt;&lt;ref-type name="Journal Article"&gt;17&lt;/ref-type&gt;&lt;contributors&gt;&lt;authors&gt;&lt;author&gt;Mudie, Deanna M.&lt;/author&gt;&lt;author&gt;Shi, Yi&lt;/author&gt;&lt;author&gt;Ping, Haili&lt;/author&gt;&lt;author&gt;Gao, Ping&lt;/author&gt;&lt;author&gt;Amidon, Gordon L.&lt;/author&gt;&lt;author&gt;Amidon, Gregory E.&lt;/author&gt;&lt;/authors&gt;&lt;/contributors&gt;&lt;titles&gt;&lt;title&gt;Mechanistic analysis of solute transport in an in vitro physiological two-phase dissolution apparatus&lt;/title&gt;&lt;secondary-title&gt;Biopharmaceutics &amp;amp; Drug Disposition&lt;/secondary-title&gt;&lt;/titles&gt;&lt;periodical&gt;&lt;full-title&gt;Biopharmaceutics &amp;amp; Drug Disposition&lt;/full-title&gt;&lt;/periodical&gt;&lt;pages&gt;378-402&lt;/pages&gt;&lt;volume&gt;33&lt;/volume&gt;&lt;number&gt;7&lt;/number&gt;&lt;dates&gt;&lt;year&gt;2012&lt;/year&gt;&lt;pub-dates&gt;&lt;date&gt;Oct&lt;/date&gt;&lt;/pub-dates&gt;&lt;/dates&gt;&lt;isbn&gt;0142-2782&lt;/isbn&gt;&lt;accession-num&gt;WOS:000309409500005&lt;/accession-num&gt;&lt;urls&gt;&lt;related-urls&gt;&lt;url&gt;&amp;lt;Go to ISI&amp;gt;://WOS:000309409500005&lt;/url&gt;&lt;/related-urls&gt;&lt;/urls&gt;&lt;electronic-resource-num&gt;10.1002/bdd.1803&lt;/electronic-resource-num&gt;&lt;/record&gt;&lt;/Cite&gt;&lt;/EndNote&gt;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(22)</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w:t>
            </w:r>
          </w:p>
          <w:p w14:paraId="0ED7D11C" w14:textId="74F74FEF"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p</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&lt;EndNote&gt;&lt;Cite&gt;&lt;Author&gt;Mithani&lt;/Author&gt;&lt;Year&gt;1996&lt;/Year&gt;&lt;RecNum&gt;149&lt;/RecNum&gt;&lt;DisplayText&gt;(23)&lt;/DisplayText&gt;&lt;record&gt;&lt;rec-number&gt;149&lt;/rec-number&gt;&lt;foreign-keys&gt;&lt;key app="EN" db-id="vapsarvf3x9d5serzs6vt59osvzvsr55efxx" timestamp="1560648040"&gt;149&lt;/key&gt;&lt;/foreign-keys&gt;&lt;ref-type name="Journal Article"&gt;17&lt;/ref-type&gt;&lt;contributors&gt;&lt;authors&gt;&lt;author&gt;Mithani, S. D.&lt;/author&gt;&lt;author&gt;Bakatselou, V.&lt;/author&gt;&lt;author&gt;TenHoor, C. N.&lt;/author&gt;&lt;author&gt;Dressman, J. B.&lt;/author&gt;&lt;/authors&gt;&lt;/contributors&gt;&lt;auth-address&gt;College of Pharmacy, University of Michigan, Ann Arbor 48109-1065, USA.&lt;/auth-address&gt;&lt;titles&gt;&lt;title&gt;Estimation of the increase in solubility of drugs as a function of bile salt concentration&lt;/title&gt;&lt;secondary-title&gt;Pharm Res&lt;/secondary-title&gt;&lt;/titles&gt;&lt;periodical&gt;&lt;full-title&gt;Pharm Res&lt;/full-title&gt;&lt;/periodical&gt;&lt;pages&gt;163-7&lt;/pages&gt;&lt;volume&gt;13&lt;/volume&gt;&lt;number&gt;1&lt;/number&gt;&lt;keywords&gt;&lt;keyword&gt;Bile Acids and Salts/*metabolism&lt;/keyword&gt;&lt;keyword&gt;Chemical Phenomena&lt;/keyword&gt;&lt;keyword&gt;Chemistry, Physical&lt;/keyword&gt;&lt;keyword&gt;Cholagogues and Choleretics/pharmacology&lt;/keyword&gt;&lt;keyword&gt;Cyclosporine/pharmacokinetics&lt;/keyword&gt;&lt;keyword&gt;Diazepam/pharmacokinetics&lt;/keyword&gt;&lt;keyword&gt;Fasting/*physiology&lt;/keyword&gt;&lt;keyword&gt;Food&lt;/keyword&gt;&lt;keyword&gt;Griseofulvin/pharmacokinetics&lt;/keyword&gt;&lt;keyword&gt;Intestinal Absorption/*physiology&lt;/keyword&gt;&lt;keyword&gt;Models, Chemical&lt;/keyword&gt;&lt;keyword&gt;Pentazocine/pharmacokinetics&lt;/keyword&gt;&lt;keyword&gt;Phenytoin/pharmacokinetics&lt;/keyword&gt;&lt;keyword&gt;Solubility&lt;/keyword&gt;&lt;keyword&gt;Steroids/*pharmacokinetics&lt;/keyword&gt;&lt;keyword&gt;Taurocholic Acid/pharmacology&lt;/keyword&gt;&lt;/keywords&gt;&lt;dates&gt;&lt;year&gt;1996&lt;/year&gt;&lt;pub-dates&gt;&lt;date&gt;Jan&lt;/date&gt;&lt;/pub-dates&gt;&lt;/dates&gt;&lt;isbn&gt;0724-8741 (Print)&amp;#xD;0724-8741 (Linking)&lt;/isbn&gt;&lt;accession-num&gt;8668668&lt;/accession-num&gt;&lt;urls&gt;&lt;related-urls&gt;&lt;url&gt;https://www.ncbi.nlm.nih.gov/pubmed/8668668&lt;/url&gt;&lt;/related-urls&gt;&lt;/urls&gt;&lt;/record&gt;&lt;/Cite&gt;&lt;/EndNote&gt;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(23)</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w:t>
            </w:r>
          </w:p>
          <w:p w14:paraId="087DE48F" w14:textId="2EAAF036"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q</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&lt;EndNote&gt;&lt;Cite&gt;&lt;Author&gt;Soderlind&lt;/Author&gt;&lt;Year&gt;2010&lt;/Year&gt;&lt;RecNum&gt;113&lt;/RecNum&gt;&lt;DisplayText&gt;(24)&lt;/DisplayText&gt;&lt;record&gt;&lt;rec-number&gt;113&lt;/rec-number&gt;&lt;foreign-keys&gt;&lt;key app="EN" db-id="vapsarvf3x9d5serzs6vt59osvzvsr55efxx" timestamp="1560648040"&gt;113&lt;/key&gt;&lt;/foreign-keys&gt;&lt;ref-type name="Journal Article"&gt;17&lt;/ref-type&gt;&lt;contributors&gt;&lt;authors&gt;&lt;author&gt;Soderlind, Erik&lt;/author&gt;&lt;author&gt;Karlsson, Eva&lt;/author&gt;&lt;author&gt;Carlsson, Anders&lt;/author&gt;&lt;author&gt;Kong, Rui&lt;/author&gt;&lt;author&gt;Lenz, Anna&lt;/author&gt;&lt;author&gt;Lindborg, Sara&lt;/author&gt;&lt;author&gt;Sheng, Jennifer J.&lt;/author&gt;&lt;/authors&gt;&lt;/contributors&gt;&lt;titles&gt;&lt;title&gt;Simulating Fasted Human Intestinal Fluids: Understanding the Roles of Lecithin and Bile Acids&lt;/title&gt;&lt;secondary-title&gt;Molecular Pharmaceutics&lt;/secondary-title&gt;&lt;/titles&gt;&lt;periodical&gt;&lt;full-title&gt;Molecular Pharmaceutics&lt;/full-title&gt;&lt;/periodical&gt;&lt;pages&gt;1498-1507&lt;/pages&gt;&lt;volume&gt;7&lt;/volume&gt;&lt;number&gt;5&lt;/number&gt;&lt;dates&gt;&lt;year&gt;2010&lt;/year&gt;&lt;pub-dates&gt;&lt;date&gt;Sep-Oct&lt;/date&gt;&lt;/pub-dates&gt;&lt;/dates&gt;&lt;isbn&gt;1543-8384&lt;/isbn&gt;&lt;accession-num&gt;WOS:000282304200014&lt;/accession-num&gt;&lt;urls&gt;&lt;related-urls&gt;&lt;url&gt;&amp;lt;Go to ISI&amp;gt;://WOS:000282304200014&lt;/url&gt;&lt;/related-urls&gt;&lt;/urls&gt;&lt;electronic-resource-num&gt;10.1021/mp100144v&lt;/electronic-resource-num&gt;&lt;/record&gt;&lt;/Cite&gt;&lt;/EndNote&gt;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(24)</w:t>
            </w:r>
            <w:r w:rsidRPr="00564A46">
              <w:rPr>
                <w:rFonts w:asciiTheme="minorHAnsi" w:hAnsiTheme="minorHAnsi"/>
                <w:color w:val="000000" w:themeColor="text1"/>
                <w:sz w:val="20"/>
                <w:szCs w:val="20"/>
              </w:rPr>
              <w:fldChar w:fldCharType="end"/>
            </w:r>
          </w:p>
          <w:p w14:paraId="60B5FD11" w14:textId="17818C8A" w:rsidR="00D92445" w:rsidRPr="00564A46" w:rsidRDefault="00D92445" w:rsidP="00963D35">
            <w:pPr>
              <w:spacing w:line="240" w:lineRule="auto"/>
              <w:ind w:left="425" w:hanging="425"/>
              <w:rPr>
                <w:rFonts w:asciiTheme="minorHAnsi" w:hAnsiTheme="minorHAnsi"/>
                <w:color w:val="000000" w:themeColor="text1"/>
                <w:sz w:val="20"/>
                <w:szCs w:val="20"/>
              </w:rPr>
            </w:pPr>
            <w:r w:rsidRPr="00564A46">
              <w:rPr>
                <w:rFonts w:asciiTheme="minorHAnsi" w:hAnsiTheme="minorHAnsi"/>
                <w:color w:val="000000" w:themeColor="text1"/>
                <w:sz w:val="20"/>
                <w:szCs w:val="20"/>
                <w:vertAlign w:val="superscript"/>
              </w:rPr>
              <w:t>r</w:t>
            </w:r>
            <w:r w:rsidRPr="00564A46">
              <w:rPr>
                <w:rFonts w:asciiTheme="minorHAnsi" w:hAnsiTheme="minorHAnsi"/>
                <w:color w:val="000000" w:themeColor="text1"/>
                <w:sz w:val="20"/>
                <w:szCs w:val="20"/>
              </w:rPr>
              <w:t xml:space="preserve"> </w:t>
            </w:r>
            <w:r w:rsidR="00E8007D" w:rsidRPr="00564A46">
              <w:rPr>
                <w:rFonts w:asciiTheme="minorHAnsi" w:hAnsiTheme="minorHAnsi"/>
                <w:color w:val="000000" w:themeColor="text1"/>
                <w:sz w:val="20"/>
                <w:szCs w:val="20"/>
              </w:rPr>
              <w:tab/>
            </w:r>
            <w:r w:rsidRPr="00564A46">
              <w:rPr>
                <w:rFonts w:asciiTheme="minorHAnsi" w:hAnsiTheme="minorHAnsi"/>
                <w:color w:val="000000" w:themeColor="text1"/>
                <w:sz w:val="20"/>
                <w:szCs w:val="20"/>
              </w:rPr>
              <w:t xml:space="preserve">From Reference </w:t>
            </w:r>
            <w:r w:rsidRPr="00564A46">
              <w:rPr>
                <w:rFonts w:asciiTheme="minorHAnsi" w:hAnsiTheme="minorHAnsi"/>
                <w:color w:val="000000" w:themeColor="text1"/>
                <w:sz w:val="20"/>
                <w:szCs w:val="20"/>
              </w:rPr>
              <w:fldChar w:fldCharType="begin"/>
            </w:r>
            <w:r w:rsidR="00613FDE" w:rsidRPr="00564A46">
              <w:rPr>
                <w:rFonts w:asciiTheme="minorHAnsi" w:hAnsiTheme="minorHAnsi"/>
                <w:color w:val="000000" w:themeColor="text1"/>
                <w:sz w:val="20"/>
                <w:szCs w:val="20"/>
              </w:rPr>
              <w:instrText xml:space="preserve"> ADDIN EN.CITE &lt;EndNote&gt;&lt;Cite&gt;&lt;Author&gt;Machatha&lt;/Author&gt;&lt;Year&gt;2005&lt;/Year&gt;&lt;RecNum&gt;150&lt;/RecNum&gt;&lt;DisplayText&gt;(25)&lt;/DisplayText&gt;&lt;record&gt;&lt;rec-number&gt;150&lt;/rec-number&gt;&lt;foreign-keys&gt;&lt;key app="EN" db-id="vapsarvf3x9d5serzs6vt59osvzvsr55efxx" timestamp="1560648040"&gt;150&lt;/key&gt;&lt;/foreign-keys&gt;&lt;ref-type name="Journal Article"&gt;17&lt;/ref-type&gt;&lt;contributors&gt;&lt;authors&gt;&lt;author&gt;Machatha, S. G.&lt;/author&gt;&lt;author&gt;Yalkowsky, S. H.&lt;/author&gt;&lt;/authors&gt;&lt;/contributors&gt;&lt;auth-address&gt;College of Pharmacy, The University of Arizona, 1703 E. Mabel Street, Tucson, AZ 85721-0207, USA. machatha@pharmacy.arizona.edu&lt;/auth-address&gt;&lt;titles&gt;&lt;title&gt;Comparison of the octanol/water partition coefficients calculated by ClogP, ACDlogP and KowWin to experimentally determined values&lt;/title&gt;&lt;secondary-title&gt;Int J Pharm&lt;/secondary-title&gt;&lt;/titles&gt;&lt;periodical&gt;&lt;full-title&gt;Int J Pharm&lt;/full-title&gt;&lt;/periodical&gt;&lt;pages&gt;185-92&lt;/pages&gt;&lt;volume&gt;294&lt;/volume&gt;&lt;number&gt;1-2&lt;/number&gt;&lt;keywords&gt;&lt;keyword&gt;Octanols/*chemistry&lt;/keyword&gt;&lt;keyword&gt;*Software/standards&lt;/keyword&gt;&lt;keyword&gt;Water/*chemistry&lt;/keyword&gt;&lt;/keywords&gt;&lt;dates&gt;&lt;year&gt;2005&lt;/year&gt;&lt;pub-dates&gt;&lt;date&gt;Apr 27&lt;/date&gt;&lt;/pub-dates&gt;&lt;/dates&gt;&lt;isbn&gt;0378-5173 (Print)&amp;#xD;0378-5173 (Linking)&lt;/isbn&gt;&lt;accession-num&gt;15814243&lt;/accession-num&gt;&lt;urls&gt;&lt;related-urls&gt;&lt;url&gt;https://www.ncbi.nlm.nih.gov/pubmed/15814243&lt;/url&gt;&lt;/related-urls&gt;&lt;/urls&gt;&lt;electronic-resource-num&gt;10.1016/j.ijpharm.2005.01.023&lt;/electronic-resource-num&gt;&lt;/record&gt;&lt;/Cite&gt;&lt;/EndNote&gt;</w:instrText>
            </w:r>
            <w:r w:rsidRPr="00564A46">
              <w:rPr>
                <w:rFonts w:asciiTheme="minorHAnsi" w:hAnsiTheme="minorHAnsi"/>
                <w:color w:val="000000" w:themeColor="text1"/>
                <w:sz w:val="20"/>
                <w:szCs w:val="20"/>
              </w:rPr>
              <w:fldChar w:fldCharType="separate"/>
            </w:r>
            <w:r w:rsidR="00613FDE" w:rsidRPr="00564A46">
              <w:rPr>
                <w:rFonts w:asciiTheme="minorHAnsi" w:hAnsiTheme="minorHAnsi"/>
                <w:noProof/>
                <w:color w:val="000000" w:themeColor="text1"/>
                <w:sz w:val="20"/>
                <w:szCs w:val="20"/>
              </w:rPr>
              <w:t>(25)</w:t>
            </w:r>
            <w:r w:rsidRPr="00564A46">
              <w:rPr>
                <w:rFonts w:asciiTheme="minorHAnsi" w:hAnsiTheme="minorHAnsi"/>
                <w:color w:val="000000" w:themeColor="text1"/>
                <w:sz w:val="20"/>
                <w:szCs w:val="20"/>
              </w:rPr>
              <w:fldChar w:fldCharType="end"/>
            </w:r>
            <w:r w:rsidRPr="00564A46">
              <w:rPr>
                <w:rFonts w:asciiTheme="minorHAnsi" w:hAnsiTheme="minorHAnsi"/>
                <w:color w:val="000000" w:themeColor="text1"/>
                <w:sz w:val="20"/>
                <w:szCs w:val="20"/>
              </w:rPr>
              <w:t>.</w:t>
            </w:r>
          </w:p>
        </w:tc>
      </w:tr>
    </w:tbl>
    <w:p w14:paraId="4844E94E" w14:textId="77777777" w:rsidR="00D92445" w:rsidRPr="00564A46" w:rsidRDefault="00D92445" w:rsidP="00963D35">
      <w:pPr>
        <w:widowControl w:val="0"/>
        <w:autoSpaceDE w:val="0"/>
        <w:autoSpaceDN w:val="0"/>
        <w:adjustRightInd w:val="0"/>
        <w:spacing w:after="240"/>
        <w:rPr>
          <w:rFonts w:asciiTheme="minorHAnsi" w:hAnsiTheme="minorHAnsi"/>
          <w:b/>
          <w:color w:val="000000" w:themeColor="text1"/>
        </w:rPr>
      </w:pPr>
    </w:p>
    <w:p w14:paraId="20A8D379" w14:textId="77777777" w:rsidR="00BF1AAC" w:rsidRPr="00564A46" w:rsidRDefault="00BF1AAC">
      <w:pPr>
        <w:spacing w:after="160" w:line="259" w:lineRule="auto"/>
        <w:rPr>
          <w:rFonts w:asciiTheme="minorHAnsi" w:hAnsiTheme="minorHAnsi"/>
          <w:b/>
          <w:color w:val="000000" w:themeColor="text1"/>
        </w:rPr>
      </w:pPr>
      <w:r w:rsidRPr="00564A46">
        <w:rPr>
          <w:rFonts w:asciiTheme="minorHAnsi" w:hAnsiTheme="minorHAnsi"/>
          <w:b/>
          <w:color w:val="000000" w:themeColor="text1"/>
        </w:rPr>
        <w:br w:type="page"/>
      </w:r>
    </w:p>
    <w:p w14:paraId="0AD65754" w14:textId="24C7D0FA" w:rsidR="00D92445" w:rsidRPr="00564A46" w:rsidRDefault="00D92445" w:rsidP="00526A2F">
      <w:pPr>
        <w:spacing w:after="240" w:line="240" w:lineRule="auto"/>
        <w:jc w:val="center"/>
        <w:rPr>
          <w:rFonts w:asciiTheme="minorHAnsi" w:hAnsiTheme="minorHAnsi"/>
          <w:color w:val="000000" w:themeColor="text1"/>
        </w:rPr>
      </w:pPr>
      <w:r w:rsidRPr="00564A46">
        <w:rPr>
          <w:rFonts w:asciiTheme="minorHAnsi" w:hAnsiTheme="minorHAnsi"/>
          <w:b/>
          <w:color w:val="000000" w:themeColor="text1"/>
        </w:rPr>
        <w:lastRenderedPageBreak/>
        <w:t xml:space="preserve">Table </w:t>
      </w:r>
      <w:r w:rsidR="006A1279" w:rsidRPr="00564A46">
        <w:rPr>
          <w:rFonts w:asciiTheme="minorHAnsi" w:hAnsiTheme="minorHAnsi"/>
          <w:b/>
          <w:color w:val="000000" w:themeColor="text1"/>
        </w:rPr>
        <w:t>S</w:t>
      </w:r>
      <w:r w:rsidR="00AA3748" w:rsidRPr="00564A46">
        <w:rPr>
          <w:rFonts w:asciiTheme="minorHAnsi" w:hAnsiTheme="minorHAnsi"/>
          <w:b/>
          <w:color w:val="000000" w:themeColor="text1"/>
        </w:rPr>
        <w:t>2</w:t>
      </w:r>
      <w:r w:rsidRPr="00564A46">
        <w:rPr>
          <w:rFonts w:asciiTheme="minorHAnsi" w:hAnsiTheme="minorHAnsi"/>
          <w:b/>
          <w:color w:val="000000" w:themeColor="text1"/>
        </w:rPr>
        <w:t>.</w:t>
      </w:r>
      <w:r w:rsidRPr="00564A46">
        <w:rPr>
          <w:rFonts w:asciiTheme="minorHAnsi" w:hAnsiTheme="minorHAnsi"/>
          <w:color w:val="000000" w:themeColor="text1"/>
        </w:rPr>
        <w:t xml:space="preserve"> Experimental </w:t>
      </w:r>
      <w:r w:rsidR="00AB0FD2" w:rsidRPr="00564A46">
        <w:rPr>
          <w:rFonts w:asciiTheme="minorHAnsi" w:hAnsiTheme="minorHAnsi"/>
          <w:color w:val="000000" w:themeColor="text1"/>
        </w:rPr>
        <w:t xml:space="preserve">Results </w:t>
      </w:r>
      <w:r w:rsidR="00A701CA" w:rsidRPr="00564A46">
        <w:rPr>
          <w:rFonts w:asciiTheme="minorHAnsi" w:hAnsiTheme="minorHAnsi"/>
          <w:color w:val="000000" w:themeColor="text1"/>
        </w:rPr>
        <w:t xml:space="preserve">Compared </w:t>
      </w:r>
      <w:proofErr w:type="gramStart"/>
      <w:r w:rsidR="00A701CA" w:rsidRPr="00564A46">
        <w:rPr>
          <w:rFonts w:asciiTheme="minorHAnsi" w:hAnsiTheme="minorHAnsi"/>
          <w:color w:val="000000" w:themeColor="text1"/>
        </w:rPr>
        <w:t>With</w:t>
      </w:r>
      <w:proofErr w:type="gramEnd"/>
      <w:r w:rsidR="00A701CA" w:rsidRPr="00564A46">
        <w:rPr>
          <w:rFonts w:asciiTheme="minorHAnsi" w:hAnsiTheme="minorHAnsi"/>
          <w:color w:val="000000" w:themeColor="text1"/>
        </w:rPr>
        <w:t xml:space="preserve"> Calculate</w:t>
      </w:r>
      <w:r w:rsidR="00AB0FD2" w:rsidRPr="00564A46">
        <w:rPr>
          <w:rFonts w:asciiTheme="minorHAnsi" w:hAnsiTheme="minorHAnsi"/>
          <w:color w:val="000000" w:themeColor="text1"/>
        </w:rPr>
        <w:t xml:space="preserve">d Results </w:t>
      </w:r>
      <w:r w:rsidR="00A701CA" w:rsidRPr="00564A46">
        <w:rPr>
          <w:rFonts w:asciiTheme="minorHAnsi" w:hAnsiTheme="minorHAnsi"/>
          <w:color w:val="000000" w:themeColor="text1"/>
        </w:rPr>
        <w:t>f</w:t>
      </w:r>
      <w:r w:rsidR="00AB0FD2" w:rsidRPr="00564A46">
        <w:rPr>
          <w:rFonts w:asciiTheme="minorHAnsi" w:hAnsiTheme="minorHAnsi"/>
          <w:color w:val="000000" w:themeColor="text1"/>
        </w:rPr>
        <w:t xml:space="preserve">rom Model Compound </w:t>
      </w:r>
      <w:r w:rsidR="00A701CA" w:rsidRPr="00564A46">
        <w:rPr>
          <w:rFonts w:asciiTheme="minorHAnsi" w:hAnsiTheme="minorHAnsi"/>
          <w:color w:val="000000" w:themeColor="text1"/>
        </w:rPr>
        <w:t>Confirmation</w:t>
      </w:r>
      <w:r w:rsidR="00AB0FD2" w:rsidRPr="00564A46">
        <w:rPr>
          <w:rFonts w:asciiTheme="minorHAnsi" w:hAnsiTheme="minorHAnsi"/>
          <w:color w:val="000000" w:themeColor="text1"/>
        </w:rPr>
        <w:t>, Showing Effect of Buffer Capacity/Concentration and</w:t>
      </w:r>
      <w:r w:rsidR="00AB0FD2" w:rsidRPr="00564A46" w:rsidDel="00AB0FD2">
        <w:rPr>
          <w:rFonts w:asciiTheme="minorHAnsi" w:hAnsiTheme="minorHAnsi"/>
          <w:color w:val="000000" w:themeColor="text1"/>
        </w:rPr>
        <w:t xml:space="preserve"> </w:t>
      </w:r>
      <w:r w:rsidR="00AB0FD2" w:rsidRPr="00564A46">
        <w:rPr>
          <w:rFonts w:asciiTheme="minorHAnsi" w:hAnsiTheme="minorHAnsi"/>
          <w:color w:val="000000" w:themeColor="text1"/>
        </w:rPr>
        <w:t>Effect of Bile Salts and Phospholipid</w:t>
      </w:r>
      <w:r w:rsidR="001D16EC" w:rsidRPr="00564A46">
        <w:rPr>
          <w:rFonts w:asciiTheme="minorHAnsi" w:hAnsiTheme="minorHAnsi"/>
          <w:color w:val="000000" w:themeColor="text1"/>
        </w:rPr>
        <w:t>s</w:t>
      </w:r>
    </w:p>
    <w:tbl>
      <w:tblPr>
        <w:tblStyle w:val="TableGrid"/>
        <w:tblW w:w="5000" w:type="pct"/>
        <w:tblLayout w:type="fixed"/>
        <w:tblLook w:val="04A0" w:firstRow="1" w:lastRow="0" w:firstColumn="1" w:lastColumn="0" w:noHBand="0" w:noVBand="1"/>
      </w:tblPr>
      <w:tblGrid>
        <w:gridCol w:w="1507"/>
        <w:gridCol w:w="1546"/>
        <w:gridCol w:w="1081"/>
        <w:gridCol w:w="1891"/>
        <w:gridCol w:w="1530"/>
        <w:gridCol w:w="1795"/>
      </w:tblGrid>
      <w:tr w:rsidR="00564A46" w:rsidRPr="00564A46" w:rsidDel="004378F4" w14:paraId="24E0DB1A" w14:textId="77777777" w:rsidTr="00963D35">
        <w:trPr>
          <w:trHeight w:val="360"/>
        </w:trPr>
        <w:tc>
          <w:tcPr>
            <w:tcW w:w="5000" w:type="pct"/>
            <w:gridSpan w:val="6"/>
            <w:tcBorders>
              <w:top w:val="single" w:sz="4" w:space="0" w:color="auto"/>
            </w:tcBorders>
            <w:shd w:val="clear" w:color="auto" w:fill="D9D9D9" w:themeFill="background1" w:themeFillShade="D9"/>
            <w:noWrap/>
            <w:vAlign w:val="center"/>
          </w:tcPr>
          <w:p w14:paraId="057CEEC6" w14:textId="645F0E79" w:rsidR="00AB0FD2" w:rsidRPr="00564A46" w:rsidRDefault="00AB0FD2" w:rsidP="00E2641B">
            <w:pPr>
              <w:spacing w:line="240" w:lineRule="auto"/>
              <w:contextualSpacing/>
              <w:rPr>
                <w:rFonts w:asciiTheme="minorHAnsi" w:eastAsia="Times New Roman" w:hAnsiTheme="minorHAnsi"/>
                <w:b/>
                <w:bCs/>
                <w:color w:val="000000" w:themeColor="text1"/>
                <w:sz w:val="20"/>
                <w:szCs w:val="20"/>
              </w:rPr>
            </w:pPr>
            <w:bookmarkStart w:id="3" w:name="_Hlk25584045"/>
            <w:r w:rsidRPr="00564A46">
              <w:rPr>
                <w:rFonts w:asciiTheme="minorHAnsi" w:eastAsia="Times New Roman" w:hAnsiTheme="minorHAnsi"/>
                <w:b/>
                <w:bCs/>
                <w:color w:val="000000" w:themeColor="text1"/>
                <w:sz w:val="20"/>
                <w:szCs w:val="20"/>
              </w:rPr>
              <w:t>Effect of Buffer Capacity/Concentration</w:t>
            </w:r>
          </w:p>
        </w:tc>
      </w:tr>
      <w:tr w:rsidR="00564A46" w:rsidRPr="00564A46" w:rsidDel="004378F4" w14:paraId="5F4EBC52" w14:textId="77777777" w:rsidTr="001D16EC">
        <w:trPr>
          <w:trHeight w:val="360"/>
        </w:trPr>
        <w:tc>
          <w:tcPr>
            <w:tcW w:w="806" w:type="pct"/>
            <w:vMerge w:val="restart"/>
            <w:tcBorders>
              <w:top w:val="single" w:sz="4" w:space="0" w:color="auto"/>
            </w:tcBorders>
            <w:noWrap/>
            <w:vAlign w:val="center"/>
          </w:tcPr>
          <w:p w14:paraId="7A750C4C" w14:textId="144279F0" w:rsidR="00AB0FD2" w:rsidRPr="00564A46" w:rsidRDefault="001D16EC" w:rsidP="00963D35">
            <w:pPr>
              <w:spacing w:line="240" w:lineRule="auto"/>
              <w:contextualSpacing/>
              <w:jc w:val="center"/>
              <w:rPr>
                <w:rFonts w:asciiTheme="minorHAnsi" w:eastAsia="Times New Roman" w:hAnsiTheme="minorHAnsi"/>
                <w:b/>
                <w:bCs/>
                <w:color w:val="000000" w:themeColor="text1"/>
                <w:sz w:val="20"/>
                <w:szCs w:val="20"/>
              </w:rPr>
            </w:pPr>
            <w:r w:rsidRPr="00564A46">
              <w:rPr>
                <w:rFonts w:asciiTheme="minorHAnsi" w:eastAsia="Times New Roman" w:hAnsiTheme="minorHAnsi"/>
                <w:b/>
                <w:bCs/>
                <w:color w:val="000000" w:themeColor="text1"/>
                <w:sz w:val="20"/>
                <w:szCs w:val="20"/>
              </w:rPr>
              <w:t>Compound</w:t>
            </w:r>
          </w:p>
        </w:tc>
        <w:tc>
          <w:tcPr>
            <w:tcW w:w="827" w:type="pct"/>
            <w:vMerge w:val="restart"/>
            <w:tcBorders>
              <w:top w:val="single" w:sz="4" w:space="0" w:color="auto"/>
            </w:tcBorders>
            <w:noWrap/>
            <w:vAlign w:val="center"/>
          </w:tcPr>
          <w:p w14:paraId="19EB87AC" w14:textId="77777777" w:rsidR="000A5690" w:rsidRPr="00564A46" w:rsidRDefault="000A5690" w:rsidP="000A5690">
            <w:pPr>
              <w:spacing w:line="240" w:lineRule="auto"/>
              <w:contextualSpacing/>
              <w:jc w:val="center"/>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t>Calculated Equivalent</w:t>
            </w:r>
          </w:p>
          <w:p w14:paraId="7BC0979D" w14:textId="77777777" w:rsidR="000A5690" w:rsidRPr="00564A46" w:rsidRDefault="000A5690" w:rsidP="000A5690">
            <w:pPr>
              <w:spacing w:line="240" w:lineRule="auto"/>
              <w:contextualSpacing/>
              <w:jc w:val="center"/>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t>Phosphate</w:t>
            </w:r>
          </w:p>
          <w:p w14:paraId="7765A908" w14:textId="268562D7" w:rsidR="00AB0FD2" w:rsidRPr="00564A46" w:rsidRDefault="000A5690" w:rsidP="00963D35">
            <w:pPr>
              <w:spacing w:line="240" w:lineRule="auto"/>
              <w:contextualSpacing/>
              <w:jc w:val="center"/>
              <w:rPr>
                <w:rFonts w:asciiTheme="minorHAnsi" w:eastAsia="Times New Roman" w:hAnsiTheme="minorHAnsi"/>
                <w:color w:val="000000" w:themeColor="text1"/>
                <w:sz w:val="20"/>
                <w:szCs w:val="20"/>
              </w:rPr>
            </w:pPr>
            <w:r w:rsidRPr="00564A46">
              <w:rPr>
                <w:rFonts w:asciiTheme="minorHAnsi" w:eastAsia="Times New Roman" w:hAnsiTheme="minorHAnsi"/>
                <w:b/>
                <w:color w:val="000000" w:themeColor="text1"/>
                <w:sz w:val="20"/>
                <w:szCs w:val="20"/>
              </w:rPr>
              <w:t>Concentration (mM)</w:t>
            </w:r>
          </w:p>
        </w:tc>
        <w:tc>
          <w:tcPr>
            <w:tcW w:w="578" w:type="pct"/>
            <w:vMerge w:val="restart"/>
            <w:tcBorders>
              <w:top w:val="single" w:sz="4" w:space="0" w:color="auto"/>
            </w:tcBorders>
            <w:vAlign w:val="center"/>
          </w:tcPr>
          <w:p w14:paraId="7FF2D582" w14:textId="6E4D2E31" w:rsidR="00945F7C" w:rsidRPr="00564A46" w:rsidRDefault="00945F7C" w:rsidP="00963D35">
            <w:pPr>
              <w:spacing w:line="240" w:lineRule="auto"/>
              <w:contextualSpacing/>
              <w:jc w:val="center"/>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sym w:font="Symbol" w:char="F061"/>
            </w:r>
            <w:r w:rsidRPr="00564A46">
              <w:rPr>
                <w:rFonts w:asciiTheme="minorHAnsi" w:eastAsia="Times New Roman" w:hAnsiTheme="minorHAnsi"/>
                <w:b/>
                <w:color w:val="000000" w:themeColor="text1"/>
                <w:sz w:val="20"/>
                <w:szCs w:val="20"/>
              </w:rPr>
              <w:t xml:space="preserve"> (acids) or</w:t>
            </w:r>
          </w:p>
          <w:p w14:paraId="121287A1" w14:textId="2FF5BA2E" w:rsidR="00AB0FD2" w:rsidRPr="00564A46" w:rsidRDefault="00AB0FD2" w:rsidP="00A00303">
            <w:pPr>
              <w:spacing w:line="240" w:lineRule="auto"/>
              <w:contextualSpacing/>
              <w:jc w:val="center"/>
              <w:rPr>
                <w:rFonts w:asciiTheme="minorHAnsi" w:eastAsia="Times New Roman" w:hAnsiTheme="minorHAnsi"/>
                <w:b/>
                <w:color w:val="000000" w:themeColor="text1"/>
                <w:sz w:val="20"/>
                <w:szCs w:val="20"/>
              </w:rPr>
            </w:pPr>
            <w:r w:rsidRPr="00564A46">
              <w:rPr>
                <w:rFonts w:asciiTheme="minorHAnsi" w:eastAsia="Times New Roman" w:hAnsiTheme="minorHAnsi"/>
                <w:b/>
                <w:color w:val="000000" w:themeColor="text1"/>
                <w:sz w:val="20"/>
                <w:szCs w:val="20"/>
              </w:rPr>
              <w:sym w:font="Symbol" w:char="F062"/>
            </w:r>
            <w:r w:rsidRPr="00564A46">
              <w:rPr>
                <w:rFonts w:asciiTheme="minorHAnsi" w:eastAsia="Times New Roman" w:hAnsiTheme="minorHAnsi"/>
                <w:b/>
                <w:color w:val="000000" w:themeColor="text1"/>
                <w:sz w:val="20"/>
                <w:szCs w:val="20"/>
              </w:rPr>
              <w:t xml:space="preserve"> </w:t>
            </w:r>
            <w:r w:rsidR="00A00303" w:rsidRPr="00564A46">
              <w:rPr>
                <w:rFonts w:asciiTheme="minorHAnsi" w:eastAsia="Times New Roman" w:hAnsiTheme="minorHAnsi"/>
                <w:b/>
                <w:color w:val="000000" w:themeColor="text1"/>
                <w:sz w:val="20"/>
                <w:szCs w:val="20"/>
              </w:rPr>
              <w:t>(bases)</w:t>
            </w:r>
            <w:r w:rsidR="00A05784" w:rsidRPr="00564A46">
              <w:rPr>
                <w:rFonts w:asciiTheme="minorHAnsi" w:eastAsia="Times New Roman" w:hAnsiTheme="minorHAnsi"/>
                <w:b/>
                <w:color w:val="000000" w:themeColor="text1"/>
                <w:sz w:val="20"/>
                <w:szCs w:val="20"/>
              </w:rPr>
              <w:t xml:space="preserve"> </w:t>
            </w:r>
            <w:r w:rsidR="000A5690" w:rsidRPr="00564A46">
              <w:rPr>
                <w:rFonts w:asciiTheme="minorHAnsi" w:eastAsia="Times New Roman" w:hAnsiTheme="minorHAnsi"/>
                <w:b/>
                <w:color w:val="000000" w:themeColor="text1"/>
                <w:sz w:val="20"/>
                <w:szCs w:val="20"/>
                <w:vertAlign w:val="superscript"/>
              </w:rPr>
              <w:t>a</w:t>
            </w:r>
          </w:p>
        </w:tc>
        <w:tc>
          <w:tcPr>
            <w:tcW w:w="1011" w:type="pct"/>
            <w:vMerge w:val="restart"/>
            <w:tcBorders>
              <w:top w:val="single" w:sz="4" w:space="0" w:color="auto"/>
            </w:tcBorders>
            <w:vAlign w:val="center"/>
          </w:tcPr>
          <w:p w14:paraId="6BE9D85E" w14:textId="6A1E3626" w:rsidR="00AB0FD2" w:rsidRPr="00564A46" w:rsidRDefault="00AB0FD2" w:rsidP="00963D35">
            <w:pPr>
              <w:spacing w:line="240" w:lineRule="auto"/>
              <w:contextualSpacing/>
              <w:jc w:val="center"/>
              <w:rPr>
                <w:rFonts w:asciiTheme="minorHAnsi" w:eastAsia="Times New Roman" w:hAnsiTheme="minorHAnsi"/>
                <w:color w:val="000000" w:themeColor="text1"/>
                <w:sz w:val="20"/>
                <w:szCs w:val="20"/>
              </w:rPr>
            </w:pPr>
            <w:r w:rsidRPr="00564A46">
              <w:rPr>
                <w:rFonts w:asciiTheme="minorHAnsi" w:eastAsia="Times New Roman" w:hAnsiTheme="minorHAnsi"/>
                <w:b/>
                <w:color w:val="000000" w:themeColor="text1"/>
                <w:sz w:val="20"/>
                <w:szCs w:val="20"/>
              </w:rPr>
              <w:t xml:space="preserve">Expected Effect </w:t>
            </w:r>
            <w:r w:rsidR="001D16EC" w:rsidRPr="00564A46">
              <w:rPr>
                <w:rFonts w:asciiTheme="minorHAnsi" w:eastAsia="Times New Roman" w:hAnsiTheme="minorHAnsi"/>
                <w:b/>
                <w:color w:val="000000" w:themeColor="text1"/>
                <w:sz w:val="20"/>
                <w:szCs w:val="20"/>
              </w:rPr>
              <w:t>Based Upon Recommen</w:t>
            </w:r>
            <w:r w:rsidRPr="00564A46">
              <w:rPr>
                <w:rFonts w:asciiTheme="minorHAnsi" w:eastAsia="Times New Roman" w:hAnsiTheme="minorHAnsi"/>
                <w:b/>
                <w:color w:val="000000" w:themeColor="text1"/>
                <w:sz w:val="20"/>
                <w:szCs w:val="20"/>
              </w:rPr>
              <w:t>dations?</w:t>
            </w:r>
          </w:p>
        </w:tc>
        <w:tc>
          <w:tcPr>
            <w:tcW w:w="1778" w:type="pct"/>
            <w:gridSpan w:val="2"/>
            <w:tcBorders>
              <w:top w:val="single" w:sz="4" w:space="0" w:color="auto"/>
            </w:tcBorders>
            <w:vAlign w:val="center"/>
          </w:tcPr>
          <w:p w14:paraId="7F259193" w14:textId="0F892351" w:rsidR="00AB0FD2" w:rsidRPr="00564A46" w:rsidRDefault="00A05784" w:rsidP="00963D35">
            <w:pPr>
              <w:spacing w:line="240" w:lineRule="auto"/>
              <w:contextualSpacing/>
              <w:jc w:val="center"/>
              <w:rPr>
                <w:rFonts w:asciiTheme="minorHAnsi" w:eastAsia="Times New Roman" w:hAnsiTheme="minorHAnsi"/>
                <w:b/>
                <w:bCs/>
                <w:color w:val="000000" w:themeColor="text1"/>
                <w:sz w:val="20"/>
                <w:szCs w:val="20"/>
                <w:vertAlign w:val="superscript"/>
              </w:rPr>
            </w:pPr>
            <w:r w:rsidRPr="00564A46">
              <w:rPr>
                <w:rFonts w:asciiTheme="minorHAnsi" w:eastAsia="Times New Roman" w:hAnsiTheme="minorHAnsi"/>
                <w:b/>
                <w:bCs/>
                <w:color w:val="000000" w:themeColor="text1"/>
                <w:sz w:val="20"/>
                <w:szCs w:val="20"/>
              </w:rPr>
              <w:t xml:space="preserve">Fold difference in dissolution rate </w:t>
            </w:r>
            <w:r w:rsidRPr="00564A46">
              <w:rPr>
                <w:rFonts w:asciiTheme="minorHAnsi" w:eastAsia="Times New Roman" w:hAnsiTheme="minorHAnsi"/>
                <w:b/>
                <w:bCs/>
                <w:color w:val="000000" w:themeColor="text1"/>
                <w:sz w:val="20"/>
                <w:szCs w:val="20"/>
                <w:vertAlign w:val="superscript"/>
              </w:rPr>
              <w:t>b</w:t>
            </w:r>
          </w:p>
        </w:tc>
      </w:tr>
      <w:tr w:rsidR="00564A46" w:rsidRPr="00564A46" w:rsidDel="004378F4" w14:paraId="145373BE" w14:textId="77777777" w:rsidTr="00963D35">
        <w:trPr>
          <w:trHeight w:val="360"/>
        </w:trPr>
        <w:tc>
          <w:tcPr>
            <w:tcW w:w="806" w:type="pct"/>
            <w:vMerge/>
            <w:noWrap/>
            <w:vAlign w:val="center"/>
          </w:tcPr>
          <w:p w14:paraId="50015939" w14:textId="786879D5" w:rsidR="00AB0FD2" w:rsidRPr="00564A46" w:rsidRDefault="00AB0FD2" w:rsidP="00963D35">
            <w:pPr>
              <w:spacing w:line="240" w:lineRule="auto"/>
              <w:contextualSpacing/>
              <w:jc w:val="center"/>
              <w:rPr>
                <w:rFonts w:asciiTheme="minorHAnsi" w:eastAsia="Times New Roman" w:hAnsiTheme="minorHAnsi"/>
                <w:color w:val="000000" w:themeColor="text1"/>
                <w:sz w:val="20"/>
                <w:szCs w:val="20"/>
              </w:rPr>
            </w:pPr>
          </w:p>
        </w:tc>
        <w:tc>
          <w:tcPr>
            <w:tcW w:w="827" w:type="pct"/>
            <w:vMerge/>
            <w:noWrap/>
            <w:vAlign w:val="center"/>
          </w:tcPr>
          <w:p w14:paraId="5EC8C169" w14:textId="3BEBB5EA" w:rsidR="00AB0FD2" w:rsidRPr="00564A46" w:rsidRDefault="00AB0FD2" w:rsidP="00963D35">
            <w:pPr>
              <w:spacing w:line="240" w:lineRule="auto"/>
              <w:contextualSpacing/>
              <w:jc w:val="center"/>
              <w:rPr>
                <w:rFonts w:asciiTheme="minorHAnsi" w:eastAsia="Times New Roman" w:hAnsiTheme="minorHAnsi"/>
                <w:color w:val="000000" w:themeColor="text1"/>
                <w:sz w:val="20"/>
                <w:szCs w:val="20"/>
              </w:rPr>
            </w:pPr>
          </w:p>
        </w:tc>
        <w:tc>
          <w:tcPr>
            <w:tcW w:w="578" w:type="pct"/>
            <w:vMerge/>
            <w:vAlign w:val="center"/>
          </w:tcPr>
          <w:p w14:paraId="56B0D3F3" w14:textId="77777777" w:rsidR="00AB0FD2" w:rsidRPr="00564A46" w:rsidRDefault="00AB0FD2" w:rsidP="00963D35">
            <w:pPr>
              <w:spacing w:line="240" w:lineRule="auto"/>
              <w:contextualSpacing/>
              <w:jc w:val="center"/>
              <w:rPr>
                <w:rFonts w:asciiTheme="minorHAnsi" w:eastAsia="Times New Roman" w:hAnsiTheme="minorHAnsi"/>
                <w:color w:val="000000" w:themeColor="text1"/>
                <w:sz w:val="20"/>
                <w:szCs w:val="20"/>
              </w:rPr>
            </w:pPr>
          </w:p>
        </w:tc>
        <w:tc>
          <w:tcPr>
            <w:tcW w:w="1011" w:type="pct"/>
            <w:vMerge/>
            <w:vAlign w:val="center"/>
          </w:tcPr>
          <w:p w14:paraId="58C00650" w14:textId="2B4D9A19" w:rsidR="00AB0FD2" w:rsidRPr="00564A46" w:rsidRDefault="00AB0FD2" w:rsidP="00963D35">
            <w:pPr>
              <w:spacing w:line="240" w:lineRule="auto"/>
              <w:contextualSpacing/>
              <w:jc w:val="center"/>
              <w:rPr>
                <w:rFonts w:asciiTheme="minorHAnsi" w:eastAsia="Times New Roman" w:hAnsiTheme="minorHAnsi"/>
                <w:color w:val="000000" w:themeColor="text1"/>
                <w:sz w:val="20"/>
                <w:szCs w:val="20"/>
              </w:rPr>
            </w:pPr>
          </w:p>
        </w:tc>
        <w:tc>
          <w:tcPr>
            <w:tcW w:w="818" w:type="pct"/>
            <w:tcBorders>
              <w:top w:val="single" w:sz="4" w:space="0" w:color="auto"/>
            </w:tcBorders>
            <w:vAlign w:val="center"/>
          </w:tcPr>
          <w:p w14:paraId="6B3394B0" w14:textId="002056CB" w:rsidR="00AB0FD2" w:rsidRPr="00564A46" w:rsidRDefault="00AB0FD2" w:rsidP="00963D35">
            <w:pPr>
              <w:spacing w:line="240" w:lineRule="auto"/>
              <w:contextualSpacing/>
              <w:jc w:val="center"/>
              <w:rPr>
                <w:rFonts w:asciiTheme="minorHAnsi" w:eastAsia="Times New Roman" w:hAnsiTheme="minorHAnsi"/>
                <w:b/>
                <w:bCs/>
                <w:color w:val="000000" w:themeColor="text1"/>
                <w:sz w:val="20"/>
                <w:szCs w:val="20"/>
              </w:rPr>
            </w:pPr>
            <w:r w:rsidRPr="00564A46">
              <w:rPr>
                <w:rFonts w:asciiTheme="minorHAnsi" w:eastAsia="Times New Roman" w:hAnsiTheme="minorHAnsi"/>
                <w:b/>
                <w:bCs/>
                <w:color w:val="000000" w:themeColor="text1"/>
                <w:sz w:val="20"/>
                <w:szCs w:val="20"/>
              </w:rPr>
              <w:t>With Bile Salts/</w:t>
            </w:r>
            <w:r w:rsidRPr="00564A46">
              <w:rPr>
                <w:rFonts w:asciiTheme="minorHAnsi" w:eastAsia="Times New Roman" w:hAnsiTheme="minorHAnsi"/>
                <w:b/>
                <w:bCs/>
                <w:color w:val="000000" w:themeColor="text1"/>
                <w:sz w:val="20"/>
                <w:szCs w:val="20"/>
              </w:rPr>
              <w:br/>
              <w:t>Phospholip</w:t>
            </w:r>
            <w:r w:rsidR="001D16EC" w:rsidRPr="00564A46">
              <w:rPr>
                <w:rFonts w:asciiTheme="minorHAnsi" w:eastAsia="Times New Roman" w:hAnsiTheme="minorHAnsi"/>
                <w:b/>
                <w:bCs/>
                <w:color w:val="000000" w:themeColor="text1"/>
                <w:sz w:val="20"/>
                <w:szCs w:val="20"/>
              </w:rPr>
              <w:t>i</w:t>
            </w:r>
            <w:r w:rsidRPr="00564A46">
              <w:rPr>
                <w:rFonts w:asciiTheme="minorHAnsi" w:eastAsia="Times New Roman" w:hAnsiTheme="minorHAnsi"/>
                <w:b/>
                <w:bCs/>
                <w:color w:val="000000" w:themeColor="text1"/>
                <w:sz w:val="20"/>
                <w:szCs w:val="20"/>
              </w:rPr>
              <w:t>ds</w:t>
            </w:r>
          </w:p>
        </w:tc>
        <w:tc>
          <w:tcPr>
            <w:tcW w:w="960" w:type="pct"/>
            <w:tcBorders>
              <w:top w:val="single" w:sz="4" w:space="0" w:color="auto"/>
            </w:tcBorders>
            <w:vAlign w:val="center"/>
          </w:tcPr>
          <w:p w14:paraId="59BF20A0" w14:textId="73AE5AA7" w:rsidR="00AB0FD2" w:rsidRPr="00564A46" w:rsidRDefault="00AB0FD2" w:rsidP="00963D35">
            <w:pPr>
              <w:spacing w:line="240" w:lineRule="auto"/>
              <w:contextualSpacing/>
              <w:jc w:val="center"/>
              <w:rPr>
                <w:rFonts w:asciiTheme="minorHAnsi" w:eastAsia="Times New Roman" w:hAnsiTheme="minorHAnsi"/>
                <w:b/>
                <w:bCs/>
                <w:color w:val="000000" w:themeColor="text1"/>
                <w:sz w:val="20"/>
                <w:szCs w:val="20"/>
              </w:rPr>
            </w:pPr>
            <w:r w:rsidRPr="00564A46">
              <w:rPr>
                <w:rFonts w:asciiTheme="minorHAnsi" w:eastAsia="Times New Roman" w:hAnsiTheme="minorHAnsi"/>
                <w:b/>
                <w:bCs/>
                <w:color w:val="000000" w:themeColor="text1"/>
                <w:sz w:val="20"/>
                <w:szCs w:val="20"/>
              </w:rPr>
              <w:t>Without Bile Salts/</w:t>
            </w:r>
            <w:r w:rsidRPr="00564A46">
              <w:rPr>
                <w:rFonts w:asciiTheme="minorHAnsi" w:eastAsia="Times New Roman" w:hAnsiTheme="minorHAnsi"/>
                <w:b/>
                <w:bCs/>
                <w:color w:val="000000" w:themeColor="text1"/>
                <w:sz w:val="20"/>
                <w:szCs w:val="20"/>
              </w:rPr>
              <w:br/>
              <w:t>Phospholip</w:t>
            </w:r>
            <w:r w:rsidR="001D16EC" w:rsidRPr="00564A46">
              <w:rPr>
                <w:rFonts w:asciiTheme="minorHAnsi" w:eastAsia="Times New Roman" w:hAnsiTheme="minorHAnsi"/>
                <w:b/>
                <w:bCs/>
                <w:color w:val="000000" w:themeColor="text1"/>
                <w:sz w:val="20"/>
                <w:szCs w:val="20"/>
              </w:rPr>
              <w:t>i</w:t>
            </w:r>
            <w:r w:rsidRPr="00564A46">
              <w:rPr>
                <w:rFonts w:asciiTheme="minorHAnsi" w:eastAsia="Times New Roman" w:hAnsiTheme="minorHAnsi"/>
                <w:b/>
                <w:bCs/>
                <w:color w:val="000000" w:themeColor="text1"/>
                <w:sz w:val="20"/>
                <w:szCs w:val="20"/>
              </w:rPr>
              <w:t>ds</w:t>
            </w:r>
          </w:p>
        </w:tc>
      </w:tr>
      <w:tr w:rsidR="00564A46" w:rsidRPr="00564A46" w:rsidDel="004378F4" w14:paraId="7434FB03" w14:textId="77777777" w:rsidTr="0048504A">
        <w:trPr>
          <w:trHeight w:val="360"/>
        </w:trPr>
        <w:tc>
          <w:tcPr>
            <w:tcW w:w="806" w:type="pct"/>
            <w:tcBorders>
              <w:top w:val="single" w:sz="4" w:space="0" w:color="auto"/>
            </w:tcBorders>
            <w:noWrap/>
            <w:vAlign w:val="center"/>
            <w:hideMark/>
          </w:tcPr>
          <w:p w14:paraId="242251F0" w14:textId="77777777" w:rsidR="00AB0FD2" w:rsidRPr="00564A46" w:rsidRDefault="00AB0FD2" w:rsidP="00963D35">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Atenolol</w:t>
            </w:r>
          </w:p>
        </w:tc>
        <w:tc>
          <w:tcPr>
            <w:tcW w:w="827" w:type="pct"/>
            <w:tcBorders>
              <w:top w:val="single" w:sz="4" w:space="0" w:color="auto"/>
            </w:tcBorders>
            <w:noWrap/>
            <w:vAlign w:val="center"/>
          </w:tcPr>
          <w:p w14:paraId="53AE2560" w14:textId="77777777" w:rsidR="00AB0FD2" w:rsidRPr="00564A46" w:rsidRDefault="00AB0FD2" w:rsidP="00963D35">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0.1</w:t>
            </w:r>
          </w:p>
        </w:tc>
        <w:tc>
          <w:tcPr>
            <w:tcW w:w="578" w:type="pct"/>
            <w:tcBorders>
              <w:top w:val="single" w:sz="4" w:space="0" w:color="auto"/>
            </w:tcBorders>
            <w:shd w:val="clear" w:color="auto" w:fill="FFFFFF" w:themeFill="background1"/>
            <w:vAlign w:val="center"/>
          </w:tcPr>
          <w:p w14:paraId="5ADCAEC3" w14:textId="77777777" w:rsidR="00AB0FD2" w:rsidRPr="00564A46" w:rsidRDefault="00AB0FD2" w:rsidP="00963D35">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5.4</w:t>
            </w:r>
          </w:p>
        </w:tc>
        <w:tc>
          <w:tcPr>
            <w:tcW w:w="1011" w:type="pct"/>
            <w:tcBorders>
              <w:top w:val="single" w:sz="4" w:space="0" w:color="auto"/>
            </w:tcBorders>
            <w:vAlign w:val="center"/>
          </w:tcPr>
          <w:p w14:paraId="5F295557" w14:textId="3F0895F0" w:rsidR="00AB0FD2" w:rsidRPr="00564A46" w:rsidRDefault="0048504A" w:rsidP="00963D35">
            <w:pPr>
              <w:tabs>
                <w:tab w:val="decimal" w:pos="805"/>
              </w:tabs>
              <w:spacing w:line="240" w:lineRule="auto"/>
              <w:contextualSpacing/>
              <w:rPr>
                <w:rFonts w:asciiTheme="minorHAnsi" w:eastAsia="Times New Roman" w:hAnsiTheme="minorHAnsi" w:cstheme="minorHAnsi"/>
                <w:color w:val="000000" w:themeColor="text1"/>
                <w:sz w:val="20"/>
                <w:szCs w:val="20"/>
                <w:vertAlign w:val="superscript"/>
              </w:rPr>
            </w:pPr>
            <w:proofErr w:type="spellStart"/>
            <w:r w:rsidRPr="00564A46">
              <w:rPr>
                <w:rFonts w:asciiTheme="minorHAnsi" w:eastAsia="Times New Roman" w:hAnsiTheme="minorHAnsi" w:cstheme="minorHAnsi"/>
                <w:color w:val="000000" w:themeColor="text1"/>
                <w:sz w:val="20"/>
                <w:szCs w:val="20"/>
              </w:rPr>
              <w:t>No</w:t>
            </w:r>
            <w:r w:rsidR="0009565D" w:rsidRPr="00564A46">
              <w:rPr>
                <w:rFonts w:asciiTheme="minorHAnsi" w:eastAsia="Times New Roman" w:hAnsiTheme="minorHAnsi" w:cstheme="minorHAnsi"/>
                <w:color w:val="000000" w:themeColor="text1"/>
                <w:sz w:val="20"/>
                <w:szCs w:val="20"/>
                <w:vertAlign w:val="superscript"/>
              </w:rPr>
              <w:t>c</w:t>
            </w:r>
            <w:proofErr w:type="spellEnd"/>
          </w:p>
        </w:tc>
        <w:tc>
          <w:tcPr>
            <w:tcW w:w="818" w:type="pct"/>
            <w:tcBorders>
              <w:top w:val="single" w:sz="4" w:space="0" w:color="auto"/>
            </w:tcBorders>
            <w:vAlign w:val="center"/>
          </w:tcPr>
          <w:p w14:paraId="28A048CF" w14:textId="6F892447" w:rsidR="00AB0FD2" w:rsidRPr="00564A46" w:rsidRDefault="003F6FEE" w:rsidP="003F6FEE">
            <w:pPr>
              <w:tabs>
                <w:tab w:val="decimal" w:pos="805"/>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Not tested</w:t>
            </w:r>
          </w:p>
        </w:tc>
        <w:tc>
          <w:tcPr>
            <w:tcW w:w="960" w:type="pct"/>
            <w:tcBorders>
              <w:top w:val="single" w:sz="4" w:space="0" w:color="auto"/>
            </w:tcBorders>
            <w:shd w:val="clear" w:color="auto" w:fill="FFFFFF" w:themeFill="background1"/>
            <w:vAlign w:val="center"/>
          </w:tcPr>
          <w:p w14:paraId="4FBBD707" w14:textId="6E665139" w:rsidR="00AB0FD2" w:rsidRPr="00564A46" w:rsidRDefault="0048504A" w:rsidP="00963D35">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1.3</w:t>
            </w:r>
          </w:p>
        </w:tc>
      </w:tr>
      <w:tr w:rsidR="00564A46" w:rsidRPr="00564A46" w:rsidDel="00FB34DF" w14:paraId="0EC6D50F" w14:textId="77777777" w:rsidTr="00963D35">
        <w:trPr>
          <w:trHeight w:val="360"/>
        </w:trPr>
        <w:tc>
          <w:tcPr>
            <w:tcW w:w="806" w:type="pct"/>
            <w:noWrap/>
            <w:vAlign w:val="center"/>
          </w:tcPr>
          <w:p w14:paraId="2F8E8944"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Dipyridamole</w:t>
            </w:r>
          </w:p>
        </w:tc>
        <w:tc>
          <w:tcPr>
            <w:tcW w:w="827" w:type="pct"/>
            <w:noWrap/>
            <w:vAlign w:val="center"/>
          </w:tcPr>
          <w:p w14:paraId="0A34D431" w14:textId="77777777" w:rsidR="00A05784" w:rsidRPr="00564A46" w:rsidRDefault="00A05784" w:rsidP="00A05784">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0.2</w:t>
            </w:r>
          </w:p>
        </w:tc>
        <w:tc>
          <w:tcPr>
            <w:tcW w:w="578" w:type="pct"/>
            <w:vAlign w:val="center"/>
          </w:tcPr>
          <w:p w14:paraId="27BD1127" w14:textId="77777777" w:rsidR="00A05784" w:rsidRPr="00564A46" w:rsidRDefault="00A05784" w:rsidP="00A05784">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11.9</w:t>
            </w:r>
          </w:p>
        </w:tc>
        <w:tc>
          <w:tcPr>
            <w:tcW w:w="1011" w:type="pct"/>
            <w:vAlign w:val="center"/>
          </w:tcPr>
          <w:p w14:paraId="1B47C53C" w14:textId="1D2F126F"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vAlign w:val="center"/>
          </w:tcPr>
          <w:p w14:paraId="0D8BE12F" w14:textId="50E0D141"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w:t>
            </w:r>
            <w:r w:rsidR="007C4B08" w:rsidRPr="00564A46">
              <w:rPr>
                <w:rFonts w:asciiTheme="minorHAnsi" w:eastAsia="Times New Roman" w:hAnsiTheme="minorHAnsi" w:cstheme="minorHAnsi"/>
                <w:color w:val="000000" w:themeColor="text1"/>
                <w:sz w:val="20"/>
                <w:szCs w:val="20"/>
              </w:rPr>
              <w:t>.0</w:t>
            </w:r>
          </w:p>
        </w:tc>
        <w:tc>
          <w:tcPr>
            <w:tcW w:w="960" w:type="pct"/>
            <w:vAlign w:val="center"/>
          </w:tcPr>
          <w:p w14:paraId="2B664DE3" w14:textId="38431428"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w:t>
            </w:r>
            <w:r w:rsidR="007C4B08" w:rsidRPr="00564A46">
              <w:rPr>
                <w:rFonts w:asciiTheme="minorHAnsi" w:eastAsia="Times New Roman" w:hAnsiTheme="minorHAnsi" w:cstheme="minorHAnsi"/>
                <w:color w:val="000000" w:themeColor="text1"/>
                <w:sz w:val="20"/>
                <w:szCs w:val="20"/>
              </w:rPr>
              <w:t>.0</w:t>
            </w:r>
          </w:p>
        </w:tc>
      </w:tr>
      <w:tr w:rsidR="00564A46" w:rsidRPr="00564A46" w:rsidDel="004378F4" w14:paraId="34D7A453" w14:textId="77777777" w:rsidTr="00963D35">
        <w:trPr>
          <w:trHeight w:val="360"/>
        </w:trPr>
        <w:tc>
          <w:tcPr>
            <w:tcW w:w="806" w:type="pct"/>
            <w:noWrap/>
            <w:vAlign w:val="center"/>
          </w:tcPr>
          <w:p w14:paraId="7CE860E2"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Ketoconazole</w:t>
            </w:r>
          </w:p>
        </w:tc>
        <w:tc>
          <w:tcPr>
            <w:tcW w:w="827" w:type="pct"/>
            <w:noWrap/>
            <w:vAlign w:val="center"/>
          </w:tcPr>
          <w:p w14:paraId="79D9C665" w14:textId="77777777" w:rsidR="00A05784" w:rsidRPr="00564A46" w:rsidRDefault="00A05784" w:rsidP="00A05784">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0.2</w:t>
            </w:r>
          </w:p>
        </w:tc>
        <w:tc>
          <w:tcPr>
            <w:tcW w:w="578" w:type="pct"/>
            <w:vAlign w:val="center"/>
          </w:tcPr>
          <w:p w14:paraId="329CFA1E" w14:textId="77777777" w:rsidR="00A05784" w:rsidRPr="00564A46" w:rsidRDefault="00A05784" w:rsidP="00A05784">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12.6</w:t>
            </w:r>
          </w:p>
        </w:tc>
        <w:tc>
          <w:tcPr>
            <w:tcW w:w="1011" w:type="pct"/>
            <w:vAlign w:val="center"/>
          </w:tcPr>
          <w:p w14:paraId="4B341A41" w14:textId="7777777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vAlign w:val="center"/>
          </w:tcPr>
          <w:p w14:paraId="49029B0E" w14:textId="59F511C2"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1.8</w:t>
            </w:r>
          </w:p>
        </w:tc>
        <w:tc>
          <w:tcPr>
            <w:tcW w:w="960" w:type="pct"/>
            <w:vAlign w:val="center"/>
          </w:tcPr>
          <w:p w14:paraId="28E002C9" w14:textId="71CE7906"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0.9</w:t>
            </w:r>
          </w:p>
        </w:tc>
      </w:tr>
      <w:tr w:rsidR="00564A46" w:rsidRPr="00564A46" w:rsidDel="004378F4" w14:paraId="0CC8A1C5" w14:textId="77777777" w:rsidTr="00963D35">
        <w:trPr>
          <w:trHeight w:val="360"/>
        </w:trPr>
        <w:tc>
          <w:tcPr>
            <w:tcW w:w="806" w:type="pct"/>
            <w:noWrap/>
            <w:vAlign w:val="center"/>
          </w:tcPr>
          <w:p w14:paraId="4FC7CCAF"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Tamoxifen</w:t>
            </w:r>
          </w:p>
        </w:tc>
        <w:tc>
          <w:tcPr>
            <w:tcW w:w="827" w:type="pct"/>
            <w:noWrap/>
            <w:vAlign w:val="center"/>
          </w:tcPr>
          <w:p w14:paraId="3F0428D2" w14:textId="77777777" w:rsidR="00A05784" w:rsidRPr="00564A46" w:rsidRDefault="00A05784" w:rsidP="00A05784">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0.3</w:t>
            </w:r>
          </w:p>
        </w:tc>
        <w:tc>
          <w:tcPr>
            <w:tcW w:w="578" w:type="pct"/>
            <w:vAlign w:val="center"/>
          </w:tcPr>
          <w:p w14:paraId="1D9ED290" w14:textId="77777777" w:rsidR="00A05784" w:rsidRPr="00564A46" w:rsidRDefault="00A05784" w:rsidP="00A05784">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12.0</w:t>
            </w:r>
          </w:p>
        </w:tc>
        <w:tc>
          <w:tcPr>
            <w:tcW w:w="1011" w:type="pct"/>
            <w:vAlign w:val="center"/>
          </w:tcPr>
          <w:p w14:paraId="7100A2B8" w14:textId="7777777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vAlign w:val="center"/>
          </w:tcPr>
          <w:p w14:paraId="51ACE924" w14:textId="0FA45D0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1.1</w:t>
            </w:r>
          </w:p>
        </w:tc>
        <w:tc>
          <w:tcPr>
            <w:tcW w:w="960" w:type="pct"/>
            <w:vAlign w:val="center"/>
          </w:tcPr>
          <w:p w14:paraId="406F66D4" w14:textId="597E10AF"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w:t>
            </w:r>
            <w:r w:rsidR="007C4B08" w:rsidRPr="00564A46">
              <w:rPr>
                <w:rFonts w:asciiTheme="minorHAnsi" w:eastAsia="Times New Roman" w:hAnsiTheme="minorHAnsi" w:cstheme="minorHAnsi"/>
                <w:color w:val="000000" w:themeColor="text1"/>
                <w:sz w:val="20"/>
                <w:szCs w:val="20"/>
              </w:rPr>
              <w:t>.0</w:t>
            </w:r>
          </w:p>
        </w:tc>
      </w:tr>
      <w:tr w:rsidR="00564A46" w:rsidRPr="00564A46" w:rsidDel="004378F4" w14:paraId="21A5C2C6" w14:textId="77777777" w:rsidTr="0048504A">
        <w:trPr>
          <w:trHeight w:val="360"/>
        </w:trPr>
        <w:tc>
          <w:tcPr>
            <w:tcW w:w="806" w:type="pct"/>
            <w:noWrap/>
            <w:vAlign w:val="center"/>
          </w:tcPr>
          <w:p w14:paraId="07F2B260" w14:textId="6BA3A59B" w:rsidR="00A05784" w:rsidRPr="00564A46" w:rsidRDefault="00A05784" w:rsidP="00A05784">
            <w:pPr>
              <w:spacing w:line="240" w:lineRule="auto"/>
              <w:contextualSpacing/>
              <w:rPr>
                <w:rFonts w:asciiTheme="minorHAnsi" w:eastAsia="Times New Roman" w:hAnsiTheme="minorHAnsi"/>
                <w:color w:val="000000" w:themeColor="text1"/>
                <w:sz w:val="20"/>
                <w:szCs w:val="20"/>
              </w:rPr>
            </w:pPr>
            <w:proofErr w:type="spellStart"/>
            <w:r w:rsidRPr="00564A46">
              <w:rPr>
                <w:rFonts w:asciiTheme="minorHAnsi" w:eastAsia="Times New Roman" w:hAnsiTheme="minorHAnsi"/>
                <w:color w:val="000000" w:themeColor="text1"/>
                <w:sz w:val="20"/>
                <w:szCs w:val="20"/>
              </w:rPr>
              <w:t>Flufenamic</w:t>
            </w:r>
            <w:proofErr w:type="spellEnd"/>
            <w:r w:rsidRPr="00564A46">
              <w:rPr>
                <w:rFonts w:asciiTheme="minorHAnsi" w:eastAsia="Times New Roman" w:hAnsiTheme="minorHAnsi"/>
                <w:color w:val="000000" w:themeColor="text1"/>
                <w:sz w:val="20"/>
                <w:szCs w:val="20"/>
              </w:rPr>
              <w:t xml:space="preserve"> acid</w:t>
            </w:r>
          </w:p>
        </w:tc>
        <w:tc>
          <w:tcPr>
            <w:tcW w:w="827" w:type="pct"/>
            <w:noWrap/>
            <w:vAlign w:val="center"/>
          </w:tcPr>
          <w:p w14:paraId="04B1BC02" w14:textId="77777777" w:rsidR="00A05784" w:rsidRPr="00564A46" w:rsidRDefault="00A05784" w:rsidP="00A05784">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0.4</w:t>
            </w:r>
          </w:p>
        </w:tc>
        <w:tc>
          <w:tcPr>
            <w:tcW w:w="578" w:type="pct"/>
            <w:vAlign w:val="center"/>
          </w:tcPr>
          <w:p w14:paraId="318655DF" w14:textId="77777777" w:rsidR="00A05784" w:rsidRPr="00564A46" w:rsidRDefault="00A05784" w:rsidP="00A05784">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9.9</w:t>
            </w:r>
          </w:p>
        </w:tc>
        <w:tc>
          <w:tcPr>
            <w:tcW w:w="1011" w:type="pct"/>
            <w:vAlign w:val="center"/>
          </w:tcPr>
          <w:p w14:paraId="099907E2" w14:textId="7777777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Yes</w:t>
            </w:r>
          </w:p>
        </w:tc>
        <w:tc>
          <w:tcPr>
            <w:tcW w:w="818" w:type="pct"/>
            <w:vAlign w:val="center"/>
          </w:tcPr>
          <w:p w14:paraId="3CB8FCD2" w14:textId="22FB416C"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2.7</w:t>
            </w:r>
          </w:p>
        </w:tc>
        <w:tc>
          <w:tcPr>
            <w:tcW w:w="960" w:type="pct"/>
            <w:shd w:val="clear" w:color="auto" w:fill="FFFFFF" w:themeFill="background1"/>
            <w:vAlign w:val="center"/>
          </w:tcPr>
          <w:p w14:paraId="4ED02199" w14:textId="34BFCBEB"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2.9</w:t>
            </w:r>
          </w:p>
        </w:tc>
      </w:tr>
      <w:tr w:rsidR="00564A46" w:rsidRPr="00564A46" w:rsidDel="004378F4" w14:paraId="303AC399" w14:textId="77777777" w:rsidTr="00963D35">
        <w:trPr>
          <w:trHeight w:val="360"/>
        </w:trPr>
        <w:tc>
          <w:tcPr>
            <w:tcW w:w="806" w:type="pct"/>
            <w:noWrap/>
            <w:vAlign w:val="center"/>
          </w:tcPr>
          <w:p w14:paraId="6F2DF7C0"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Ibuprofen</w:t>
            </w:r>
          </w:p>
        </w:tc>
        <w:tc>
          <w:tcPr>
            <w:tcW w:w="827" w:type="pct"/>
            <w:noWrap/>
            <w:vAlign w:val="center"/>
          </w:tcPr>
          <w:p w14:paraId="51866813" w14:textId="77777777" w:rsidR="00A05784" w:rsidRPr="00564A46" w:rsidRDefault="00A05784" w:rsidP="00A05784">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3.5</w:t>
            </w:r>
          </w:p>
        </w:tc>
        <w:tc>
          <w:tcPr>
            <w:tcW w:w="578" w:type="pct"/>
            <w:vAlign w:val="center"/>
          </w:tcPr>
          <w:p w14:paraId="2C538D53" w14:textId="77777777" w:rsidR="00A05784" w:rsidRPr="00564A46" w:rsidRDefault="00A05784" w:rsidP="00A05784">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7.9</w:t>
            </w:r>
          </w:p>
        </w:tc>
        <w:tc>
          <w:tcPr>
            <w:tcW w:w="1011" w:type="pct"/>
            <w:vAlign w:val="center"/>
          </w:tcPr>
          <w:p w14:paraId="1C617CA0" w14:textId="7777777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Yes</w:t>
            </w:r>
          </w:p>
        </w:tc>
        <w:tc>
          <w:tcPr>
            <w:tcW w:w="818" w:type="pct"/>
            <w:vAlign w:val="center"/>
          </w:tcPr>
          <w:p w14:paraId="5B94DDD1" w14:textId="146CF17A"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7.4</w:t>
            </w:r>
          </w:p>
        </w:tc>
        <w:tc>
          <w:tcPr>
            <w:tcW w:w="960" w:type="pct"/>
            <w:vAlign w:val="center"/>
          </w:tcPr>
          <w:p w14:paraId="62F6C6F0" w14:textId="5594E6BD"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8.1</w:t>
            </w:r>
          </w:p>
        </w:tc>
      </w:tr>
      <w:tr w:rsidR="00564A46" w:rsidRPr="00564A46" w:rsidDel="004378F4" w14:paraId="46CCA1A6" w14:textId="77777777" w:rsidTr="00963D35">
        <w:trPr>
          <w:trHeight w:val="360"/>
        </w:trPr>
        <w:tc>
          <w:tcPr>
            <w:tcW w:w="806" w:type="pct"/>
            <w:noWrap/>
            <w:vAlign w:val="center"/>
          </w:tcPr>
          <w:p w14:paraId="596E9953" w14:textId="0ED46230" w:rsidR="00A05784" w:rsidRPr="00564A46" w:rsidRDefault="00A05784" w:rsidP="00A05784">
            <w:pPr>
              <w:spacing w:line="240" w:lineRule="auto"/>
              <w:contextualSpacing/>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Danazol</w:t>
            </w:r>
            <w:r w:rsidR="00BF1AAC" w:rsidRPr="00564A46">
              <w:rPr>
                <w:rFonts w:asciiTheme="minorHAnsi" w:eastAsia="Times New Roman" w:hAnsiTheme="minorHAnsi"/>
                <w:color w:val="000000" w:themeColor="text1"/>
                <w:sz w:val="20"/>
                <w:szCs w:val="20"/>
              </w:rPr>
              <w:t xml:space="preserve"> </w:t>
            </w:r>
            <w:r w:rsidR="0009565D" w:rsidRPr="00564A46">
              <w:rPr>
                <w:rFonts w:asciiTheme="minorHAnsi" w:eastAsia="Times New Roman" w:hAnsiTheme="minorHAnsi"/>
                <w:color w:val="000000" w:themeColor="text1"/>
                <w:sz w:val="20"/>
                <w:szCs w:val="20"/>
                <w:vertAlign w:val="superscript"/>
              </w:rPr>
              <w:t>d</w:t>
            </w:r>
          </w:p>
        </w:tc>
        <w:tc>
          <w:tcPr>
            <w:tcW w:w="827" w:type="pct"/>
            <w:noWrap/>
            <w:vAlign w:val="center"/>
          </w:tcPr>
          <w:p w14:paraId="02FCEFB4" w14:textId="083D9D3E" w:rsidR="00A05784" w:rsidRPr="00564A46" w:rsidRDefault="00BF1AAC" w:rsidP="00A05784">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w:t>
            </w:r>
          </w:p>
        </w:tc>
        <w:tc>
          <w:tcPr>
            <w:tcW w:w="578" w:type="pct"/>
            <w:vAlign w:val="center"/>
          </w:tcPr>
          <w:p w14:paraId="3C848B1B" w14:textId="6DA5DA6F" w:rsidR="00A05784" w:rsidRPr="00564A46" w:rsidRDefault="00A05784" w:rsidP="00A05784">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w:t>
            </w:r>
          </w:p>
        </w:tc>
        <w:tc>
          <w:tcPr>
            <w:tcW w:w="1011" w:type="pct"/>
            <w:vAlign w:val="center"/>
          </w:tcPr>
          <w:p w14:paraId="43D965ED" w14:textId="7777777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vAlign w:val="center"/>
          </w:tcPr>
          <w:p w14:paraId="0E99DC68" w14:textId="4E2B7F7E"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0.9</w:t>
            </w:r>
          </w:p>
        </w:tc>
        <w:tc>
          <w:tcPr>
            <w:tcW w:w="960" w:type="pct"/>
            <w:vAlign w:val="center"/>
          </w:tcPr>
          <w:p w14:paraId="0627FAC9" w14:textId="69A49B3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1.1</w:t>
            </w:r>
          </w:p>
        </w:tc>
      </w:tr>
      <w:tr w:rsidR="00564A46" w:rsidRPr="00564A46" w:rsidDel="004378F4" w14:paraId="405CC2C7" w14:textId="77777777" w:rsidTr="00963D35">
        <w:trPr>
          <w:trHeight w:val="360"/>
        </w:trPr>
        <w:tc>
          <w:tcPr>
            <w:tcW w:w="806" w:type="pct"/>
            <w:tcBorders>
              <w:bottom w:val="single" w:sz="4" w:space="0" w:color="auto"/>
            </w:tcBorders>
            <w:noWrap/>
            <w:vAlign w:val="center"/>
          </w:tcPr>
          <w:p w14:paraId="336232B9" w14:textId="6623D770" w:rsidR="00A05784" w:rsidRPr="00564A46" w:rsidRDefault="00A05784" w:rsidP="00A05784">
            <w:pPr>
              <w:spacing w:line="240" w:lineRule="auto"/>
              <w:contextualSpacing/>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color w:val="000000" w:themeColor="text1"/>
                <w:sz w:val="20"/>
                <w:szCs w:val="20"/>
              </w:rPr>
              <w:t>Prednisolone</w:t>
            </w:r>
            <w:r w:rsidR="00BF1AAC" w:rsidRPr="00564A46">
              <w:rPr>
                <w:rFonts w:asciiTheme="minorHAnsi" w:eastAsia="Times New Roman" w:hAnsiTheme="minorHAnsi"/>
                <w:color w:val="000000" w:themeColor="text1"/>
                <w:sz w:val="20"/>
                <w:szCs w:val="20"/>
              </w:rPr>
              <w:t xml:space="preserve"> </w:t>
            </w:r>
            <w:r w:rsidR="0009565D" w:rsidRPr="00564A46">
              <w:rPr>
                <w:rFonts w:asciiTheme="minorHAnsi" w:eastAsia="Times New Roman" w:hAnsiTheme="minorHAnsi"/>
                <w:color w:val="000000" w:themeColor="text1"/>
                <w:sz w:val="20"/>
                <w:szCs w:val="20"/>
                <w:vertAlign w:val="superscript"/>
              </w:rPr>
              <w:t>d</w:t>
            </w:r>
          </w:p>
        </w:tc>
        <w:tc>
          <w:tcPr>
            <w:tcW w:w="827" w:type="pct"/>
            <w:tcBorders>
              <w:bottom w:val="single" w:sz="4" w:space="0" w:color="auto"/>
            </w:tcBorders>
            <w:noWrap/>
            <w:vAlign w:val="center"/>
          </w:tcPr>
          <w:p w14:paraId="5940BFBE" w14:textId="2C1AC8D8" w:rsidR="00A05784" w:rsidRPr="00564A46" w:rsidRDefault="00A05784" w:rsidP="00A05784">
            <w:pPr>
              <w:tabs>
                <w:tab w:val="decimal" w:pos="805"/>
              </w:tabs>
              <w:spacing w:line="240" w:lineRule="auto"/>
              <w:contextualSpacing/>
              <w:rPr>
                <w:rFonts w:asciiTheme="minorHAnsi" w:eastAsia="Times New Roman" w:hAnsiTheme="minorHAnsi"/>
                <w:color w:val="000000" w:themeColor="text1"/>
                <w:sz w:val="20"/>
                <w:szCs w:val="20"/>
              </w:rPr>
            </w:pPr>
            <w:r w:rsidRPr="00564A46">
              <w:rPr>
                <w:rFonts w:ascii="Calibri" w:eastAsia="Times New Roman" w:hAnsi="Calibri"/>
                <w:color w:val="000000" w:themeColor="text1"/>
                <w:sz w:val="20"/>
                <w:szCs w:val="20"/>
              </w:rPr>
              <w:t>–</w:t>
            </w:r>
          </w:p>
        </w:tc>
        <w:tc>
          <w:tcPr>
            <w:tcW w:w="578" w:type="pct"/>
            <w:tcBorders>
              <w:bottom w:val="single" w:sz="4" w:space="0" w:color="auto"/>
            </w:tcBorders>
            <w:vAlign w:val="center"/>
          </w:tcPr>
          <w:p w14:paraId="2408C261" w14:textId="1A97C57C" w:rsidR="00A05784" w:rsidRPr="00564A46" w:rsidRDefault="00A05784" w:rsidP="00A05784">
            <w:pPr>
              <w:tabs>
                <w:tab w:val="decimal" w:pos="432"/>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w:t>
            </w:r>
          </w:p>
        </w:tc>
        <w:tc>
          <w:tcPr>
            <w:tcW w:w="1011" w:type="pct"/>
            <w:tcBorders>
              <w:bottom w:val="single" w:sz="4" w:space="0" w:color="auto"/>
            </w:tcBorders>
            <w:vAlign w:val="center"/>
          </w:tcPr>
          <w:p w14:paraId="7F15BB5B" w14:textId="7777777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tcBorders>
              <w:bottom w:val="single" w:sz="4" w:space="0" w:color="auto"/>
            </w:tcBorders>
            <w:vAlign w:val="center"/>
          </w:tcPr>
          <w:p w14:paraId="35D63C9D" w14:textId="31709203"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0.9</w:t>
            </w:r>
          </w:p>
        </w:tc>
        <w:tc>
          <w:tcPr>
            <w:tcW w:w="960" w:type="pct"/>
            <w:tcBorders>
              <w:bottom w:val="single" w:sz="4" w:space="0" w:color="auto"/>
            </w:tcBorders>
            <w:vAlign w:val="center"/>
          </w:tcPr>
          <w:p w14:paraId="7FC19421" w14:textId="43BEB707" w:rsidR="00A05784" w:rsidRPr="00564A46" w:rsidRDefault="00A05784" w:rsidP="00A05784">
            <w:pPr>
              <w:tabs>
                <w:tab w:val="decimal" w:pos="805"/>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0.9</w:t>
            </w:r>
          </w:p>
        </w:tc>
      </w:tr>
      <w:tr w:rsidR="00564A46" w:rsidRPr="00564A46" w:rsidDel="004378F4" w14:paraId="0B2C5CA4" w14:textId="77777777" w:rsidTr="00963D35">
        <w:trPr>
          <w:trHeight w:val="3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EF736F" w14:textId="425C0442" w:rsidR="00AB0FD2" w:rsidRPr="00564A46" w:rsidRDefault="00AB0FD2" w:rsidP="00AB0FD2">
            <w:pPr>
              <w:spacing w:line="240" w:lineRule="auto"/>
              <w:contextualSpacing/>
              <w:rPr>
                <w:rFonts w:asciiTheme="minorHAnsi" w:eastAsia="Times New Roman" w:hAnsiTheme="minorHAnsi"/>
                <w:b/>
                <w:bCs/>
                <w:color w:val="000000" w:themeColor="text1"/>
                <w:sz w:val="20"/>
                <w:szCs w:val="20"/>
              </w:rPr>
            </w:pPr>
            <w:r w:rsidRPr="00564A46">
              <w:rPr>
                <w:rFonts w:asciiTheme="minorHAnsi" w:eastAsia="Times New Roman" w:hAnsiTheme="minorHAnsi"/>
                <w:b/>
                <w:bCs/>
                <w:color w:val="000000" w:themeColor="text1"/>
                <w:sz w:val="20"/>
                <w:szCs w:val="20"/>
              </w:rPr>
              <w:t>Effect of Bile Salts and Phospholipids</w:t>
            </w:r>
            <w:r w:rsidR="00A05784" w:rsidRPr="00564A46">
              <w:rPr>
                <w:rFonts w:asciiTheme="minorHAnsi" w:eastAsia="Times New Roman" w:hAnsiTheme="minorHAnsi"/>
                <w:b/>
                <w:bCs/>
                <w:color w:val="000000" w:themeColor="text1"/>
                <w:sz w:val="20"/>
                <w:szCs w:val="20"/>
              </w:rPr>
              <w:t xml:space="preserve"> (BS + PL)</w:t>
            </w:r>
          </w:p>
        </w:tc>
      </w:tr>
      <w:tr w:rsidR="00564A46" w:rsidRPr="00564A46" w:rsidDel="004378F4" w14:paraId="0A61FFE4" w14:textId="77777777" w:rsidTr="00A05784">
        <w:trPr>
          <w:trHeight w:val="360"/>
        </w:trPr>
        <w:tc>
          <w:tcPr>
            <w:tcW w:w="806" w:type="pct"/>
            <w:vMerge w:val="restart"/>
            <w:tcBorders>
              <w:top w:val="single" w:sz="4" w:space="0" w:color="auto"/>
              <w:left w:val="single" w:sz="4" w:space="0" w:color="auto"/>
              <w:right w:val="single" w:sz="4" w:space="0" w:color="auto"/>
            </w:tcBorders>
            <w:noWrap/>
            <w:vAlign w:val="center"/>
          </w:tcPr>
          <w:p w14:paraId="41A931D2" w14:textId="554C9878" w:rsidR="008A4322" w:rsidRPr="00564A46" w:rsidRDefault="008A4322" w:rsidP="00963D35">
            <w:pPr>
              <w:spacing w:line="240" w:lineRule="auto"/>
              <w:contextualSpacing/>
              <w:jc w:val="center"/>
              <w:rPr>
                <w:rFonts w:asciiTheme="minorHAnsi" w:eastAsia="Times New Roman" w:hAnsiTheme="minorHAnsi"/>
                <w:color w:val="000000" w:themeColor="text1"/>
                <w:sz w:val="20"/>
                <w:szCs w:val="20"/>
              </w:rPr>
            </w:pPr>
            <w:r w:rsidRPr="00564A46">
              <w:rPr>
                <w:rFonts w:asciiTheme="minorHAnsi" w:eastAsia="Times New Roman" w:hAnsiTheme="minorHAnsi"/>
                <w:b/>
                <w:color w:val="000000" w:themeColor="text1"/>
                <w:sz w:val="20"/>
                <w:szCs w:val="20"/>
              </w:rPr>
              <w:t>Compound</w:t>
            </w:r>
          </w:p>
        </w:tc>
        <w:tc>
          <w:tcPr>
            <w:tcW w:w="1405" w:type="pct"/>
            <w:gridSpan w:val="2"/>
            <w:vMerge w:val="restart"/>
            <w:tcBorders>
              <w:top w:val="single" w:sz="4" w:space="0" w:color="auto"/>
              <w:left w:val="single" w:sz="4" w:space="0" w:color="auto"/>
              <w:right w:val="single" w:sz="4" w:space="0" w:color="auto"/>
            </w:tcBorders>
            <w:noWrap/>
            <w:vAlign w:val="center"/>
          </w:tcPr>
          <w:p w14:paraId="0994D194" w14:textId="4A6111B6" w:rsidR="008A4322" w:rsidRPr="00564A46" w:rsidRDefault="008A4322">
            <w:pPr>
              <w:spacing w:line="240" w:lineRule="auto"/>
              <w:contextualSpacing/>
              <w:jc w:val="center"/>
              <w:rPr>
                <w:rFonts w:asciiTheme="minorHAnsi" w:eastAsia="Times New Roman" w:hAnsiTheme="minorHAnsi"/>
                <w:color w:val="000000" w:themeColor="text1"/>
                <w:sz w:val="20"/>
                <w:szCs w:val="20"/>
              </w:rPr>
            </w:pPr>
          </w:p>
          <w:p w14:paraId="15111E84" w14:textId="6E9895A4" w:rsidR="008A4322" w:rsidRPr="00564A46" w:rsidRDefault="00963D35" w:rsidP="00963D35">
            <w:pPr>
              <w:spacing w:line="240" w:lineRule="auto"/>
              <w:contextualSpacing/>
              <w:jc w:val="center"/>
              <w:rPr>
                <w:rFonts w:asciiTheme="minorHAnsi" w:eastAsia="Times New Roman" w:hAnsiTheme="minorHAnsi"/>
                <w:color w:val="000000" w:themeColor="text1"/>
                <w:sz w:val="20"/>
                <w:szCs w:val="20"/>
                <w:vertAlign w:val="superscript"/>
              </w:rPr>
            </w:pPr>
            <w:r w:rsidRPr="00564A46">
              <w:rPr>
                <w:rFonts w:asciiTheme="minorHAnsi" w:eastAsia="Times New Roman" w:hAnsiTheme="minorHAnsi"/>
                <w:b/>
                <w:color w:val="000000" w:themeColor="text1"/>
                <w:sz w:val="20"/>
                <w:szCs w:val="20"/>
              </w:rPr>
              <w:t>l</w:t>
            </w:r>
            <w:r w:rsidR="008A4322" w:rsidRPr="00564A46">
              <w:rPr>
                <w:rFonts w:asciiTheme="minorHAnsi" w:eastAsia="Times New Roman" w:hAnsiTheme="minorHAnsi"/>
                <w:b/>
                <w:color w:val="000000" w:themeColor="text1"/>
                <w:sz w:val="20"/>
                <w:szCs w:val="20"/>
              </w:rPr>
              <w:t>og D</w:t>
            </w:r>
            <w:r w:rsidR="008A4322" w:rsidRPr="00564A46">
              <w:rPr>
                <w:rFonts w:asciiTheme="minorHAnsi" w:eastAsia="Times New Roman" w:hAnsiTheme="minorHAnsi"/>
                <w:b/>
                <w:color w:val="000000" w:themeColor="text1"/>
                <w:sz w:val="20"/>
                <w:szCs w:val="20"/>
                <w:vertAlign w:val="subscript"/>
              </w:rPr>
              <w:t>6.5</w:t>
            </w:r>
            <w:r w:rsidR="00A05784" w:rsidRPr="00564A46">
              <w:rPr>
                <w:rFonts w:asciiTheme="minorHAnsi" w:eastAsia="Times New Roman" w:hAnsiTheme="minorHAnsi"/>
                <w:b/>
                <w:color w:val="000000" w:themeColor="text1"/>
                <w:sz w:val="20"/>
                <w:szCs w:val="20"/>
                <w:vertAlign w:val="subscript"/>
              </w:rPr>
              <w:t xml:space="preserve"> </w:t>
            </w:r>
            <w:r w:rsidR="0009565D" w:rsidRPr="00564A46">
              <w:rPr>
                <w:rFonts w:asciiTheme="minorHAnsi" w:eastAsia="Times New Roman" w:hAnsiTheme="minorHAnsi"/>
                <w:b/>
                <w:color w:val="000000" w:themeColor="text1"/>
                <w:sz w:val="20"/>
                <w:szCs w:val="20"/>
                <w:vertAlign w:val="superscript"/>
              </w:rPr>
              <w:t>e</w:t>
            </w:r>
          </w:p>
        </w:tc>
        <w:tc>
          <w:tcPr>
            <w:tcW w:w="1011" w:type="pct"/>
            <w:vMerge w:val="restart"/>
            <w:tcBorders>
              <w:top w:val="single" w:sz="4" w:space="0" w:color="auto"/>
              <w:left w:val="single" w:sz="4" w:space="0" w:color="auto"/>
              <w:right w:val="single" w:sz="4" w:space="0" w:color="auto"/>
            </w:tcBorders>
            <w:vAlign w:val="center"/>
          </w:tcPr>
          <w:p w14:paraId="4CCC69E5" w14:textId="2D38B458" w:rsidR="008A4322" w:rsidRPr="00564A46" w:rsidRDefault="008A4322" w:rsidP="00963D35">
            <w:pPr>
              <w:spacing w:line="240" w:lineRule="auto"/>
              <w:contextualSpacing/>
              <w:jc w:val="center"/>
              <w:rPr>
                <w:rFonts w:asciiTheme="minorHAnsi" w:eastAsia="Times New Roman" w:hAnsiTheme="minorHAnsi"/>
                <w:color w:val="000000" w:themeColor="text1"/>
                <w:sz w:val="20"/>
                <w:szCs w:val="20"/>
              </w:rPr>
            </w:pPr>
            <w:r w:rsidRPr="00564A46">
              <w:rPr>
                <w:rFonts w:asciiTheme="minorHAnsi" w:eastAsia="Times New Roman" w:hAnsiTheme="minorHAnsi"/>
                <w:b/>
                <w:color w:val="000000" w:themeColor="text1"/>
                <w:sz w:val="20"/>
                <w:szCs w:val="20"/>
              </w:rPr>
              <w:t>Expected Effect Based Upon Recommendations?</w:t>
            </w:r>
          </w:p>
        </w:tc>
        <w:tc>
          <w:tcPr>
            <w:tcW w:w="1778" w:type="pct"/>
            <w:gridSpan w:val="2"/>
            <w:tcBorders>
              <w:top w:val="single" w:sz="4" w:space="0" w:color="auto"/>
              <w:left w:val="single" w:sz="4" w:space="0" w:color="auto"/>
              <w:bottom w:val="single" w:sz="4" w:space="0" w:color="auto"/>
              <w:right w:val="single" w:sz="4" w:space="0" w:color="auto"/>
            </w:tcBorders>
            <w:vAlign w:val="center"/>
          </w:tcPr>
          <w:p w14:paraId="59075C05" w14:textId="2EB11999" w:rsidR="008A4322" w:rsidRPr="00564A46" w:rsidRDefault="00A05784" w:rsidP="00963D35">
            <w:pPr>
              <w:spacing w:line="240" w:lineRule="auto"/>
              <w:contextualSpacing/>
              <w:jc w:val="center"/>
              <w:rPr>
                <w:rFonts w:asciiTheme="minorHAnsi" w:eastAsia="Times New Roman" w:hAnsiTheme="minorHAnsi"/>
                <w:color w:val="000000" w:themeColor="text1"/>
                <w:sz w:val="20"/>
                <w:szCs w:val="20"/>
              </w:rPr>
            </w:pPr>
            <w:r w:rsidRPr="00564A46">
              <w:rPr>
                <w:rFonts w:asciiTheme="minorHAnsi" w:eastAsia="Times New Roman" w:hAnsiTheme="minorHAnsi"/>
                <w:b/>
                <w:color w:val="000000" w:themeColor="text1"/>
                <w:sz w:val="20"/>
                <w:szCs w:val="20"/>
              </w:rPr>
              <w:t xml:space="preserve">Fold difference in dissolution rate </w:t>
            </w:r>
            <w:r w:rsidR="0009565D" w:rsidRPr="00564A46">
              <w:rPr>
                <w:rFonts w:asciiTheme="minorHAnsi" w:eastAsia="Times New Roman" w:hAnsiTheme="minorHAnsi"/>
                <w:b/>
                <w:color w:val="000000" w:themeColor="text1"/>
                <w:sz w:val="20"/>
                <w:szCs w:val="20"/>
                <w:vertAlign w:val="superscript"/>
              </w:rPr>
              <w:t>f</w:t>
            </w:r>
          </w:p>
        </w:tc>
      </w:tr>
      <w:tr w:rsidR="00564A46" w:rsidRPr="00564A46" w:rsidDel="004378F4" w14:paraId="7589674E" w14:textId="77777777" w:rsidTr="008A4322">
        <w:trPr>
          <w:trHeight w:val="360"/>
        </w:trPr>
        <w:tc>
          <w:tcPr>
            <w:tcW w:w="806" w:type="pct"/>
            <w:vMerge/>
            <w:tcBorders>
              <w:left w:val="single" w:sz="4" w:space="0" w:color="auto"/>
              <w:bottom w:val="single" w:sz="4" w:space="0" w:color="auto"/>
              <w:right w:val="single" w:sz="4" w:space="0" w:color="auto"/>
            </w:tcBorders>
            <w:noWrap/>
            <w:vAlign w:val="center"/>
          </w:tcPr>
          <w:p w14:paraId="1DD14FD3" w14:textId="77777777" w:rsidR="008A4322" w:rsidRPr="00564A46" w:rsidRDefault="008A4322" w:rsidP="001D16EC">
            <w:pPr>
              <w:spacing w:line="240" w:lineRule="auto"/>
              <w:contextualSpacing/>
              <w:rPr>
                <w:rFonts w:asciiTheme="minorHAnsi" w:eastAsia="Times New Roman" w:hAnsiTheme="minorHAnsi"/>
                <w:b/>
                <w:color w:val="000000" w:themeColor="text1"/>
                <w:sz w:val="20"/>
                <w:szCs w:val="20"/>
              </w:rPr>
            </w:pPr>
          </w:p>
        </w:tc>
        <w:tc>
          <w:tcPr>
            <w:tcW w:w="1405" w:type="pct"/>
            <w:gridSpan w:val="2"/>
            <w:vMerge/>
            <w:tcBorders>
              <w:left w:val="single" w:sz="4" w:space="0" w:color="auto"/>
              <w:bottom w:val="single" w:sz="4" w:space="0" w:color="auto"/>
              <w:right w:val="single" w:sz="4" w:space="0" w:color="auto"/>
            </w:tcBorders>
            <w:noWrap/>
            <w:vAlign w:val="center"/>
          </w:tcPr>
          <w:p w14:paraId="721DFC58" w14:textId="77777777" w:rsidR="008A4322" w:rsidRPr="00564A46" w:rsidDel="00E8007D" w:rsidRDefault="008A4322" w:rsidP="001D16EC">
            <w:pPr>
              <w:spacing w:line="240" w:lineRule="auto"/>
              <w:contextualSpacing/>
              <w:rPr>
                <w:rFonts w:asciiTheme="minorHAnsi" w:eastAsia="Times New Roman" w:hAnsiTheme="minorHAnsi"/>
                <w:b/>
                <w:color w:val="000000" w:themeColor="text1"/>
                <w:sz w:val="20"/>
                <w:szCs w:val="20"/>
              </w:rPr>
            </w:pPr>
          </w:p>
        </w:tc>
        <w:tc>
          <w:tcPr>
            <w:tcW w:w="1011" w:type="pct"/>
            <w:vMerge/>
            <w:tcBorders>
              <w:left w:val="single" w:sz="4" w:space="0" w:color="auto"/>
              <w:bottom w:val="single" w:sz="4" w:space="0" w:color="auto"/>
              <w:right w:val="single" w:sz="4" w:space="0" w:color="auto"/>
            </w:tcBorders>
            <w:vAlign w:val="center"/>
          </w:tcPr>
          <w:p w14:paraId="0366B43C" w14:textId="77777777" w:rsidR="008A4322" w:rsidRPr="00564A46" w:rsidRDefault="008A4322" w:rsidP="001D16EC">
            <w:pPr>
              <w:spacing w:line="240" w:lineRule="auto"/>
              <w:contextualSpacing/>
              <w:rPr>
                <w:rFonts w:asciiTheme="minorHAnsi" w:eastAsia="Times New Roman" w:hAnsiTheme="minorHAnsi"/>
                <w:b/>
                <w:color w:val="000000" w:themeColor="text1"/>
                <w:sz w:val="20"/>
                <w:szCs w:val="20"/>
              </w:rPr>
            </w:pPr>
          </w:p>
        </w:tc>
        <w:tc>
          <w:tcPr>
            <w:tcW w:w="818" w:type="pct"/>
            <w:tcBorders>
              <w:top w:val="single" w:sz="4" w:space="0" w:color="auto"/>
              <w:left w:val="single" w:sz="4" w:space="0" w:color="auto"/>
              <w:bottom w:val="single" w:sz="4" w:space="0" w:color="auto"/>
              <w:right w:val="single" w:sz="4" w:space="0" w:color="auto"/>
            </w:tcBorders>
            <w:vAlign w:val="center"/>
          </w:tcPr>
          <w:p w14:paraId="11A902E8" w14:textId="25793A45" w:rsidR="008A4322" w:rsidRPr="00564A46" w:rsidRDefault="008A4322" w:rsidP="00963D35">
            <w:pPr>
              <w:spacing w:line="240" w:lineRule="auto"/>
              <w:contextualSpacing/>
              <w:jc w:val="center"/>
              <w:rPr>
                <w:rFonts w:asciiTheme="minorHAnsi" w:eastAsia="Times New Roman" w:hAnsiTheme="minorHAnsi"/>
                <w:b/>
                <w:color w:val="000000" w:themeColor="text1"/>
                <w:sz w:val="20"/>
                <w:szCs w:val="20"/>
              </w:rPr>
            </w:pPr>
            <w:r w:rsidRPr="00564A46">
              <w:rPr>
                <w:rFonts w:asciiTheme="minorHAnsi" w:eastAsia="Times New Roman" w:hAnsiTheme="minorHAnsi"/>
                <w:b/>
                <w:bCs/>
                <w:color w:val="000000" w:themeColor="text1"/>
                <w:sz w:val="20"/>
                <w:szCs w:val="20"/>
              </w:rPr>
              <w:t>At 50 mM</w:t>
            </w:r>
          </w:p>
        </w:tc>
        <w:tc>
          <w:tcPr>
            <w:tcW w:w="960" w:type="pct"/>
            <w:tcBorders>
              <w:top w:val="single" w:sz="4" w:space="0" w:color="auto"/>
              <w:left w:val="single" w:sz="4" w:space="0" w:color="auto"/>
              <w:bottom w:val="single" w:sz="4" w:space="0" w:color="auto"/>
              <w:right w:val="single" w:sz="4" w:space="0" w:color="auto"/>
            </w:tcBorders>
            <w:vAlign w:val="center"/>
          </w:tcPr>
          <w:p w14:paraId="161D1A5F" w14:textId="5F7A4597" w:rsidR="008A4322" w:rsidRPr="00564A46" w:rsidRDefault="008A4322" w:rsidP="00963D35">
            <w:pPr>
              <w:spacing w:line="240" w:lineRule="auto"/>
              <w:contextualSpacing/>
              <w:jc w:val="center"/>
              <w:rPr>
                <w:rFonts w:asciiTheme="minorHAnsi" w:eastAsia="Times New Roman" w:hAnsiTheme="minorHAnsi"/>
                <w:b/>
                <w:color w:val="000000" w:themeColor="text1"/>
                <w:sz w:val="20"/>
                <w:szCs w:val="20"/>
              </w:rPr>
            </w:pPr>
            <w:r w:rsidRPr="00564A46">
              <w:rPr>
                <w:rFonts w:asciiTheme="minorHAnsi" w:eastAsia="Times New Roman" w:hAnsiTheme="minorHAnsi"/>
                <w:b/>
                <w:bCs/>
                <w:color w:val="000000" w:themeColor="text1"/>
                <w:sz w:val="20"/>
                <w:szCs w:val="20"/>
              </w:rPr>
              <w:t>At Equivalent</w:t>
            </w:r>
          </w:p>
        </w:tc>
      </w:tr>
      <w:tr w:rsidR="00564A46" w:rsidRPr="00564A46" w:rsidDel="004378F4" w14:paraId="1F0849C3" w14:textId="77777777" w:rsidTr="00A05784">
        <w:trPr>
          <w:trHeight w:val="144"/>
        </w:trPr>
        <w:tc>
          <w:tcPr>
            <w:tcW w:w="806" w:type="pct"/>
            <w:tcBorders>
              <w:top w:val="single" w:sz="4" w:space="0" w:color="auto"/>
            </w:tcBorders>
            <w:noWrap/>
            <w:vAlign w:val="center"/>
          </w:tcPr>
          <w:p w14:paraId="6CA279A9" w14:textId="77777777" w:rsidR="008A4322" w:rsidRPr="00564A46" w:rsidRDefault="008A4322" w:rsidP="00963D35">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Atenolol</w:t>
            </w:r>
          </w:p>
        </w:tc>
        <w:tc>
          <w:tcPr>
            <w:tcW w:w="1405" w:type="pct"/>
            <w:gridSpan w:val="2"/>
            <w:tcBorders>
              <w:top w:val="single" w:sz="4" w:space="0" w:color="auto"/>
            </w:tcBorders>
            <w:noWrap/>
            <w:vAlign w:val="center"/>
          </w:tcPr>
          <w:p w14:paraId="0A0AE56A" w14:textId="757EEC82" w:rsidR="008A4322" w:rsidRPr="00564A46" w:rsidRDefault="008A4322" w:rsidP="00963D35">
            <w:pPr>
              <w:spacing w:line="240" w:lineRule="auto"/>
              <w:contextualSpacing/>
              <w:jc w:val="center"/>
              <w:rPr>
                <w:rFonts w:asciiTheme="minorHAnsi" w:eastAsia="Times New Roman" w:hAnsiTheme="minorHAnsi" w:cstheme="minorHAnsi"/>
                <w:color w:val="000000" w:themeColor="text1"/>
                <w:sz w:val="20"/>
                <w:szCs w:val="20"/>
              </w:rPr>
            </w:pPr>
          </w:p>
          <w:p w14:paraId="2A067845" w14:textId="7DC19524" w:rsidR="008A4322" w:rsidRPr="00564A46" w:rsidRDefault="008A4322" w:rsidP="00963D35">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-2.8</w:t>
            </w:r>
          </w:p>
        </w:tc>
        <w:tc>
          <w:tcPr>
            <w:tcW w:w="1011" w:type="pct"/>
            <w:tcBorders>
              <w:top w:val="single" w:sz="4" w:space="0" w:color="auto"/>
            </w:tcBorders>
            <w:vAlign w:val="center"/>
          </w:tcPr>
          <w:p w14:paraId="5540BD71" w14:textId="77777777" w:rsidR="008A4322" w:rsidRPr="00564A46" w:rsidRDefault="008A4322" w:rsidP="00963D35">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tcBorders>
              <w:top w:val="single" w:sz="4" w:space="0" w:color="auto"/>
            </w:tcBorders>
            <w:vAlign w:val="center"/>
          </w:tcPr>
          <w:p w14:paraId="08D2A483" w14:textId="1CA65A54" w:rsidR="008A4322" w:rsidRPr="00564A46" w:rsidRDefault="003F6FEE" w:rsidP="003F6FEE">
            <w:pPr>
              <w:tabs>
                <w:tab w:val="decimal" w:pos="794"/>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Not tested</w:t>
            </w:r>
          </w:p>
        </w:tc>
        <w:tc>
          <w:tcPr>
            <w:tcW w:w="960" w:type="pct"/>
            <w:tcBorders>
              <w:top w:val="single" w:sz="4" w:space="0" w:color="auto"/>
            </w:tcBorders>
            <w:vAlign w:val="center"/>
          </w:tcPr>
          <w:p w14:paraId="2FB071BE" w14:textId="73CD8CCF" w:rsidR="008A4322" w:rsidRPr="00564A46" w:rsidRDefault="003F6FEE" w:rsidP="003F6FEE">
            <w:pPr>
              <w:tabs>
                <w:tab w:val="decimal" w:pos="794"/>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Not tested</w:t>
            </w:r>
          </w:p>
        </w:tc>
      </w:tr>
      <w:tr w:rsidR="00564A46" w:rsidRPr="00564A46" w:rsidDel="004378F4" w14:paraId="166F8744" w14:textId="77777777" w:rsidTr="00A05784">
        <w:trPr>
          <w:trHeight w:val="144"/>
        </w:trPr>
        <w:tc>
          <w:tcPr>
            <w:tcW w:w="806" w:type="pct"/>
            <w:noWrap/>
            <w:vAlign w:val="center"/>
          </w:tcPr>
          <w:p w14:paraId="1C02791C"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Dipyridamole</w:t>
            </w:r>
          </w:p>
        </w:tc>
        <w:tc>
          <w:tcPr>
            <w:tcW w:w="1405" w:type="pct"/>
            <w:gridSpan w:val="2"/>
            <w:noWrap/>
          </w:tcPr>
          <w:p w14:paraId="3D913C50" w14:textId="4D9430CC"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p>
          <w:p w14:paraId="0E72571B" w14:textId="06838CF4" w:rsidR="00A05784" w:rsidRPr="00564A46" w:rsidRDefault="00A05784" w:rsidP="00A05784">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3.6</w:t>
            </w:r>
          </w:p>
        </w:tc>
        <w:tc>
          <w:tcPr>
            <w:tcW w:w="1011" w:type="pct"/>
            <w:vAlign w:val="center"/>
          </w:tcPr>
          <w:p w14:paraId="53844F45" w14:textId="7777777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Yes</w:t>
            </w:r>
          </w:p>
        </w:tc>
        <w:tc>
          <w:tcPr>
            <w:tcW w:w="818" w:type="pct"/>
            <w:vAlign w:val="center"/>
          </w:tcPr>
          <w:p w14:paraId="78AAA73C" w14:textId="2E862172"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1.4</w:t>
            </w:r>
          </w:p>
        </w:tc>
        <w:tc>
          <w:tcPr>
            <w:tcW w:w="960" w:type="pct"/>
            <w:vAlign w:val="center"/>
          </w:tcPr>
          <w:p w14:paraId="15E1E735" w14:textId="12F50D19"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1.4</w:t>
            </w:r>
          </w:p>
        </w:tc>
      </w:tr>
      <w:tr w:rsidR="00564A46" w:rsidRPr="00564A46" w:rsidDel="004378F4" w14:paraId="5D7E300D" w14:textId="77777777" w:rsidTr="00A05784">
        <w:trPr>
          <w:trHeight w:val="144"/>
        </w:trPr>
        <w:tc>
          <w:tcPr>
            <w:tcW w:w="806" w:type="pct"/>
            <w:noWrap/>
            <w:vAlign w:val="center"/>
          </w:tcPr>
          <w:p w14:paraId="4FA4F938"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Ketoconazole</w:t>
            </w:r>
          </w:p>
        </w:tc>
        <w:tc>
          <w:tcPr>
            <w:tcW w:w="1405" w:type="pct"/>
            <w:gridSpan w:val="2"/>
            <w:noWrap/>
          </w:tcPr>
          <w:p w14:paraId="155BECC9" w14:textId="0F578BC9"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p>
          <w:p w14:paraId="3516BB57" w14:textId="7FC31E51" w:rsidR="00A05784" w:rsidRPr="00564A46" w:rsidRDefault="00A05784" w:rsidP="00A05784">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4.2</w:t>
            </w:r>
          </w:p>
        </w:tc>
        <w:tc>
          <w:tcPr>
            <w:tcW w:w="1011" w:type="pct"/>
            <w:vAlign w:val="center"/>
          </w:tcPr>
          <w:p w14:paraId="441DD2AB" w14:textId="7777777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Yes</w:t>
            </w:r>
          </w:p>
        </w:tc>
        <w:tc>
          <w:tcPr>
            <w:tcW w:w="818" w:type="pct"/>
            <w:vAlign w:val="center"/>
          </w:tcPr>
          <w:p w14:paraId="629CB820" w14:textId="63DC3E07"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0.7</w:t>
            </w:r>
          </w:p>
        </w:tc>
        <w:tc>
          <w:tcPr>
            <w:tcW w:w="960" w:type="pct"/>
            <w:vAlign w:val="center"/>
          </w:tcPr>
          <w:p w14:paraId="4727D0B3" w14:textId="4845C07D"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1.5</w:t>
            </w:r>
          </w:p>
        </w:tc>
      </w:tr>
      <w:tr w:rsidR="00564A46" w:rsidRPr="00564A46" w:rsidDel="004378F4" w14:paraId="2F14FF84" w14:textId="77777777" w:rsidTr="00A05784">
        <w:trPr>
          <w:trHeight w:val="144"/>
        </w:trPr>
        <w:tc>
          <w:tcPr>
            <w:tcW w:w="806" w:type="pct"/>
            <w:noWrap/>
            <w:vAlign w:val="center"/>
          </w:tcPr>
          <w:p w14:paraId="4D06586F"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Tamoxifen</w:t>
            </w:r>
          </w:p>
        </w:tc>
        <w:tc>
          <w:tcPr>
            <w:tcW w:w="1405" w:type="pct"/>
            <w:gridSpan w:val="2"/>
            <w:noWrap/>
          </w:tcPr>
          <w:p w14:paraId="6970DBFA" w14:textId="09F16504"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p>
          <w:p w14:paraId="28324944" w14:textId="7B6EF3AC" w:rsidR="00A05784" w:rsidRPr="00564A46" w:rsidRDefault="00A05784" w:rsidP="00A05784">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4.5</w:t>
            </w:r>
          </w:p>
        </w:tc>
        <w:tc>
          <w:tcPr>
            <w:tcW w:w="1011" w:type="pct"/>
            <w:vAlign w:val="center"/>
          </w:tcPr>
          <w:p w14:paraId="2C3175D8" w14:textId="7777777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Yes</w:t>
            </w:r>
          </w:p>
        </w:tc>
        <w:tc>
          <w:tcPr>
            <w:tcW w:w="818" w:type="pct"/>
            <w:vAlign w:val="center"/>
          </w:tcPr>
          <w:p w14:paraId="5D501DC8" w14:textId="261128D1"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1.4</w:t>
            </w:r>
          </w:p>
        </w:tc>
        <w:tc>
          <w:tcPr>
            <w:tcW w:w="960" w:type="pct"/>
            <w:vAlign w:val="center"/>
          </w:tcPr>
          <w:p w14:paraId="0082A588" w14:textId="6BA719C2"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1.6</w:t>
            </w:r>
          </w:p>
        </w:tc>
      </w:tr>
      <w:tr w:rsidR="00564A46" w:rsidRPr="00564A46" w:rsidDel="004378F4" w14:paraId="5D6B8583" w14:textId="77777777" w:rsidTr="00A05784">
        <w:trPr>
          <w:trHeight w:val="144"/>
        </w:trPr>
        <w:tc>
          <w:tcPr>
            <w:tcW w:w="806" w:type="pct"/>
            <w:noWrap/>
            <w:vAlign w:val="center"/>
          </w:tcPr>
          <w:p w14:paraId="539B2BC4" w14:textId="4A85D833" w:rsidR="00A05784" w:rsidRPr="00564A46" w:rsidRDefault="00A05784" w:rsidP="00A05784">
            <w:pPr>
              <w:spacing w:line="240" w:lineRule="auto"/>
              <w:contextualSpacing/>
              <w:rPr>
                <w:rFonts w:asciiTheme="minorHAnsi" w:eastAsia="Times New Roman" w:hAnsiTheme="minorHAnsi"/>
                <w:color w:val="000000" w:themeColor="text1"/>
                <w:sz w:val="20"/>
                <w:szCs w:val="20"/>
              </w:rPr>
            </w:pPr>
            <w:proofErr w:type="spellStart"/>
            <w:r w:rsidRPr="00564A46">
              <w:rPr>
                <w:rFonts w:asciiTheme="minorHAnsi" w:eastAsia="Times New Roman" w:hAnsiTheme="minorHAnsi"/>
                <w:color w:val="000000" w:themeColor="text1"/>
                <w:sz w:val="20"/>
                <w:szCs w:val="20"/>
              </w:rPr>
              <w:t>Flufenamic</w:t>
            </w:r>
            <w:proofErr w:type="spellEnd"/>
            <w:r w:rsidRPr="00564A46">
              <w:rPr>
                <w:rFonts w:asciiTheme="minorHAnsi" w:eastAsia="Times New Roman" w:hAnsiTheme="minorHAnsi"/>
                <w:color w:val="000000" w:themeColor="text1"/>
                <w:sz w:val="20"/>
                <w:szCs w:val="20"/>
              </w:rPr>
              <w:t xml:space="preserve"> acid</w:t>
            </w:r>
          </w:p>
        </w:tc>
        <w:tc>
          <w:tcPr>
            <w:tcW w:w="1405" w:type="pct"/>
            <w:gridSpan w:val="2"/>
            <w:noWrap/>
          </w:tcPr>
          <w:p w14:paraId="70DBA3ED" w14:textId="0BC3FFD0"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p>
          <w:p w14:paraId="08D783E5" w14:textId="6A86FD33" w:rsidR="00A05784" w:rsidRPr="00564A46" w:rsidRDefault="00A05784" w:rsidP="00A05784">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3.7</w:t>
            </w:r>
          </w:p>
        </w:tc>
        <w:tc>
          <w:tcPr>
            <w:tcW w:w="1011" w:type="pct"/>
            <w:vAlign w:val="center"/>
          </w:tcPr>
          <w:p w14:paraId="4EEB9620" w14:textId="7777777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Yes</w:t>
            </w:r>
          </w:p>
        </w:tc>
        <w:tc>
          <w:tcPr>
            <w:tcW w:w="818" w:type="pct"/>
            <w:vAlign w:val="center"/>
          </w:tcPr>
          <w:p w14:paraId="10FE4CD4" w14:textId="3DC6C961"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1.3</w:t>
            </w:r>
          </w:p>
        </w:tc>
        <w:tc>
          <w:tcPr>
            <w:tcW w:w="960" w:type="pct"/>
            <w:vAlign w:val="center"/>
          </w:tcPr>
          <w:p w14:paraId="3EEB215B" w14:textId="3E6741DD"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1.1</w:t>
            </w:r>
          </w:p>
        </w:tc>
      </w:tr>
      <w:tr w:rsidR="00564A46" w:rsidRPr="00564A46" w:rsidDel="004378F4" w14:paraId="288070EC" w14:textId="77777777" w:rsidTr="00A05784">
        <w:trPr>
          <w:trHeight w:val="144"/>
        </w:trPr>
        <w:tc>
          <w:tcPr>
            <w:tcW w:w="806" w:type="pct"/>
            <w:noWrap/>
            <w:vAlign w:val="center"/>
          </w:tcPr>
          <w:p w14:paraId="00EDCA2F"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Ibuprofen</w:t>
            </w:r>
          </w:p>
        </w:tc>
        <w:tc>
          <w:tcPr>
            <w:tcW w:w="1405" w:type="pct"/>
            <w:gridSpan w:val="2"/>
            <w:noWrap/>
          </w:tcPr>
          <w:p w14:paraId="2A974EA7" w14:textId="2C5E80E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p>
          <w:p w14:paraId="6048DC85" w14:textId="57AC8723" w:rsidR="00A05784" w:rsidRPr="00564A46" w:rsidRDefault="00A05784" w:rsidP="00A05784">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1.7</w:t>
            </w:r>
          </w:p>
        </w:tc>
        <w:tc>
          <w:tcPr>
            <w:tcW w:w="1011" w:type="pct"/>
            <w:vAlign w:val="center"/>
          </w:tcPr>
          <w:p w14:paraId="6640CF21" w14:textId="7777777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vAlign w:val="center"/>
          </w:tcPr>
          <w:p w14:paraId="709650CF" w14:textId="03314601"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1.1</w:t>
            </w:r>
          </w:p>
        </w:tc>
        <w:tc>
          <w:tcPr>
            <w:tcW w:w="960" w:type="pct"/>
            <w:vAlign w:val="center"/>
          </w:tcPr>
          <w:p w14:paraId="5F5705A5" w14:textId="733AF6FA"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1.0</w:t>
            </w:r>
          </w:p>
        </w:tc>
      </w:tr>
      <w:tr w:rsidR="00564A46" w:rsidRPr="00564A46" w:rsidDel="004378F4" w14:paraId="114BD8AC" w14:textId="77777777" w:rsidTr="00A05784">
        <w:trPr>
          <w:trHeight w:val="144"/>
        </w:trPr>
        <w:tc>
          <w:tcPr>
            <w:tcW w:w="806" w:type="pct"/>
            <w:noWrap/>
            <w:vAlign w:val="center"/>
          </w:tcPr>
          <w:p w14:paraId="6278C960"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Danazol</w:t>
            </w:r>
          </w:p>
        </w:tc>
        <w:tc>
          <w:tcPr>
            <w:tcW w:w="1405" w:type="pct"/>
            <w:gridSpan w:val="2"/>
            <w:noWrap/>
          </w:tcPr>
          <w:p w14:paraId="468B07E8" w14:textId="215D23CE"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p>
          <w:p w14:paraId="768E345A" w14:textId="10C91BFD" w:rsidR="00A05784" w:rsidRPr="00564A46" w:rsidRDefault="00A05784" w:rsidP="00A05784">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4.5</w:t>
            </w:r>
          </w:p>
        </w:tc>
        <w:tc>
          <w:tcPr>
            <w:tcW w:w="1011" w:type="pct"/>
            <w:vAlign w:val="center"/>
          </w:tcPr>
          <w:p w14:paraId="487B57C2" w14:textId="7777777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Yes</w:t>
            </w:r>
          </w:p>
        </w:tc>
        <w:tc>
          <w:tcPr>
            <w:tcW w:w="818" w:type="pct"/>
            <w:vAlign w:val="center"/>
          </w:tcPr>
          <w:p w14:paraId="1896A5B2" w14:textId="0197BFBA"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1.7</w:t>
            </w:r>
          </w:p>
        </w:tc>
        <w:tc>
          <w:tcPr>
            <w:tcW w:w="960" w:type="pct"/>
            <w:vAlign w:val="center"/>
          </w:tcPr>
          <w:p w14:paraId="3EE27914" w14:textId="4A0D81C7"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1.7</w:t>
            </w:r>
          </w:p>
        </w:tc>
      </w:tr>
      <w:tr w:rsidR="00564A46" w:rsidRPr="00564A46" w:rsidDel="004378F4" w14:paraId="446B588D" w14:textId="77777777" w:rsidTr="00A05784">
        <w:trPr>
          <w:trHeight w:val="144"/>
        </w:trPr>
        <w:tc>
          <w:tcPr>
            <w:tcW w:w="806" w:type="pct"/>
            <w:noWrap/>
            <w:vAlign w:val="center"/>
          </w:tcPr>
          <w:p w14:paraId="25C4013F" w14:textId="77777777" w:rsidR="00A05784" w:rsidRPr="00564A46" w:rsidRDefault="00A05784" w:rsidP="00A05784">
            <w:pPr>
              <w:spacing w:line="240" w:lineRule="auto"/>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rPr>
              <w:t>Prednisolone</w:t>
            </w:r>
          </w:p>
        </w:tc>
        <w:tc>
          <w:tcPr>
            <w:tcW w:w="1405" w:type="pct"/>
            <w:gridSpan w:val="2"/>
            <w:noWrap/>
          </w:tcPr>
          <w:p w14:paraId="28BC2156" w14:textId="087B5B18"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p>
          <w:p w14:paraId="5AF686B7" w14:textId="0E437D53" w:rsidR="00A05784" w:rsidRPr="00564A46" w:rsidRDefault="00A05784" w:rsidP="00A05784">
            <w:pPr>
              <w:tabs>
                <w:tab w:val="decimal" w:pos="432"/>
              </w:tabs>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1.6</w:t>
            </w:r>
          </w:p>
        </w:tc>
        <w:tc>
          <w:tcPr>
            <w:tcW w:w="1011" w:type="pct"/>
            <w:vAlign w:val="center"/>
          </w:tcPr>
          <w:p w14:paraId="3E9B0ED8" w14:textId="77777777" w:rsidR="00A05784" w:rsidRPr="00564A46" w:rsidRDefault="00A05784" w:rsidP="00A05784">
            <w:pPr>
              <w:spacing w:line="240" w:lineRule="auto"/>
              <w:contextualSpacing/>
              <w:jc w:val="center"/>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No</w:t>
            </w:r>
          </w:p>
        </w:tc>
        <w:tc>
          <w:tcPr>
            <w:tcW w:w="818" w:type="pct"/>
            <w:vAlign w:val="center"/>
          </w:tcPr>
          <w:p w14:paraId="1DD83DBA" w14:textId="2DB4CF36"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1.0</w:t>
            </w:r>
          </w:p>
        </w:tc>
        <w:tc>
          <w:tcPr>
            <w:tcW w:w="960" w:type="pct"/>
            <w:vAlign w:val="center"/>
          </w:tcPr>
          <w:p w14:paraId="5D9551AE" w14:textId="5BC5A225" w:rsidR="00A05784" w:rsidRPr="00564A46" w:rsidRDefault="00A05784" w:rsidP="00A05784">
            <w:pPr>
              <w:tabs>
                <w:tab w:val="decimal" w:pos="794"/>
              </w:tabs>
              <w:spacing w:line="240" w:lineRule="auto"/>
              <w:contextualSpacing/>
              <w:rPr>
                <w:rFonts w:asciiTheme="minorHAnsi" w:eastAsia="Times New Roman" w:hAnsiTheme="minorHAnsi" w:cstheme="minorHAnsi"/>
                <w:color w:val="000000" w:themeColor="text1"/>
                <w:sz w:val="20"/>
                <w:szCs w:val="20"/>
              </w:rPr>
            </w:pPr>
            <w:r w:rsidRPr="00564A46">
              <w:rPr>
                <w:rFonts w:asciiTheme="minorHAnsi" w:eastAsia="Times New Roman" w:hAnsiTheme="minorHAnsi" w:cstheme="minorHAnsi"/>
                <w:color w:val="000000" w:themeColor="text1"/>
                <w:sz w:val="20"/>
                <w:szCs w:val="20"/>
              </w:rPr>
              <w:t>1.0</w:t>
            </w:r>
          </w:p>
        </w:tc>
      </w:tr>
      <w:tr w:rsidR="00564A46" w:rsidRPr="00564A46" w:rsidDel="004378F4" w14:paraId="0A8E9DC5" w14:textId="77777777" w:rsidTr="000A5690">
        <w:trPr>
          <w:trHeight w:val="360"/>
        </w:trPr>
        <w:tc>
          <w:tcPr>
            <w:tcW w:w="5000" w:type="pct"/>
            <w:gridSpan w:val="6"/>
            <w:noWrap/>
            <w:vAlign w:val="center"/>
          </w:tcPr>
          <w:p w14:paraId="1A5CE3C6" w14:textId="4FA17089" w:rsidR="000A5690" w:rsidRPr="00564A46" w:rsidRDefault="00D225B1" w:rsidP="00F42B13">
            <w:pPr>
              <w:spacing w:line="240" w:lineRule="auto"/>
              <w:ind w:left="160" w:hanging="160"/>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vertAlign w:val="superscript"/>
              </w:rPr>
              <w:t xml:space="preserve">a </w:t>
            </w:r>
            <w:r w:rsidRPr="00564A46">
              <w:rPr>
                <w:rFonts w:asciiTheme="minorHAnsi" w:eastAsia="Times New Roman" w:hAnsiTheme="minorHAnsi"/>
                <w:color w:val="000000" w:themeColor="text1"/>
                <w:sz w:val="20"/>
                <w:szCs w:val="20"/>
              </w:rPr>
              <w:t xml:space="preserve"> </w:t>
            </w:r>
            <w:r w:rsidR="000A5690" w:rsidRPr="00564A46">
              <w:rPr>
                <w:rFonts w:asciiTheme="minorHAnsi" w:eastAsia="Times New Roman" w:hAnsiTheme="minorHAnsi"/>
                <w:color w:val="000000" w:themeColor="text1"/>
                <w:sz w:val="20"/>
                <w:szCs w:val="20"/>
              </w:rPr>
              <w:sym w:font="Symbol" w:char="F061"/>
            </w:r>
            <w:r w:rsidR="003D13FC" w:rsidRPr="00564A46">
              <w:rPr>
                <w:rFonts w:asciiTheme="minorHAnsi" w:eastAsia="Times New Roman" w:hAnsiTheme="minorHAnsi"/>
                <w:color w:val="000000" w:themeColor="text1"/>
                <w:sz w:val="20"/>
                <w:szCs w:val="20"/>
              </w:rPr>
              <w:t xml:space="preserve"> = pK</w:t>
            </w:r>
            <w:r w:rsidR="003D13FC" w:rsidRPr="00564A46">
              <w:rPr>
                <w:rFonts w:asciiTheme="minorHAnsi" w:eastAsia="Times New Roman" w:hAnsiTheme="minorHAnsi"/>
                <w:color w:val="000000" w:themeColor="text1"/>
                <w:sz w:val="20"/>
                <w:szCs w:val="20"/>
                <w:vertAlign w:val="subscript"/>
              </w:rPr>
              <w:t>a</w:t>
            </w:r>
            <w:r w:rsidR="003D13FC" w:rsidRPr="00564A46">
              <w:rPr>
                <w:rFonts w:asciiTheme="minorHAnsi" w:eastAsia="Times New Roman" w:hAnsiTheme="minorHAnsi"/>
                <w:color w:val="000000" w:themeColor="text1"/>
                <w:sz w:val="20"/>
                <w:szCs w:val="20"/>
              </w:rPr>
              <w:t xml:space="preserve"> – log S</w:t>
            </w:r>
            <w:r w:rsidR="003D13FC" w:rsidRPr="00564A46">
              <w:rPr>
                <w:rFonts w:asciiTheme="minorHAnsi" w:eastAsia="Times New Roman" w:hAnsiTheme="minorHAnsi"/>
                <w:color w:val="000000" w:themeColor="text1"/>
                <w:sz w:val="20"/>
                <w:szCs w:val="20"/>
                <w:vertAlign w:val="subscript"/>
              </w:rPr>
              <w:t>o</w:t>
            </w:r>
            <w:r w:rsidR="000A5690" w:rsidRPr="00564A46">
              <w:rPr>
                <w:rFonts w:asciiTheme="minorHAnsi" w:eastAsia="Times New Roman" w:hAnsiTheme="minorHAnsi"/>
                <w:color w:val="000000" w:themeColor="text1"/>
                <w:sz w:val="20"/>
                <w:szCs w:val="20"/>
              </w:rPr>
              <w:t xml:space="preserve"> and </w:t>
            </w:r>
            <w:r w:rsidR="000A5690" w:rsidRPr="00564A46">
              <w:rPr>
                <w:rFonts w:asciiTheme="minorHAnsi" w:eastAsia="Times New Roman" w:hAnsiTheme="minorHAnsi"/>
                <w:color w:val="000000" w:themeColor="text1"/>
                <w:sz w:val="20"/>
                <w:szCs w:val="20"/>
              </w:rPr>
              <w:sym w:font="Symbol" w:char="F062"/>
            </w:r>
            <w:r w:rsidR="003D13FC" w:rsidRPr="00564A46">
              <w:rPr>
                <w:rFonts w:asciiTheme="minorHAnsi" w:eastAsia="Times New Roman" w:hAnsiTheme="minorHAnsi"/>
                <w:color w:val="000000" w:themeColor="text1"/>
                <w:sz w:val="20"/>
                <w:szCs w:val="20"/>
              </w:rPr>
              <w:t xml:space="preserve"> = pK</w:t>
            </w:r>
            <w:r w:rsidR="003D13FC" w:rsidRPr="00564A46">
              <w:rPr>
                <w:rFonts w:asciiTheme="minorHAnsi" w:eastAsia="Times New Roman" w:hAnsiTheme="minorHAnsi"/>
                <w:color w:val="000000" w:themeColor="text1"/>
                <w:sz w:val="20"/>
                <w:szCs w:val="20"/>
                <w:vertAlign w:val="subscript"/>
              </w:rPr>
              <w:t>w</w:t>
            </w:r>
            <w:r w:rsidR="003D13FC" w:rsidRPr="00564A46">
              <w:rPr>
                <w:rFonts w:asciiTheme="minorHAnsi" w:eastAsia="Times New Roman" w:hAnsiTheme="minorHAnsi"/>
                <w:color w:val="000000" w:themeColor="text1"/>
                <w:sz w:val="20"/>
                <w:szCs w:val="20"/>
              </w:rPr>
              <w:t xml:space="preserve"> </w:t>
            </w:r>
            <w:r w:rsidR="00F42B13" w:rsidRPr="00564A46">
              <w:rPr>
                <w:rFonts w:asciiTheme="minorHAnsi" w:eastAsia="Times New Roman" w:hAnsiTheme="minorHAnsi"/>
                <w:color w:val="000000" w:themeColor="text1"/>
                <w:sz w:val="20"/>
                <w:szCs w:val="20"/>
              </w:rPr>
              <w:t xml:space="preserve">– </w:t>
            </w:r>
            <w:r w:rsidR="003D13FC" w:rsidRPr="00564A46">
              <w:rPr>
                <w:rFonts w:asciiTheme="minorHAnsi" w:eastAsia="Times New Roman" w:hAnsiTheme="minorHAnsi"/>
                <w:color w:val="000000" w:themeColor="text1"/>
                <w:sz w:val="20"/>
                <w:szCs w:val="20"/>
              </w:rPr>
              <w:t>pK</w:t>
            </w:r>
            <w:r w:rsidR="003D13FC" w:rsidRPr="00564A46">
              <w:rPr>
                <w:rFonts w:asciiTheme="minorHAnsi" w:eastAsia="Times New Roman" w:hAnsiTheme="minorHAnsi"/>
                <w:color w:val="000000" w:themeColor="text1"/>
                <w:sz w:val="20"/>
                <w:szCs w:val="20"/>
                <w:vertAlign w:val="subscript"/>
              </w:rPr>
              <w:t>a</w:t>
            </w:r>
            <w:r w:rsidR="003D13FC" w:rsidRPr="00564A46">
              <w:rPr>
                <w:rFonts w:asciiTheme="minorHAnsi" w:eastAsia="Times New Roman" w:hAnsiTheme="minorHAnsi"/>
                <w:color w:val="000000" w:themeColor="text1"/>
                <w:sz w:val="20"/>
                <w:szCs w:val="20"/>
              </w:rPr>
              <w:t xml:space="preserve"> – log S</w:t>
            </w:r>
            <w:r w:rsidR="003D13FC" w:rsidRPr="00564A46">
              <w:rPr>
                <w:rFonts w:asciiTheme="minorHAnsi" w:eastAsia="Times New Roman" w:hAnsiTheme="minorHAnsi"/>
                <w:color w:val="000000" w:themeColor="text1"/>
                <w:sz w:val="20"/>
                <w:szCs w:val="20"/>
                <w:vertAlign w:val="subscript"/>
              </w:rPr>
              <w:t>o</w:t>
            </w:r>
          </w:p>
          <w:p w14:paraId="7A7D8231" w14:textId="59481E3B" w:rsidR="00A05784" w:rsidRPr="00564A46" w:rsidRDefault="006949EE" w:rsidP="00F42B13">
            <w:pPr>
              <w:spacing w:line="240" w:lineRule="auto"/>
              <w:ind w:left="160" w:hanging="160"/>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vertAlign w:val="superscript"/>
              </w:rPr>
              <w:t>b</w:t>
            </w:r>
            <w:r w:rsidR="00EE1F82" w:rsidRPr="00564A46">
              <w:rPr>
                <w:rFonts w:asciiTheme="minorHAnsi" w:eastAsia="Times New Roman" w:hAnsiTheme="minorHAnsi"/>
                <w:color w:val="000000" w:themeColor="text1"/>
                <w:sz w:val="20"/>
                <w:szCs w:val="20"/>
              </w:rPr>
              <w:t xml:space="preserve"> </w:t>
            </w:r>
            <w:r w:rsidR="00A05784" w:rsidRPr="00564A46">
              <w:rPr>
                <w:rFonts w:asciiTheme="minorHAnsi" w:eastAsia="Times New Roman" w:hAnsiTheme="minorHAnsi"/>
                <w:color w:val="000000" w:themeColor="text1"/>
                <w:sz w:val="20"/>
                <w:szCs w:val="20"/>
              </w:rPr>
              <w:t>Fold difference in dissolution rate is the ratio of dissolution rate in 50 mM/equivalent buffer</w:t>
            </w:r>
          </w:p>
          <w:p w14:paraId="4D1108F7" w14:textId="4E8C66D7" w:rsidR="0009565D" w:rsidRPr="00564A46" w:rsidRDefault="00A05784" w:rsidP="00F42B13">
            <w:pPr>
              <w:spacing w:line="240" w:lineRule="auto"/>
              <w:ind w:left="160" w:hanging="160"/>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vertAlign w:val="superscript"/>
              </w:rPr>
              <w:t>c</w:t>
            </w:r>
            <w:r w:rsidRPr="00564A46">
              <w:rPr>
                <w:rFonts w:asciiTheme="minorHAnsi" w:eastAsia="Times New Roman" w:hAnsiTheme="minorHAnsi"/>
                <w:color w:val="000000" w:themeColor="text1"/>
                <w:sz w:val="20"/>
                <w:szCs w:val="20"/>
              </w:rPr>
              <w:t xml:space="preserve"> </w:t>
            </w:r>
            <w:r w:rsidR="0009565D" w:rsidRPr="00564A46">
              <w:rPr>
                <w:rFonts w:asciiTheme="minorHAnsi" w:eastAsia="Times New Roman" w:hAnsiTheme="minorHAnsi"/>
                <w:color w:val="000000" w:themeColor="text1"/>
                <w:sz w:val="20"/>
                <w:szCs w:val="20"/>
              </w:rPr>
              <w:t xml:space="preserve">Although </w:t>
            </w:r>
            <w:r w:rsidR="0009565D" w:rsidRPr="00564A46">
              <w:rPr>
                <w:rFonts w:ascii="Calibri" w:eastAsia="Times New Roman" w:hAnsi="Calibri" w:cs="Calibri"/>
                <w:color w:val="000000" w:themeColor="text1"/>
                <w:sz w:val="20"/>
                <w:szCs w:val="20"/>
              </w:rPr>
              <w:t>β</w:t>
            </w:r>
            <w:r w:rsidR="00F42B13" w:rsidRPr="00564A46">
              <w:rPr>
                <w:rFonts w:ascii="Calibri" w:eastAsia="Times New Roman" w:hAnsi="Calibri" w:cs="Calibri"/>
                <w:color w:val="000000" w:themeColor="text1"/>
                <w:sz w:val="20"/>
                <w:szCs w:val="20"/>
              </w:rPr>
              <w:t xml:space="preserve"> &lt; 11 and surface pH is calculated to increase, </w:t>
            </w:r>
            <w:proofErr w:type="gramStart"/>
            <w:r w:rsidR="00F42B13" w:rsidRPr="00564A46">
              <w:rPr>
                <w:rFonts w:ascii="Calibri" w:eastAsia="Times New Roman" w:hAnsi="Calibri" w:cs="Calibri"/>
                <w:color w:val="000000" w:themeColor="text1"/>
                <w:sz w:val="20"/>
                <w:szCs w:val="20"/>
              </w:rPr>
              <w:t>S</w:t>
            </w:r>
            <w:r w:rsidR="00F42B13" w:rsidRPr="00564A46">
              <w:rPr>
                <w:rFonts w:ascii="Calibri" w:eastAsia="Times New Roman" w:hAnsi="Calibri" w:cs="Calibri"/>
                <w:color w:val="000000" w:themeColor="text1"/>
                <w:sz w:val="20"/>
                <w:szCs w:val="20"/>
                <w:vertAlign w:val="subscript"/>
              </w:rPr>
              <w:t>o</w:t>
            </w:r>
            <w:proofErr w:type="gramEnd"/>
            <w:r w:rsidR="00F42B13" w:rsidRPr="00564A46">
              <w:rPr>
                <w:rFonts w:ascii="Calibri" w:eastAsia="Times New Roman" w:hAnsi="Calibri" w:cs="Calibri"/>
                <w:color w:val="000000" w:themeColor="text1"/>
                <w:sz w:val="20"/>
                <w:szCs w:val="20"/>
                <w:vertAlign w:val="subscript"/>
              </w:rPr>
              <w:t xml:space="preserve"> </w:t>
            </w:r>
            <w:r w:rsidR="00F42B13" w:rsidRPr="00564A46">
              <w:rPr>
                <w:rFonts w:ascii="Calibri" w:eastAsia="Times New Roman" w:hAnsi="Calibri" w:cs="Calibri"/>
                <w:color w:val="000000" w:themeColor="text1"/>
                <w:sz w:val="20"/>
                <w:szCs w:val="20"/>
              </w:rPr>
              <w:t xml:space="preserve">is sufficiently high (Atenolol is a BCS 1 drug) such that surface pH increases to a high and similar extent in both 50 mM and 1 mM buffer. </w:t>
            </w:r>
            <w:proofErr w:type="gramStart"/>
            <w:r w:rsidR="00F42B13" w:rsidRPr="00564A46">
              <w:rPr>
                <w:rFonts w:ascii="Calibri" w:eastAsia="Times New Roman" w:hAnsi="Calibri" w:cs="Calibri"/>
                <w:color w:val="000000" w:themeColor="text1"/>
                <w:sz w:val="20"/>
                <w:szCs w:val="20"/>
              </w:rPr>
              <w:t>Therefore</w:t>
            </w:r>
            <w:proofErr w:type="gramEnd"/>
            <w:r w:rsidR="00F42B13" w:rsidRPr="00564A46">
              <w:rPr>
                <w:rFonts w:ascii="Calibri" w:eastAsia="Times New Roman" w:hAnsi="Calibri" w:cs="Calibri"/>
                <w:color w:val="000000" w:themeColor="text1"/>
                <w:sz w:val="20"/>
                <w:szCs w:val="20"/>
              </w:rPr>
              <w:t xml:space="preserve"> the difference in calculated dissolution rates is less than 2-fold.</w:t>
            </w:r>
          </w:p>
          <w:p w14:paraId="5ADD683B" w14:textId="67A6B1C6" w:rsidR="0009565D" w:rsidRPr="00564A46" w:rsidRDefault="00F42B13" w:rsidP="00F42B13">
            <w:pPr>
              <w:spacing w:line="240" w:lineRule="auto"/>
              <w:ind w:left="160" w:hanging="160"/>
              <w:contextualSpacing/>
              <w:rPr>
                <w:rFonts w:asciiTheme="minorHAnsi" w:eastAsia="Times New Roman" w:hAnsiTheme="minorHAnsi"/>
                <w:color w:val="000000" w:themeColor="text1"/>
                <w:sz w:val="20"/>
                <w:szCs w:val="20"/>
              </w:rPr>
            </w:pPr>
            <w:r w:rsidRPr="00564A46">
              <w:rPr>
                <w:rFonts w:asciiTheme="minorHAnsi" w:eastAsia="Times New Roman" w:hAnsiTheme="minorHAnsi"/>
                <w:color w:val="000000" w:themeColor="text1"/>
                <w:sz w:val="20"/>
                <w:szCs w:val="20"/>
                <w:vertAlign w:val="superscript"/>
              </w:rPr>
              <w:t xml:space="preserve">d </w:t>
            </w:r>
            <w:r w:rsidRPr="00564A46">
              <w:rPr>
                <w:rFonts w:asciiTheme="minorHAnsi" w:eastAsia="Times New Roman" w:hAnsiTheme="minorHAnsi"/>
                <w:color w:val="000000" w:themeColor="text1"/>
                <w:sz w:val="20"/>
                <w:szCs w:val="20"/>
              </w:rPr>
              <w:t>A 10 mM buffer was chosen as the low buffer concentration buffer for the experiments. An equivalent buffer cannot be calculated for these neutral compounds due to a lack of a relevant pKa.</w:t>
            </w:r>
          </w:p>
          <w:p w14:paraId="1FA7BBA6" w14:textId="1F01DC77" w:rsidR="00A05784" w:rsidRPr="00564A46" w:rsidRDefault="00F42B13" w:rsidP="00F42B13">
            <w:pPr>
              <w:spacing w:line="240" w:lineRule="auto"/>
              <w:ind w:left="160" w:hanging="160"/>
              <w:contextualSpacing/>
              <w:rPr>
                <w:rFonts w:asciiTheme="minorHAnsi" w:eastAsia="Times New Roman" w:hAnsiTheme="minorHAnsi"/>
                <w:color w:val="000000" w:themeColor="text1"/>
                <w:sz w:val="20"/>
                <w:szCs w:val="20"/>
              </w:rPr>
            </w:pPr>
            <w:proofErr w:type="spellStart"/>
            <w:proofErr w:type="gramStart"/>
            <w:r w:rsidRPr="00564A46">
              <w:rPr>
                <w:rFonts w:asciiTheme="minorHAnsi" w:eastAsia="Times New Roman" w:hAnsiTheme="minorHAnsi"/>
                <w:color w:val="000000" w:themeColor="text1"/>
                <w:sz w:val="20"/>
                <w:szCs w:val="20"/>
                <w:vertAlign w:val="superscript"/>
              </w:rPr>
              <w:t>e</w:t>
            </w:r>
            <w:proofErr w:type="spellEnd"/>
            <w:r w:rsidRPr="00564A46">
              <w:rPr>
                <w:rFonts w:asciiTheme="minorHAnsi" w:eastAsia="Times New Roman" w:hAnsiTheme="minorHAnsi"/>
                <w:color w:val="000000" w:themeColor="text1"/>
                <w:sz w:val="20"/>
                <w:szCs w:val="20"/>
                <w:vertAlign w:val="superscript"/>
              </w:rPr>
              <w:t xml:space="preserve">  </w:t>
            </w:r>
            <w:r w:rsidR="000D0126" w:rsidRPr="00564A46">
              <w:rPr>
                <w:rFonts w:asciiTheme="minorHAnsi" w:eastAsia="Times New Roman" w:hAnsiTheme="minorHAnsi"/>
                <w:color w:val="000000" w:themeColor="text1"/>
                <w:sz w:val="20"/>
                <w:szCs w:val="20"/>
              </w:rPr>
              <w:t>See</w:t>
            </w:r>
            <w:proofErr w:type="gramEnd"/>
            <w:r w:rsidR="000D0126" w:rsidRPr="00564A46">
              <w:rPr>
                <w:rFonts w:asciiTheme="minorHAnsi" w:eastAsia="Times New Roman" w:hAnsiTheme="minorHAnsi"/>
                <w:color w:val="000000" w:themeColor="text1"/>
                <w:sz w:val="20"/>
                <w:szCs w:val="20"/>
              </w:rPr>
              <w:t xml:space="preserve"> Table S1 for references for log D</w:t>
            </w:r>
            <w:r w:rsidR="000D0126" w:rsidRPr="00564A46">
              <w:rPr>
                <w:rFonts w:asciiTheme="minorHAnsi" w:eastAsia="Times New Roman" w:hAnsiTheme="minorHAnsi"/>
                <w:color w:val="000000" w:themeColor="text1"/>
                <w:sz w:val="20"/>
                <w:szCs w:val="20"/>
                <w:vertAlign w:val="subscript"/>
              </w:rPr>
              <w:t xml:space="preserve">6.5 </w:t>
            </w:r>
            <w:r w:rsidR="000D0126" w:rsidRPr="00564A46">
              <w:rPr>
                <w:rFonts w:asciiTheme="minorHAnsi" w:eastAsia="Times New Roman" w:hAnsiTheme="minorHAnsi"/>
                <w:color w:val="000000" w:themeColor="text1"/>
                <w:sz w:val="20"/>
                <w:szCs w:val="20"/>
              </w:rPr>
              <w:t xml:space="preserve">values </w:t>
            </w:r>
          </w:p>
          <w:p w14:paraId="532486DA" w14:textId="5B25A058" w:rsidR="00EE1F82" w:rsidRPr="00564A46" w:rsidRDefault="00F42B13" w:rsidP="00F42B13">
            <w:pPr>
              <w:spacing w:line="240" w:lineRule="auto"/>
              <w:ind w:left="160" w:hanging="160"/>
              <w:contextualSpacing/>
              <w:rPr>
                <w:rFonts w:asciiTheme="minorHAnsi" w:eastAsia="Times New Roman" w:hAnsiTheme="minorHAnsi"/>
                <w:color w:val="000000" w:themeColor="text1"/>
                <w:sz w:val="20"/>
                <w:szCs w:val="20"/>
              </w:rPr>
            </w:pPr>
            <w:proofErr w:type="gramStart"/>
            <w:r w:rsidRPr="00564A46">
              <w:rPr>
                <w:rFonts w:asciiTheme="minorHAnsi" w:eastAsia="Times New Roman" w:hAnsiTheme="minorHAnsi"/>
                <w:color w:val="000000" w:themeColor="text1"/>
                <w:sz w:val="20"/>
                <w:szCs w:val="20"/>
                <w:vertAlign w:val="superscript"/>
              </w:rPr>
              <w:t>f</w:t>
            </w:r>
            <w:r w:rsidR="00A05784" w:rsidRPr="00564A46">
              <w:rPr>
                <w:rFonts w:asciiTheme="minorHAnsi" w:eastAsia="Times New Roman" w:hAnsiTheme="minorHAnsi"/>
                <w:color w:val="000000" w:themeColor="text1"/>
                <w:sz w:val="20"/>
                <w:szCs w:val="20"/>
                <w:vertAlign w:val="superscript"/>
              </w:rPr>
              <w:t xml:space="preserve"> </w:t>
            </w:r>
            <w:r w:rsidR="000D0126" w:rsidRPr="00564A46">
              <w:rPr>
                <w:rFonts w:asciiTheme="minorHAnsi" w:eastAsia="Times New Roman" w:hAnsiTheme="minorHAnsi"/>
                <w:color w:val="000000" w:themeColor="text1"/>
                <w:sz w:val="20"/>
                <w:szCs w:val="20"/>
                <w:vertAlign w:val="superscript"/>
              </w:rPr>
              <w:t xml:space="preserve"> </w:t>
            </w:r>
            <w:r w:rsidR="000D0126" w:rsidRPr="00564A46">
              <w:rPr>
                <w:rFonts w:asciiTheme="minorHAnsi" w:eastAsia="Times New Roman" w:hAnsiTheme="minorHAnsi"/>
                <w:color w:val="000000" w:themeColor="text1"/>
                <w:sz w:val="20"/>
                <w:szCs w:val="20"/>
              </w:rPr>
              <w:t>Fold</w:t>
            </w:r>
            <w:proofErr w:type="gramEnd"/>
            <w:r w:rsidR="000D0126" w:rsidRPr="00564A46">
              <w:rPr>
                <w:rFonts w:asciiTheme="minorHAnsi" w:eastAsia="Times New Roman" w:hAnsiTheme="minorHAnsi"/>
                <w:color w:val="000000" w:themeColor="text1"/>
                <w:sz w:val="20"/>
                <w:szCs w:val="20"/>
              </w:rPr>
              <w:t xml:space="preserve"> difference in dissolution rate is the ratio of dissolution rate with BS + PL/blank buffer</w:t>
            </w:r>
          </w:p>
          <w:p w14:paraId="69129FF0" w14:textId="56AE9EC5" w:rsidR="00BF1AAC" w:rsidRPr="00564A46" w:rsidRDefault="00BF1AAC" w:rsidP="00BF1AAC">
            <w:pPr>
              <w:spacing w:line="240" w:lineRule="auto"/>
              <w:ind w:left="71" w:hanging="71"/>
              <w:contextualSpacing/>
              <w:rPr>
                <w:rFonts w:asciiTheme="minorHAnsi" w:eastAsia="Times New Roman" w:hAnsiTheme="minorHAnsi"/>
                <w:color w:val="000000" w:themeColor="text1"/>
                <w:sz w:val="20"/>
                <w:szCs w:val="20"/>
              </w:rPr>
            </w:pPr>
          </w:p>
        </w:tc>
      </w:tr>
    </w:tbl>
    <w:bookmarkEnd w:id="3"/>
    <w:p w14:paraId="178A7B52" w14:textId="47CA7ECA" w:rsidR="0017394D" w:rsidRPr="00564A46" w:rsidRDefault="001045C6" w:rsidP="00963D35">
      <w:pPr>
        <w:spacing w:after="240"/>
        <w:rPr>
          <w:rFonts w:asciiTheme="minorHAnsi" w:hAnsiTheme="minorHAnsi"/>
          <w:b/>
          <w:color w:val="000000" w:themeColor="text1"/>
        </w:rPr>
      </w:pPr>
      <w:r w:rsidRPr="00564A46">
        <w:rPr>
          <w:rFonts w:asciiTheme="minorHAnsi" w:hAnsiTheme="minorHAnsi"/>
          <w:noProof/>
          <w:color w:val="000000" w:themeColor="text1"/>
        </w:rPr>
        <w:lastRenderedPageBreak/>
        <w:drawing>
          <wp:anchor distT="0" distB="0" distL="114300" distR="114300" simplePos="0" relativeHeight="251663360" behindDoc="0" locked="0" layoutInCell="1" allowOverlap="1" wp14:anchorId="7E31D479" wp14:editId="588EA890">
            <wp:simplePos x="0" y="0"/>
            <wp:positionH relativeFrom="margin">
              <wp:align>right</wp:align>
            </wp:positionH>
            <wp:positionV relativeFrom="paragraph">
              <wp:posOffset>5062009</wp:posOffset>
            </wp:positionV>
            <wp:extent cx="3084728" cy="246888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4728" cy="2468880"/>
                    </a:xfrm>
                    <a:prstGeom prst="rect">
                      <a:avLst/>
                    </a:prstGeom>
                    <a:noFill/>
                  </pic:spPr>
                </pic:pic>
              </a:graphicData>
            </a:graphic>
            <wp14:sizeRelH relativeFrom="margin">
              <wp14:pctWidth>0</wp14:pctWidth>
            </wp14:sizeRelH>
            <wp14:sizeRelV relativeFrom="margin">
              <wp14:pctHeight>0</wp14:pctHeight>
            </wp14:sizeRelV>
          </wp:anchor>
        </w:drawing>
      </w:r>
      <w:r w:rsidRPr="00564A46">
        <w:rPr>
          <w:rFonts w:asciiTheme="minorHAnsi" w:hAnsiTheme="minorHAnsi"/>
          <w:noProof/>
          <w:color w:val="000000" w:themeColor="text1"/>
        </w:rPr>
        <w:drawing>
          <wp:anchor distT="0" distB="0" distL="114300" distR="114300" simplePos="0" relativeHeight="251662336" behindDoc="0" locked="0" layoutInCell="1" allowOverlap="1" wp14:anchorId="6449FC56" wp14:editId="5A0CAEF8">
            <wp:simplePos x="0" y="0"/>
            <wp:positionH relativeFrom="margin">
              <wp:align>left</wp:align>
            </wp:positionH>
            <wp:positionV relativeFrom="paragraph">
              <wp:posOffset>5096721</wp:posOffset>
            </wp:positionV>
            <wp:extent cx="2856230" cy="2286000"/>
            <wp:effectExtent l="0" t="0" r="127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6230" cy="2286000"/>
                    </a:xfrm>
                    <a:prstGeom prst="rect">
                      <a:avLst/>
                    </a:prstGeom>
                    <a:noFill/>
                  </pic:spPr>
                </pic:pic>
              </a:graphicData>
            </a:graphic>
          </wp:anchor>
        </w:drawing>
      </w:r>
      <w:r w:rsidRPr="00564A46">
        <w:rPr>
          <w:rFonts w:asciiTheme="minorHAnsi" w:hAnsiTheme="minorHAnsi"/>
          <w:noProof/>
          <w:color w:val="000000" w:themeColor="text1"/>
        </w:rPr>
        <w:drawing>
          <wp:anchor distT="0" distB="0" distL="114300" distR="114300" simplePos="0" relativeHeight="251661312" behindDoc="0" locked="0" layoutInCell="1" allowOverlap="1" wp14:anchorId="771820ED" wp14:editId="21C2D159">
            <wp:simplePos x="0" y="0"/>
            <wp:positionH relativeFrom="margin">
              <wp:posOffset>3086100</wp:posOffset>
            </wp:positionH>
            <wp:positionV relativeFrom="paragraph">
              <wp:posOffset>2767965</wp:posOffset>
            </wp:positionV>
            <wp:extent cx="2856230" cy="2286000"/>
            <wp:effectExtent l="0" t="0" r="127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6230" cy="2286000"/>
                    </a:xfrm>
                    <a:prstGeom prst="rect">
                      <a:avLst/>
                    </a:prstGeom>
                    <a:noFill/>
                  </pic:spPr>
                </pic:pic>
              </a:graphicData>
            </a:graphic>
          </wp:anchor>
        </w:drawing>
      </w:r>
      <w:r w:rsidRPr="00564A46">
        <w:rPr>
          <w:rFonts w:asciiTheme="minorHAnsi" w:hAnsiTheme="minorHAnsi"/>
          <w:b/>
          <w:noProof/>
          <w:color w:val="000000" w:themeColor="text1"/>
        </w:rPr>
        <w:drawing>
          <wp:anchor distT="0" distB="0" distL="114300" distR="114300" simplePos="0" relativeHeight="251659264" behindDoc="0" locked="0" layoutInCell="1" allowOverlap="1" wp14:anchorId="3CC9641F" wp14:editId="3F127E90">
            <wp:simplePos x="0" y="0"/>
            <wp:positionH relativeFrom="margin">
              <wp:posOffset>3086100</wp:posOffset>
            </wp:positionH>
            <wp:positionV relativeFrom="paragraph">
              <wp:posOffset>490855</wp:posOffset>
            </wp:positionV>
            <wp:extent cx="2856230" cy="2286000"/>
            <wp:effectExtent l="0" t="0" r="127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6230" cy="2286000"/>
                    </a:xfrm>
                    <a:prstGeom prst="rect">
                      <a:avLst/>
                    </a:prstGeom>
                    <a:noFill/>
                  </pic:spPr>
                </pic:pic>
              </a:graphicData>
            </a:graphic>
          </wp:anchor>
        </w:drawing>
      </w:r>
      <w:r w:rsidR="00FF3CD3" w:rsidRPr="00564A46">
        <w:rPr>
          <w:rFonts w:asciiTheme="minorHAnsi" w:hAnsiTheme="minorHAnsi"/>
          <w:b/>
          <w:color w:val="000000" w:themeColor="text1"/>
        </w:rPr>
        <w:t>Figure S</w:t>
      </w:r>
      <w:r w:rsidR="0063738A" w:rsidRPr="00564A46">
        <w:rPr>
          <w:rFonts w:asciiTheme="minorHAnsi" w:hAnsiTheme="minorHAnsi"/>
          <w:b/>
          <w:color w:val="000000" w:themeColor="text1"/>
        </w:rPr>
        <w:t>7</w:t>
      </w:r>
      <w:r w:rsidR="000A5690" w:rsidRPr="00564A46">
        <w:rPr>
          <w:rFonts w:asciiTheme="minorHAnsi" w:hAnsiTheme="minorHAnsi"/>
          <w:b/>
          <w:color w:val="000000" w:themeColor="text1"/>
        </w:rPr>
        <w:t xml:space="preserve">. </w:t>
      </w:r>
      <w:r w:rsidR="00FF3CD3" w:rsidRPr="00564A46">
        <w:rPr>
          <w:rFonts w:asciiTheme="minorHAnsi" w:hAnsiTheme="minorHAnsi"/>
          <w:b/>
          <w:color w:val="000000" w:themeColor="text1"/>
        </w:rPr>
        <w:t>Dissol</w:t>
      </w:r>
      <w:r w:rsidR="00324244" w:rsidRPr="00564A46">
        <w:rPr>
          <w:rFonts w:asciiTheme="minorHAnsi" w:hAnsiTheme="minorHAnsi"/>
          <w:b/>
          <w:color w:val="000000" w:themeColor="text1"/>
        </w:rPr>
        <w:t xml:space="preserve">ution Time Profiles for Model </w:t>
      </w:r>
      <w:r w:rsidR="003E096B" w:rsidRPr="00564A46">
        <w:rPr>
          <w:rFonts w:asciiTheme="minorHAnsi" w:hAnsiTheme="minorHAnsi"/>
          <w:b/>
          <w:color w:val="000000" w:themeColor="text1"/>
        </w:rPr>
        <w:t>Weak Acids and Bases</w:t>
      </w:r>
    </w:p>
    <w:p w14:paraId="1F888026" w14:textId="5E988F63" w:rsidR="0017394D" w:rsidRPr="00564A46" w:rsidRDefault="001045C6" w:rsidP="00963D35">
      <w:pPr>
        <w:spacing w:after="240"/>
        <w:rPr>
          <w:rFonts w:asciiTheme="minorHAnsi" w:hAnsiTheme="minorHAnsi"/>
          <w:color w:val="000000" w:themeColor="text1"/>
        </w:rPr>
      </w:pPr>
      <w:r w:rsidRPr="00564A46">
        <w:rPr>
          <w:rFonts w:asciiTheme="minorHAnsi" w:hAnsiTheme="minorHAnsi"/>
          <w:noProof/>
          <w:color w:val="000000" w:themeColor="text1"/>
        </w:rPr>
        <w:drawing>
          <wp:anchor distT="0" distB="0" distL="114300" distR="114300" simplePos="0" relativeHeight="251658240" behindDoc="0" locked="0" layoutInCell="1" allowOverlap="1" wp14:anchorId="5AD63D50" wp14:editId="07395047">
            <wp:simplePos x="0" y="0"/>
            <wp:positionH relativeFrom="column">
              <wp:posOffset>0</wp:posOffset>
            </wp:positionH>
            <wp:positionV relativeFrom="paragraph">
              <wp:posOffset>-2328</wp:posOffset>
            </wp:positionV>
            <wp:extent cx="2856509" cy="22860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6509" cy="2286000"/>
                    </a:xfrm>
                    <a:prstGeom prst="rect">
                      <a:avLst/>
                    </a:prstGeom>
                    <a:noFill/>
                  </pic:spPr>
                </pic:pic>
              </a:graphicData>
            </a:graphic>
          </wp:anchor>
        </w:drawing>
      </w:r>
      <w:r w:rsidRPr="00564A46">
        <w:rPr>
          <w:rFonts w:asciiTheme="minorHAnsi" w:hAnsiTheme="minorHAnsi"/>
          <w:noProof/>
          <w:color w:val="000000" w:themeColor="text1"/>
        </w:rPr>
        <w:drawing>
          <wp:anchor distT="0" distB="0" distL="114300" distR="114300" simplePos="0" relativeHeight="251660288" behindDoc="0" locked="0" layoutInCell="1" allowOverlap="1" wp14:anchorId="02AE40C7" wp14:editId="27880429">
            <wp:simplePos x="0" y="0"/>
            <wp:positionH relativeFrom="column">
              <wp:posOffset>0</wp:posOffset>
            </wp:positionH>
            <wp:positionV relativeFrom="paragraph">
              <wp:posOffset>2283460</wp:posOffset>
            </wp:positionV>
            <wp:extent cx="2856230" cy="2286000"/>
            <wp:effectExtent l="0" t="0" r="127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6230" cy="2286000"/>
                    </a:xfrm>
                    <a:prstGeom prst="rect">
                      <a:avLst/>
                    </a:prstGeom>
                    <a:noFill/>
                  </pic:spPr>
                </pic:pic>
              </a:graphicData>
            </a:graphic>
          </wp:anchor>
        </w:drawing>
      </w:r>
    </w:p>
    <w:p w14:paraId="5C195B9C" w14:textId="77777777" w:rsidR="00963D35" w:rsidRPr="00564A46" w:rsidRDefault="00963D35" w:rsidP="00963D35">
      <w:pPr>
        <w:spacing w:line="240" w:lineRule="auto"/>
        <w:rPr>
          <w:rFonts w:asciiTheme="minorHAnsi" w:hAnsiTheme="minorHAnsi"/>
          <w:b/>
          <w:color w:val="000000" w:themeColor="text1"/>
        </w:rPr>
      </w:pPr>
    </w:p>
    <w:p w14:paraId="0596517B" w14:textId="5258BF68" w:rsidR="003E096B" w:rsidRPr="00564A46" w:rsidRDefault="003E096B" w:rsidP="00963D35">
      <w:pPr>
        <w:spacing w:line="240" w:lineRule="auto"/>
        <w:rPr>
          <w:rFonts w:asciiTheme="minorHAnsi" w:hAnsiTheme="minorHAnsi"/>
          <w:b/>
          <w:color w:val="000000" w:themeColor="text1"/>
        </w:rPr>
      </w:pPr>
      <w:r w:rsidRPr="00564A46">
        <w:rPr>
          <w:rFonts w:asciiTheme="minorHAnsi" w:hAnsiTheme="minorHAnsi"/>
          <w:b/>
          <w:noProof/>
          <w:color w:val="000000" w:themeColor="text1"/>
        </w:rPr>
        <w:lastRenderedPageBreak/>
        <w:drawing>
          <wp:anchor distT="0" distB="0" distL="114300" distR="114300" simplePos="0" relativeHeight="251665408" behindDoc="0" locked="0" layoutInCell="1" allowOverlap="1" wp14:anchorId="69A5ED56" wp14:editId="360C3951">
            <wp:simplePos x="0" y="0"/>
            <wp:positionH relativeFrom="margin">
              <wp:posOffset>2971800</wp:posOffset>
            </wp:positionH>
            <wp:positionV relativeFrom="paragraph">
              <wp:posOffset>325120</wp:posOffset>
            </wp:positionV>
            <wp:extent cx="2969895" cy="2377440"/>
            <wp:effectExtent l="0" t="0" r="1905" b="381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9895" cy="2377440"/>
                    </a:xfrm>
                    <a:prstGeom prst="rect">
                      <a:avLst/>
                    </a:prstGeom>
                    <a:noFill/>
                  </pic:spPr>
                </pic:pic>
              </a:graphicData>
            </a:graphic>
            <wp14:sizeRelH relativeFrom="margin">
              <wp14:pctWidth>0</wp14:pctWidth>
            </wp14:sizeRelH>
            <wp14:sizeRelV relativeFrom="margin">
              <wp14:pctHeight>0</wp14:pctHeight>
            </wp14:sizeRelV>
          </wp:anchor>
        </w:drawing>
      </w:r>
      <w:r w:rsidRPr="00564A46">
        <w:rPr>
          <w:rFonts w:asciiTheme="minorHAnsi" w:hAnsiTheme="minorHAnsi"/>
          <w:b/>
          <w:noProof/>
          <w:color w:val="000000" w:themeColor="text1"/>
        </w:rPr>
        <w:drawing>
          <wp:anchor distT="0" distB="0" distL="114300" distR="114300" simplePos="0" relativeHeight="251664384" behindDoc="0" locked="0" layoutInCell="1" allowOverlap="1" wp14:anchorId="0A2920F3" wp14:editId="097B7DF6">
            <wp:simplePos x="0" y="0"/>
            <wp:positionH relativeFrom="column">
              <wp:posOffset>0</wp:posOffset>
            </wp:positionH>
            <wp:positionV relativeFrom="paragraph">
              <wp:posOffset>304619</wp:posOffset>
            </wp:positionV>
            <wp:extent cx="2970770" cy="2377440"/>
            <wp:effectExtent l="0" t="0" r="1270" b="381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0770" cy="2377440"/>
                    </a:xfrm>
                    <a:prstGeom prst="rect">
                      <a:avLst/>
                    </a:prstGeom>
                    <a:noFill/>
                  </pic:spPr>
                </pic:pic>
              </a:graphicData>
            </a:graphic>
            <wp14:sizeRelH relativeFrom="margin">
              <wp14:pctWidth>0</wp14:pctWidth>
            </wp14:sizeRelH>
            <wp14:sizeRelV relativeFrom="margin">
              <wp14:pctHeight>0</wp14:pctHeight>
            </wp14:sizeRelV>
          </wp:anchor>
        </w:drawing>
      </w:r>
      <w:r w:rsidRPr="00564A46">
        <w:rPr>
          <w:rFonts w:asciiTheme="minorHAnsi" w:hAnsiTheme="minorHAnsi"/>
          <w:b/>
          <w:color w:val="000000" w:themeColor="text1"/>
        </w:rPr>
        <w:t>Figure S</w:t>
      </w:r>
      <w:r w:rsidR="0063738A" w:rsidRPr="00564A46">
        <w:rPr>
          <w:rFonts w:asciiTheme="minorHAnsi" w:hAnsiTheme="minorHAnsi"/>
          <w:b/>
          <w:color w:val="000000" w:themeColor="text1"/>
        </w:rPr>
        <w:t>8</w:t>
      </w:r>
      <w:r w:rsidRPr="00564A46">
        <w:rPr>
          <w:rFonts w:asciiTheme="minorHAnsi" w:hAnsiTheme="minorHAnsi"/>
          <w:b/>
          <w:color w:val="000000" w:themeColor="text1"/>
        </w:rPr>
        <w:t>. Dissolution Time Profiles for Model Neutral Drugs</w:t>
      </w:r>
    </w:p>
    <w:p w14:paraId="0AE68786" w14:textId="292C35DB" w:rsidR="001045C6" w:rsidRPr="00564A46" w:rsidRDefault="001045C6" w:rsidP="00963D35">
      <w:pPr>
        <w:spacing w:line="240" w:lineRule="auto"/>
        <w:rPr>
          <w:rFonts w:asciiTheme="minorHAnsi" w:hAnsiTheme="minorHAnsi"/>
          <w:b/>
          <w:color w:val="000000" w:themeColor="text1"/>
        </w:rPr>
      </w:pPr>
    </w:p>
    <w:p w14:paraId="1F90678D" w14:textId="77777777" w:rsidR="001045C6" w:rsidRPr="00564A46" w:rsidRDefault="001045C6" w:rsidP="00963D35">
      <w:pPr>
        <w:spacing w:line="240" w:lineRule="auto"/>
        <w:rPr>
          <w:rFonts w:asciiTheme="minorHAnsi" w:hAnsiTheme="minorHAnsi"/>
          <w:b/>
          <w:color w:val="000000" w:themeColor="text1"/>
        </w:rPr>
      </w:pPr>
    </w:p>
    <w:p w14:paraId="23F0FD30" w14:textId="77777777" w:rsidR="003E096B" w:rsidRPr="00564A46" w:rsidRDefault="003E096B">
      <w:pPr>
        <w:spacing w:after="160" w:line="259" w:lineRule="auto"/>
        <w:rPr>
          <w:rFonts w:asciiTheme="minorHAnsi" w:hAnsiTheme="minorHAnsi"/>
          <w:b/>
          <w:color w:val="000000" w:themeColor="text1"/>
        </w:rPr>
      </w:pPr>
      <w:r w:rsidRPr="00564A46">
        <w:rPr>
          <w:rFonts w:asciiTheme="minorHAnsi" w:hAnsiTheme="minorHAnsi"/>
          <w:b/>
          <w:color w:val="000000" w:themeColor="text1"/>
        </w:rPr>
        <w:br w:type="page"/>
      </w:r>
    </w:p>
    <w:p w14:paraId="15920449" w14:textId="0DFFA887" w:rsidR="006028C2" w:rsidRPr="00564A46" w:rsidRDefault="00324244" w:rsidP="00963D35">
      <w:pPr>
        <w:spacing w:line="240" w:lineRule="auto"/>
        <w:rPr>
          <w:rFonts w:asciiTheme="minorHAnsi" w:hAnsiTheme="minorHAnsi"/>
          <w:b/>
          <w:color w:val="000000" w:themeColor="text1"/>
        </w:rPr>
      </w:pPr>
      <w:r w:rsidRPr="00564A46">
        <w:rPr>
          <w:rFonts w:asciiTheme="minorHAnsi" w:hAnsiTheme="minorHAnsi"/>
          <w:b/>
          <w:color w:val="000000" w:themeColor="text1"/>
        </w:rPr>
        <w:lastRenderedPageBreak/>
        <w:t>References</w:t>
      </w:r>
    </w:p>
    <w:p w14:paraId="53DC65C2" w14:textId="77777777" w:rsidR="00963D35" w:rsidRPr="00564A46" w:rsidRDefault="00963D35" w:rsidP="00963D35">
      <w:pPr>
        <w:spacing w:line="240" w:lineRule="auto"/>
        <w:rPr>
          <w:rFonts w:asciiTheme="minorHAnsi" w:hAnsiTheme="minorHAnsi"/>
          <w:color w:val="000000" w:themeColor="text1"/>
        </w:rPr>
      </w:pPr>
    </w:p>
    <w:p w14:paraId="5F8DF0C4" w14:textId="77777777" w:rsidR="00613FDE" w:rsidRPr="00564A46" w:rsidRDefault="006028C2" w:rsidP="00613FDE">
      <w:pPr>
        <w:pStyle w:val="EndNoteBibliography"/>
        <w:rPr>
          <w:color w:val="000000" w:themeColor="text1"/>
        </w:rPr>
      </w:pPr>
      <w:r w:rsidRPr="00564A46">
        <w:rPr>
          <w:color w:val="000000" w:themeColor="text1"/>
        </w:rPr>
        <w:fldChar w:fldCharType="begin"/>
      </w:r>
      <w:r w:rsidRPr="00564A46">
        <w:rPr>
          <w:color w:val="000000" w:themeColor="text1"/>
        </w:rPr>
        <w:instrText xml:space="preserve"> ADDIN EN.REFLIST </w:instrText>
      </w:r>
      <w:r w:rsidRPr="00564A46">
        <w:rPr>
          <w:color w:val="000000" w:themeColor="text1"/>
        </w:rPr>
        <w:fldChar w:fldCharType="separate"/>
      </w:r>
      <w:r w:rsidR="00613FDE" w:rsidRPr="00564A46">
        <w:rPr>
          <w:color w:val="000000" w:themeColor="text1"/>
        </w:rPr>
        <w:t>1.</w:t>
      </w:r>
      <w:r w:rsidR="00613FDE" w:rsidRPr="00564A46">
        <w:rPr>
          <w:color w:val="000000" w:themeColor="text1"/>
        </w:rPr>
        <w:tab/>
        <w:t>Sinko PJ, Martin AN. Martin's physical pharmacy and pharmaceutical sciences : physical chemical and biopharmaceutical principles in the pharmaceutical sciences. Philadelphia: Lippincott Williams &amp; Wilkins; 2006.</w:t>
      </w:r>
    </w:p>
    <w:p w14:paraId="24FEAC67" w14:textId="77777777" w:rsidR="00613FDE" w:rsidRPr="00564A46" w:rsidRDefault="00613FDE" w:rsidP="00613FDE">
      <w:pPr>
        <w:pStyle w:val="EndNoteBibliography"/>
        <w:rPr>
          <w:color w:val="000000" w:themeColor="text1"/>
        </w:rPr>
      </w:pPr>
      <w:r w:rsidRPr="00564A46">
        <w:rPr>
          <w:color w:val="000000" w:themeColor="text1"/>
        </w:rPr>
        <w:t>2.</w:t>
      </w:r>
      <w:r w:rsidRPr="00564A46">
        <w:rPr>
          <w:color w:val="000000" w:themeColor="text1"/>
        </w:rPr>
        <w:tab/>
        <w:t>Balakrishnan A, Rege BD, Amidon GL, Polli JE. Surfactant-mediated dissolution: Contributions of solubility enhancement and relatively low micelle diffusivity. Journal of Pharmaceutical Sciences. 2004;93(8):2064-75.</w:t>
      </w:r>
    </w:p>
    <w:p w14:paraId="43DF8D03" w14:textId="77777777" w:rsidR="00613FDE" w:rsidRPr="00564A46" w:rsidRDefault="00613FDE" w:rsidP="00613FDE">
      <w:pPr>
        <w:pStyle w:val="EndNoteBibliography"/>
        <w:rPr>
          <w:color w:val="000000" w:themeColor="text1"/>
        </w:rPr>
      </w:pPr>
      <w:r w:rsidRPr="00564A46">
        <w:rPr>
          <w:color w:val="000000" w:themeColor="text1"/>
        </w:rPr>
        <w:t>3.</w:t>
      </w:r>
      <w:r w:rsidRPr="00564A46">
        <w:rPr>
          <w:color w:val="000000" w:themeColor="text1"/>
        </w:rPr>
        <w:tab/>
        <w:t>Okazaki A, Mano T, Sugano K. Theoretical dissolution model of poly-disperse drug particles in biorelevant media. Journal of Pharmaceutical Sciences. 2008;97(5):1843-52.</w:t>
      </w:r>
    </w:p>
    <w:p w14:paraId="54CCA053" w14:textId="77777777" w:rsidR="00613FDE" w:rsidRPr="00564A46" w:rsidRDefault="00613FDE" w:rsidP="00613FDE">
      <w:pPr>
        <w:pStyle w:val="EndNoteBibliography"/>
        <w:rPr>
          <w:color w:val="000000" w:themeColor="text1"/>
        </w:rPr>
      </w:pPr>
      <w:r w:rsidRPr="00564A46">
        <w:rPr>
          <w:color w:val="000000" w:themeColor="text1"/>
        </w:rPr>
        <w:t>4.</w:t>
      </w:r>
      <w:r w:rsidRPr="00564A46">
        <w:rPr>
          <w:color w:val="000000" w:themeColor="text1"/>
        </w:rPr>
        <w:tab/>
        <w:t>Amidon GE, Higuchi WI, Ho NFH. Theoretical and experimental studies of transport of micelle‐solubilized solutes. Journal of Pharmaceutical Sciences. 1982;71(1):77-84.</w:t>
      </w:r>
    </w:p>
    <w:p w14:paraId="3D636B87" w14:textId="77777777" w:rsidR="00613FDE" w:rsidRPr="00564A46" w:rsidRDefault="00613FDE" w:rsidP="00613FDE">
      <w:pPr>
        <w:pStyle w:val="EndNoteBibliography"/>
        <w:rPr>
          <w:color w:val="000000" w:themeColor="text1"/>
        </w:rPr>
      </w:pPr>
      <w:r w:rsidRPr="00564A46">
        <w:rPr>
          <w:color w:val="000000" w:themeColor="text1"/>
        </w:rPr>
        <w:t>5.</w:t>
      </w:r>
      <w:r w:rsidRPr="00564A46">
        <w:rPr>
          <w:color w:val="000000" w:themeColor="text1"/>
        </w:rPr>
        <w:tab/>
        <w:t>Sugano K, Okazaki A, Sugimoto S, Tavornvipas S, Omura A, Mano T. Solubility and dissolution profile assessment in drug discovery. Drug Metab Pharmacokinet. 2007;22(4):225-54.</w:t>
      </w:r>
    </w:p>
    <w:p w14:paraId="7FA1634A" w14:textId="77777777" w:rsidR="00613FDE" w:rsidRPr="00564A46" w:rsidRDefault="00613FDE" w:rsidP="00613FDE">
      <w:pPr>
        <w:pStyle w:val="EndNoteBibliography"/>
        <w:rPr>
          <w:color w:val="000000" w:themeColor="text1"/>
        </w:rPr>
      </w:pPr>
      <w:r w:rsidRPr="00564A46">
        <w:rPr>
          <w:color w:val="000000" w:themeColor="text1"/>
        </w:rPr>
        <w:t>6.</w:t>
      </w:r>
      <w:r w:rsidRPr="00564A46">
        <w:rPr>
          <w:color w:val="000000" w:themeColor="text1"/>
        </w:rPr>
        <w:tab/>
        <w:t>Hayduk W, Laudie H. Prediction of diffusion coefficients for nonelectrolytes in dilute aqueous solutions. AIChE Journal. 1974;20(3):611-5.</w:t>
      </w:r>
    </w:p>
    <w:p w14:paraId="3DB7E2F2" w14:textId="77777777" w:rsidR="00613FDE" w:rsidRPr="00564A46" w:rsidRDefault="00613FDE" w:rsidP="00613FDE">
      <w:pPr>
        <w:pStyle w:val="EndNoteBibliography"/>
        <w:rPr>
          <w:color w:val="000000" w:themeColor="text1"/>
        </w:rPr>
      </w:pPr>
      <w:r w:rsidRPr="00564A46">
        <w:rPr>
          <w:color w:val="000000" w:themeColor="text1"/>
        </w:rPr>
        <w:t>7.</w:t>
      </w:r>
      <w:r w:rsidRPr="00564A46">
        <w:rPr>
          <w:color w:val="000000" w:themeColor="text1"/>
        </w:rPr>
        <w:tab/>
        <w:t>Shekunov B. Theoretical Analysis of Drug Dissolution in Micellar Media. Journal of Pharmaceutical Sciences. 2017;106(1):248-57.</w:t>
      </w:r>
    </w:p>
    <w:p w14:paraId="528244C8" w14:textId="77777777" w:rsidR="00613FDE" w:rsidRPr="00564A46" w:rsidRDefault="00613FDE" w:rsidP="00613FDE">
      <w:pPr>
        <w:pStyle w:val="EndNoteBibliography"/>
        <w:rPr>
          <w:color w:val="000000" w:themeColor="text1"/>
        </w:rPr>
      </w:pPr>
      <w:r w:rsidRPr="00564A46">
        <w:rPr>
          <w:color w:val="000000" w:themeColor="text1"/>
        </w:rPr>
        <w:t>8.</w:t>
      </w:r>
      <w:r w:rsidRPr="00564A46">
        <w:rPr>
          <w:color w:val="000000" w:themeColor="text1"/>
        </w:rPr>
        <w:tab/>
        <w:t>Andersson SBE, Alvebratt C, Bergstrom CAS. Rapid determination of dissolution-limited drug absorption and effect of particle size reduction. Pharm Res. Submitted in 2017.</w:t>
      </w:r>
    </w:p>
    <w:p w14:paraId="5E76DA6C" w14:textId="77777777" w:rsidR="00613FDE" w:rsidRPr="00564A46" w:rsidRDefault="00613FDE" w:rsidP="00613FDE">
      <w:pPr>
        <w:pStyle w:val="EndNoteBibliography"/>
        <w:rPr>
          <w:color w:val="000000" w:themeColor="text1"/>
        </w:rPr>
      </w:pPr>
      <w:r w:rsidRPr="00564A46">
        <w:rPr>
          <w:color w:val="000000" w:themeColor="text1"/>
        </w:rPr>
        <w:t>9.</w:t>
      </w:r>
      <w:r w:rsidRPr="00564A46">
        <w:rPr>
          <w:color w:val="000000" w:themeColor="text1"/>
        </w:rPr>
        <w:tab/>
        <w:t>Andersson SBE, Alvebratt C, Bevernage J, Bonneau D, da Costa Mathews C, Dattani R, et al. Interlaboratory Validation of Small-Scale Solubility and Dissolution Measurements of Poorly Water-Soluble Drugs. Journal of pharmaceutical sciences. 2016;105(9):2864-72.</w:t>
      </w:r>
    </w:p>
    <w:p w14:paraId="6897C4E3" w14:textId="77777777" w:rsidR="00613FDE" w:rsidRPr="00564A46" w:rsidRDefault="00613FDE" w:rsidP="00613FDE">
      <w:pPr>
        <w:pStyle w:val="EndNoteBibliography"/>
        <w:rPr>
          <w:color w:val="000000" w:themeColor="text1"/>
        </w:rPr>
      </w:pPr>
      <w:r w:rsidRPr="00564A46">
        <w:rPr>
          <w:color w:val="000000" w:themeColor="text1"/>
        </w:rPr>
        <w:t>10.</w:t>
      </w:r>
      <w:r w:rsidRPr="00564A46">
        <w:rPr>
          <w:color w:val="000000" w:themeColor="text1"/>
        </w:rPr>
        <w:tab/>
        <w:t>Fagerberg JH, Bergstrom CAS. Intestinal solubility and absorption of poorly water soluble compounds: predictions, challenges and solutions. Therapeutic delivery. 2015;6(8):935-59.</w:t>
      </w:r>
    </w:p>
    <w:p w14:paraId="5BD273C0" w14:textId="77777777" w:rsidR="00613FDE" w:rsidRPr="00564A46" w:rsidRDefault="00613FDE" w:rsidP="00613FDE">
      <w:pPr>
        <w:pStyle w:val="EndNoteBibliography"/>
        <w:rPr>
          <w:color w:val="000000" w:themeColor="text1"/>
        </w:rPr>
      </w:pPr>
      <w:r w:rsidRPr="00564A46">
        <w:rPr>
          <w:color w:val="000000" w:themeColor="text1"/>
        </w:rPr>
        <w:t>11.</w:t>
      </w:r>
      <w:r w:rsidRPr="00564A46">
        <w:rPr>
          <w:color w:val="000000" w:themeColor="text1"/>
        </w:rPr>
        <w:tab/>
        <w:t>Avdeef A, Berger CM, Brownell C. pH-metric solubility. 2: correlation between the acid-base titration and the saturation shake-flask solubility-pH methods. Pharm Res. 2000;17(1):85-9.</w:t>
      </w:r>
    </w:p>
    <w:p w14:paraId="318797E4" w14:textId="77777777" w:rsidR="00613FDE" w:rsidRPr="00564A46" w:rsidRDefault="00613FDE" w:rsidP="00613FDE">
      <w:pPr>
        <w:pStyle w:val="EndNoteBibliography"/>
        <w:rPr>
          <w:color w:val="000000" w:themeColor="text1"/>
        </w:rPr>
      </w:pPr>
      <w:r w:rsidRPr="00564A46">
        <w:rPr>
          <w:color w:val="000000" w:themeColor="text1"/>
        </w:rPr>
        <w:t>12.</w:t>
      </w:r>
      <w:r w:rsidRPr="00564A46">
        <w:rPr>
          <w:color w:val="000000" w:themeColor="text1"/>
        </w:rPr>
        <w:tab/>
        <w:t>Mohsen-Nia M, Ebrahimabadi AH, Niknahad B. Partition coefficient n-octanol/water of propranolol and atenolol at different temperatures: Experimental and theoretical studies. The Journal of Chemical Thermodynamics. 2012;54:393-7.</w:t>
      </w:r>
    </w:p>
    <w:p w14:paraId="11646924" w14:textId="77777777" w:rsidR="00613FDE" w:rsidRPr="00564A46" w:rsidRDefault="00613FDE" w:rsidP="00613FDE">
      <w:pPr>
        <w:pStyle w:val="EndNoteBibliography"/>
        <w:rPr>
          <w:color w:val="000000" w:themeColor="text1"/>
        </w:rPr>
      </w:pPr>
      <w:r w:rsidRPr="00564A46">
        <w:rPr>
          <w:color w:val="000000" w:themeColor="text1"/>
        </w:rPr>
        <w:t>13.</w:t>
      </w:r>
      <w:r w:rsidRPr="00564A46">
        <w:rPr>
          <w:color w:val="000000" w:themeColor="text1"/>
        </w:rPr>
        <w:tab/>
        <w:t>Marmol AL, Box K, Wagner KG. Mechanistic Evaluation of Supersaturation and Solubility Enhancement for "Chasing" and "Non Chasing" APIs using Colloids.</w:t>
      </w:r>
    </w:p>
    <w:p w14:paraId="3EE2B64E" w14:textId="77777777" w:rsidR="00613FDE" w:rsidRPr="00564A46" w:rsidRDefault="00613FDE" w:rsidP="00613FDE">
      <w:pPr>
        <w:pStyle w:val="EndNoteBibliography"/>
        <w:rPr>
          <w:color w:val="000000" w:themeColor="text1"/>
        </w:rPr>
      </w:pPr>
      <w:r w:rsidRPr="00564A46">
        <w:rPr>
          <w:color w:val="000000" w:themeColor="text1"/>
        </w:rPr>
        <w:t>14.</w:t>
      </w:r>
      <w:r w:rsidRPr="00564A46">
        <w:rPr>
          <w:color w:val="000000" w:themeColor="text1"/>
        </w:rPr>
        <w:tab/>
        <w:t>Box K. In: personal communication to Mudie DM, editor. Sirius Analytical, Ltd.2017.</w:t>
      </w:r>
    </w:p>
    <w:p w14:paraId="74DCB6F7" w14:textId="77777777" w:rsidR="00613FDE" w:rsidRPr="00564A46" w:rsidRDefault="00613FDE" w:rsidP="00613FDE">
      <w:pPr>
        <w:pStyle w:val="EndNoteBibliography"/>
        <w:rPr>
          <w:color w:val="000000" w:themeColor="text1"/>
        </w:rPr>
      </w:pPr>
      <w:r w:rsidRPr="00564A46">
        <w:rPr>
          <w:color w:val="000000" w:themeColor="text1"/>
        </w:rPr>
        <w:t>15.</w:t>
      </w:r>
      <w:r w:rsidRPr="00564A46">
        <w:rPr>
          <w:color w:val="000000" w:themeColor="text1"/>
        </w:rPr>
        <w:tab/>
        <w:t>Hsieh YL, Ilevbare GA, Van Eerdenbrugh B, Box KJ, Sanchez-Felix MV, Taylor LS. pH-Induced precipitation behavior of weakly basic compounds: determination of extent and duration of supersaturation using potentiometric titration and correlation to solid state properties. Pharm Res. 2012;29(10):2738-53.</w:t>
      </w:r>
    </w:p>
    <w:p w14:paraId="6440591F" w14:textId="77777777" w:rsidR="00613FDE" w:rsidRPr="00564A46" w:rsidRDefault="00613FDE" w:rsidP="00613FDE">
      <w:pPr>
        <w:pStyle w:val="EndNoteBibliography"/>
        <w:rPr>
          <w:color w:val="000000" w:themeColor="text1"/>
        </w:rPr>
      </w:pPr>
      <w:r w:rsidRPr="00564A46">
        <w:rPr>
          <w:color w:val="000000" w:themeColor="text1"/>
        </w:rPr>
        <w:t>16.</w:t>
      </w:r>
      <w:r w:rsidRPr="00564A46">
        <w:rPr>
          <w:color w:val="000000" w:themeColor="text1"/>
        </w:rPr>
        <w:tab/>
        <w:t>Jacobs GA, Gerber M, Malan MM, du Preez JL, Fox LT, du Plessis J. Topical delivery of acyclovir and ketoconazole. Drug Deliv. 2016;23(2):631-41.</w:t>
      </w:r>
    </w:p>
    <w:p w14:paraId="37EE1088" w14:textId="77777777" w:rsidR="00613FDE" w:rsidRPr="00564A46" w:rsidRDefault="00613FDE" w:rsidP="00613FDE">
      <w:pPr>
        <w:pStyle w:val="EndNoteBibliography"/>
        <w:rPr>
          <w:color w:val="000000" w:themeColor="text1"/>
        </w:rPr>
      </w:pPr>
      <w:r w:rsidRPr="00564A46">
        <w:rPr>
          <w:color w:val="000000" w:themeColor="text1"/>
        </w:rPr>
        <w:t>17.</w:t>
      </w:r>
      <w:r w:rsidRPr="00564A46">
        <w:rPr>
          <w:color w:val="000000" w:themeColor="text1"/>
        </w:rPr>
        <w:tab/>
        <w:t>Sun N, Avdeef A. Biorelevant pK(a) (37 degrees C) predicted from the 2D structure of the molecule and its pK(a) at 25 degrees C. J Pharm Biomed Anal. 2011;56(2):173-82.</w:t>
      </w:r>
    </w:p>
    <w:p w14:paraId="74392577" w14:textId="77777777" w:rsidR="00613FDE" w:rsidRPr="00564A46" w:rsidRDefault="00613FDE" w:rsidP="00613FDE">
      <w:pPr>
        <w:pStyle w:val="EndNoteBibliography"/>
        <w:rPr>
          <w:color w:val="000000" w:themeColor="text1"/>
        </w:rPr>
      </w:pPr>
      <w:r w:rsidRPr="00564A46">
        <w:rPr>
          <w:color w:val="000000" w:themeColor="text1"/>
        </w:rPr>
        <w:t>18.</w:t>
      </w:r>
      <w:r w:rsidRPr="00564A46">
        <w:rPr>
          <w:color w:val="000000" w:themeColor="text1"/>
        </w:rPr>
        <w:tab/>
        <w:t>Jena SK, Singh C, Dora CP, Suresh S. Development of tamoxifen-phospholipid complex: Novel approach for improving solubility and bioavailability. International Journal of Pharmaceutics. 2014;473(1–2):1-9.</w:t>
      </w:r>
    </w:p>
    <w:p w14:paraId="15435765" w14:textId="77777777" w:rsidR="00613FDE" w:rsidRPr="00564A46" w:rsidRDefault="00613FDE" w:rsidP="00613FDE">
      <w:pPr>
        <w:pStyle w:val="EndNoteBibliography"/>
        <w:rPr>
          <w:color w:val="000000" w:themeColor="text1"/>
        </w:rPr>
      </w:pPr>
      <w:r w:rsidRPr="00564A46">
        <w:rPr>
          <w:color w:val="000000" w:themeColor="text1"/>
        </w:rPr>
        <w:t>19.</w:t>
      </w:r>
      <w:r w:rsidRPr="00564A46">
        <w:rPr>
          <w:color w:val="000000" w:themeColor="text1"/>
        </w:rPr>
        <w:tab/>
        <w:t>Hadgraft J, du Plessis J, Goosen C. The selection of non-steroidal anti-inflammatory agents for dermal delivery. Int J Pharm. 2000;207(1-2):31-7.</w:t>
      </w:r>
    </w:p>
    <w:p w14:paraId="7DCEE691" w14:textId="77777777" w:rsidR="00613FDE" w:rsidRPr="00564A46" w:rsidRDefault="00613FDE" w:rsidP="00613FDE">
      <w:pPr>
        <w:pStyle w:val="EndNoteBibliography"/>
        <w:rPr>
          <w:color w:val="000000" w:themeColor="text1"/>
        </w:rPr>
      </w:pPr>
      <w:r w:rsidRPr="00564A46">
        <w:rPr>
          <w:color w:val="000000" w:themeColor="text1"/>
        </w:rPr>
        <w:t>20.</w:t>
      </w:r>
      <w:r w:rsidRPr="00564A46">
        <w:rPr>
          <w:color w:val="000000" w:themeColor="text1"/>
        </w:rPr>
        <w:tab/>
        <w:t>Palmer DS, Llinas A, Morao I, Day GM, Goodman JM, Glen RC, et al. Predicting intrinsic aqueous solubility by a thermodynamic cycle. Mol Pharm. 2008;5(2):266-79.</w:t>
      </w:r>
    </w:p>
    <w:p w14:paraId="26C30CF5" w14:textId="77777777" w:rsidR="00613FDE" w:rsidRPr="00564A46" w:rsidRDefault="00613FDE" w:rsidP="00613FDE">
      <w:pPr>
        <w:pStyle w:val="EndNoteBibliography"/>
        <w:rPr>
          <w:color w:val="000000" w:themeColor="text1"/>
        </w:rPr>
      </w:pPr>
      <w:r w:rsidRPr="00564A46">
        <w:rPr>
          <w:color w:val="000000" w:themeColor="text1"/>
        </w:rPr>
        <w:t>21.</w:t>
      </w:r>
      <w:r w:rsidRPr="00564A46">
        <w:rPr>
          <w:color w:val="000000" w:themeColor="text1"/>
        </w:rPr>
        <w:tab/>
        <w:t>Krieg BJ, Taghavi SM, Amidon GL, Amidon GE. In Vivo Predictive Dissolution: Comparing the Effect of Bicarbonate and Phosphate Buffer on the Dissolution of Weak Acids and Weak Bases. Journal of Pharmaceutical Sciences. 2015;104(9):2894-904.</w:t>
      </w:r>
    </w:p>
    <w:p w14:paraId="2E28EA3E" w14:textId="77777777" w:rsidR="00613FDE" w:rsidRPr="00564A46" w:rsidRDefault="00613FDE" w:rsidP="00613FDE">
      <w:pPr>
        <w:pStyle w:val="EndNoteBibliography"/>
        <w:rPr>
          <w:color w:val="000000" w:themeColor="text1"/>
        </w:rPr>
      </w:pPr>
      <w:r w:rsidRPr="00564A46">
        <w:rPr>
          <w:color w:val="000000" w:themeColor="text1"/>
        </w:rPr>
        <w:lastRenderedPageBreak/>
        <w:t>22.</w:t>
      </w:r>
      <w:r w:rsidRPr="00564A46">
        <w:rPr>
          <w:color w:val="000000" w:themeColor="text1"/>
        </w:rPr>
        <w:tab/>
        <w:t>Mudie DM, Shi Y, Ping H, Gao P, Amidon GL, Amidon GE. Mechanistic analysis of solute transport in an in vitro physiological two-phase dissolution apparatus. Biopharmaceutics &amp; Drug Disposition. 2012;33(7):378-402.</w:t>
      </w:r>
    </w:p>
    <w:p w14:paraId="3FDEE351" w14:textId="77777777" w:rsidR="00613FDE" w:rsidRPr="00564A46" w:rsidRDefault="00613FDE" w:rsidP="00613FDE">
      <w:pPr>
        <w:pStyle w:val="EndNoteBibliography"/>
        <w:rPr>
          <w:color w:val="000000" w:themeColor="text1"/>
        </w:rPr>
      </w:pPr>
      <w:r w:rsidRPr="00564A46">
        <w:rPr>
          <w:color w:val="000000" w:themeColor="text1"/>
        </w:rPr>
        <w:t>23.</w:t>
      </w:r>
      <w:r w:rsidRPr="00564A46">
        <w:rPr>
          <w:color w:val="000000" w:themeColor="text1"/>
        </w:rPr>
        <w:tab/>
        <w:t>Mithani SD, Bakatselou V, TenHoor CN, Dressman JB. Estimation of the increase in solubility of drugs as a function of bile salt concentration. Pharm Res. 1996;13(1):163-7.</w:t>
      </w:r>
    </w:p>
    <w:p w14:paraId="78371A8B" w14:textId="77777777" w:rsidR="00613FDE" w:rsidRPr="00564A46" w:rsidRDefault="00613FDE" w:rsidP="00613FDE">
      <w:pPr>
        <w:pStyle w:val="EndNoteBibliography"/>
        <w:rPr>
          <w:color w:val="000000" w:themeColor="text1"/>
        </w:rPr>
      </w:pPr>
      <w:r w:rsidRPr="00564A46">
        <w:rPr>
          <w:color w:val="000000" w:themeColor="text1"/>
        </w:rPr>
        <w:t>24.</w:t>
      </w:r>
      <w:r w:rsidRPr="00564A46">
        <w:rPr>
          <w:color w:val="000000" w:themeColor="text1"/>
        </w:rPr>
        <w:tab/>
        <w:t>Soderlind E, Karlsson E, Carlsson A, Kong R, Lenz A, Lindborg S, et al. Simulating Fasted Human Intestinal Fluids: Understanding the Roles of Lecithin and Bile Acids. Molecular Pharmaceutics. 2010;7(5):1498-507.</w:t>
      </w:r>
    </w:p>
    <w:p w14:paraId="17832A99" w14:textId="77777777" w:rsidR="00613FDE" w:rsidRPr="00564A46" w:rsidRDefault="00613FDE" w:rsidP="00613FDE">
      <w:pPr>
        <w:pStyle w:val="EndNoteBibliography"/>
        <w:rPr>
          <w:color w:val="000000" w:themeColor="text1"/>
        </w:rPr>
      </w:pPr>
      <w:r w:rsidRPr="00564A46">
        <w:rPr>
          <w:color w:val="000000" w:themeColor="text1"/>
        </w:rPr>
        <w:t>25.</w:t>
      </w:r>
      <w:r w:rsidRPr="00564A46">
        <w:rPr>
          <w:color w:val="000000" w:themeColor="text1"/>
        </w:rPr>
        <w:tab/>
        <w:t>Machatha SG, Yalkowsky SH. Comparison of the octanol/water partition coefficients calculated by ClogP, ACDlogP and KowWin to experimentally determined values. Int J Pharm. 2005;294(1-2):185-92.</w:t>
      </w:r>
    </w:p>
    <w:p w14:paraId="3C5B91A9" w14:textId="738A30E8" w:rsidR="002404DD" w:rsidRPr="00564A46" w:rsidRDefault="006028C2" w:rsidP="009463BC">
      <w:pPr>
        <w:spacing w:line="240" w:lineRule="auto"/>
        <w:rPr>
          <w:color w:val="000000" w:themeColor="text1"/>
        </w:rPr>
      </w:pPr>
      <w:r w:rsidRPr="00564A46">
        <w:rPr>
          <w:color w:val="000000" w:themeColor="text1"/>
        </w:rPr>
        <w:fldChar w:fldCharType="end"/>
      </w:r>
    </w:p>
    <w:p w14:paraId="2F799507" w14:textId="6B4DF7C4" w:rsidR="00521797" w:rsidRPr="00564A46" w:rsidRDefault="00521797" w:rsidP="00963D35">
      <w:pPr>
        <w:spacing w:line="240" w:lineRule="auto"/>
        <w:rPr>
          <w:color w:val="000000" w:themeColor="text1"/>
        </w:rPr>
      </w:pPr>
    </w:p>
    <w:sectPr w:rsidR="00521797" w:rsidRPr="00564A46" w:rsidSect="0066783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EF4193"/>
    <w:multiLevelType w:val="hybridMultilevel"/>
    <w:tmpl w:val="0504A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65A3729"/>
    <w:multiLevelType w:val="hybridMultilevel"/>
    <w:tmpl w:val="D046C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030583"/>
    <w:multiLevelType w:val="hybridMultilevel"/>
    <w:tmpl w:val="1B2AA138"/>
    <w:lvl w:ilvl="0" w:tplc="FE0EFFE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efdz5r9vzeslea22r59s5l2tzpwpp90vpa&quot;&gt;My EndNote Library BDM new references after revision&lt;record-ids&gt;&lt;item&gt;20&lt;/item&gt;&lt;item&gt;21&lt;/item&gt;&lt;/record-ids&gt;&lt;/item&gt;&lt;/Libraries&gt;"/>
  </w:docVars>
  <w:rsids>
    <w:rsidRoot w:val="000D29FA"/>
    <w:rsid w:val="000037AA"/>
    <w:rsid w:val="00007B47"/>
    <w:rsid w:val="00017001"/>
    <w:rsid w:val="00045EED"/>
    <w:rsid w:val="00055458"/>
    <w:rsid w:val="00065893"/>
    <w:rsid w:val="00071EBD"/>
    <w:rsid w:val="00076EE6"/>
    <w:rsid w:val="00081F9F"/>
    <w:rsid w:val="000835BB"/>
    <w:rsid w:val="00091D1C"/>
    <w:rsid w:val="00093402"/>
    <w:rsid w:val="00093F83"/>
    <w:rsid w:val="0009565D"/>
    <w:rsid w:val="000A5690"/>
    <w:rsid w:val="000A6FA4"/>
    <w:rsid w:val="000A738B"/>
    <w:rsid w:val="000B5899"/>
    <w:rsid w:val="000C162B"/>
    <w:rsid w:val="000D0126"/>
    <w:rsid w:val="000D29FA"/>
    <w:rsid w:val="000F0BAC"/>
    <w:rsid w:val="000F1CE3"/>
    <w:rsid w:val="00103258"/>
    <w:rsid w:val="001045C6"/>
    <w:rsid w:val="001051C5"/>
    <w:rsid w:val="00110641"/>
    <w:rsid w:val="00116778"/>
    <w:rsid w:val="00136D9D"/>
    <w:rsid w:val="00143A74"/>
    <w:rsid w:val="00160BDF"/>
    <w:rsid w:val="00170A91"/>
    <w:rsid w:val="0017394D"/>
    <w:rsid w:val="00177326"/>
    <w:rsid w:val="00177F8C"/>
    <w:rsid w:val="00196F64"/>
    <w:rsid w:val="001A2E76"/>
    <w:rsid w:val="001B24A8"/>
    <w:rsid w:val="001B3634"/>
    <w:rsid w:val="001C16A5"/>
    <w:rsid w:val="001D16EC"/>
    <w:rsid w:val="00220951"/>
    <w:rsid w:val="0022462C"/>
    <w:rsid w:val="00227643"/>
    <w:rsid w:val="002404DD"/>
    <w:rsid w:val="00240B75"/>
    <w:rsid w:val="00250A24"/>
    <w:rsid w:val="00252319"/>
    <w:rsid w:val="002820E8"/>
    <w:rsid w:val="002A0AB0"/>
    <w:rsid w:val="002A78B5"/>
    <w:rsid w:val="002B1C2A"/>
    <w:rsid w:val="002B3EEC"/>
    <w:rsid w:val="002C580F"/>
    <w:rsid w:val="002C68A1"/>
    <w:rsid w:val="002E6072"/>
    <w:rsid w:val="002F45FD"/>
    <w:rsid w:val="00300F65"/>
    <w:rsid w:val="00306BEF"/>
    <w:rsid w:val="003205C9"/>
    <w:rsid w:val="00324244"/>
    <w:rsid w:val="00326D27"/>
    <w:rsid w:val="00333F57"/>
    <w:rsid w:val="00335DBD"/>
    <w:rsid w:val="00343339"/>
    <w:rsid w:val="00356EA8"/>
    <w:rsid w:val="003748A4"/>
    <w:rsid w:val="00374905"/>
    <w:rsid w:val="00382123"/>
    <w:rsid w:val="0039234F"/>
    <w:rsid w:val="00394FB0"/>
    <w:rsid w:val="003965E5"/>
    <w:rsid w:val="00397863"/>
    <w:rsid w:val="003B34D2"/>
    <w:rsid w:val="003B665D"/>
    <w:rsid w:val="003C0563"/>
    <w:rsid w:val="003D13FC"/>
    <w:rsid w:val="003D61BC"/>
    <w:rsid w:val="003E096B"/>
    <w:rsid w:val="003E13BC"/>
    <w:rsid w:val="003F6FEE"/>
    <w:rsid w:val="004059D2"/>
    <w:rsid w:val="0042460D"/>
    <w:rsid w:val="00437DF9"/>
    <w:rsid w:val="00444ACE"/>
    <w:rsid w:val="0045702B"/>
    <w:rsid w:val="00467371"/>
    <w:rsid w:val="004713FD"/>
    <w:rsid w:val="00474728"/>
    <w:rsid w:val="00475A8E"/>
    <w:rsid w:val="0048504A"/>
    <w:rsid w:val="00491132"/>
    <w:rsid w:val="004926D1"/>
    <w:rsid w:val="00493822"/>
    <w:rsid w:val="00494712"/>
    <w:rsid w:val="00494B2F"/>
    <w:rsid w:val="004B342A"/>
    <w:rsid w:val="004B54F8"/>
    <w:rsid w:val="004C2D82"/>
    <w:rsid w:val="004D2346"/>
    <w:rsid w:val="004D73F9"/>
    <w:rsid w:val="004E2F05"/>
    <w:rsid w:val="004F3829"/>
    <w:rsid w:val="004F5467"/>
    <w:rsid w:val="00501C9C"/>
    <w:rsid w:val="005059F2"/>
    <w:rsid w:val="00505BF6"/>
    <w:rsid w:val="00512A25"/>
    <w:rsid w:val="00521797"/>
    <w:rsid w:val="00526A2F"/>
    <w:rsid w:val="005326C1"/>
    <w:rsid w:val="00534CEA"/>
    <w:rsid w:val="00535AE0"/>
    <w:rsid w:val="00554389"/>
    <w:rsid w:val="0056324A"/>
    <w:rsid w:val="00563918"/>
    <w:rsid w:val="00564A46"/>
    <w:rsid w:val="00570810"/>
    <w:rsid w:val="00585D65"/>
    <w:rsid w:val="0058664D"/>
    <w:rsid w:val="00594E51"/>
    <w:rsid w:val="005B064B"/>
    <w:rsid w:val="005B411A"/>
    <w:rsid w:val="005C6402"/>
    <w:rsid w:val="005D5742"/>
    <w:rsid w:val="005D5FF5"/>
    <w:rsid w:val="005D704A"/>
    <w:rsid w:val="005F0621"/>
    <w:rsid w:val="005F07BD"/>
    <w:rsid w:val="006028C2"/>
    <w:rsid w:val="00605900"/>
    <w:rsid w:val="00613FDE"/>
    <w:rsid w:val="006311BE"/>
    <w:rsid w:val="006312C9"/>
    <w:rsid w:val="0063738A"/>
    <w:rsid w:val="00637621"/>
    <w:rsid w:val="0064751F"/>
    <w:rsid w:val="00665575"/>
    <w:rsid w:val="00667835"/>
    <w:rsid w:val="00667970"/>
    <w:rsid w:val="00692723"/>
    <w:rsid w:val="006949EE"/>
    <w:rsid w:val="0069723C"/>
    <w:rsid w:val="006A1279"/>
    <w:rsid w:val="006A2C78"/>
    <w:rsid w:val="006B6267"/>
    <w:rsid w:val="006B7434"/>
    <w:rsid w:val="006C0688"/>
    <w:rsid w:val="006C4452"/>
    <w:rsid w:val="006C4E5D"/>
    <w:rsid w:val="006D272B"/>
    <w:rsid w:val="006E3E11"/>
    <w:rsid w:val="006E695A"/>
    <w:rsid w:val="006E7D1E"/>
    <w:rsid w:val="006F264F"/>
    <w:rsid w:val="0070602D"/>
    <w:rsid w:val="00710468"/>
    <w:rsid w:val="00714597"/>
    <w:rsid w:val="00741B1D"/>
    <w:rsid w:val="007425A2"/>
    <w:rsid w:val="00746FCA"/>
    <w:rsid w:val="00770972"/>
    <w:rsid w:val="007817D3"/>
    <w:rsid w:val="00785137"/>
    <w:rsid w:val="007953DD"/>
    <w:rsid w:val="007A0FF1"/>
    <w:rsid w:val="007C4B08"/>
    <w:rsid w:val="007C5B08"/>
    <w:rsid w:val="007D1C7E"/>
    <w:rsid w:val="007E4081"/>
    <w:rsid w:val="007F7819"/>
    <w:rsid w:val="00803937"/>
    <w:rsid w:val="0080415B"/>
    <w:rsid w:val="00827687"/>
    <w:rsid w:val="008405FA"/>
    <w:rsid w:val="0084683D"/>
    <w:rsid w:val="00870E51"/>
    <w:rsid w:val="008850B3"/>
    <w:rsid w:val="0088780E"/>
    <w:rsid w:val="008A4322"/>
    <w:rsid w:val="008A4CF2"/>
    <w:rsid w:val="008B0C98"/>
    <w:rsid w:val="008B35B0"/>
    <w:rsid w:val="008C6960"/>
    <w:rsid w:val="008D65A0"/>
    <w:rsid w:val="008E3F8C"/>
    <w:rsid w:val="008F4AE6"/>
    <w:rsid w:val="008F7643"/>
    <w:rsid w:val="00902490"/>
    <w:rsid w:val="00912511"/>
    <w:rsid w:val="00925DA2"/>
    <w:rsid w:val="0093376D"/>
    <w:rsid w:val="00934371"/>
    <w:rsid w:val="00945B52"/>
    <w:rsid w:val="00945F7C"/>
    <w:rsid w:val="009463BC"/>
    <w:rsid w:val="00963D35"/>
    <w:rsid w:val="0096545E"/>
    <w:rsid w:val="00970B22"/>
    <w:rsid w:val="00973878"/>
    <w:rsid w:val="0097442C"/>
    <w:rsid w:val="00990ED1"/>
    <w:rsid w:val="00993655"/>
    <w:rsid w:val="009970DF"/>
    <w:rsid w:val="009B4F64"/>
    <w:rsid w:val="009B55D5"/>
    <w:rsid w:val="009B7C93"/>
    <w:rsid w:val="009C6E43"/>
    <w:rsid w:val="009C76E4"/>
    <w:rsid w:val="009D0C6F"/>
    <w:rsid w:val="009E17A8"/>
    <w:rsid w:val="009F4809"/>
    <w:rsid w:val="00A00303"/>
    <w:rsid w:val="00A04D90"/>
    <w:rsid w:val="00A05784"/>
    <w:rsid w:val="00A0603A"/>
    <w:rsid w:val="00A112DC"/>
    <w:rsid w:val="00A223C6"/>
    <w:rsid w:val="00A30335"/>
    <w:rsid w:val="00A46F33"/>
    <w:rsid w:val="00A62E14"/>
    <w:rsid w:val="00A701CA"/>
    <w:rsid w:val="00A714FF"/>
    <w:rsid w:val="00A72333"/>
    <w:rsid w:val="00AA0CF3"/>
    <w:rsid w:val="00AA21D0"/>
    <w:rsid w:val="00AA3748"/>
    <w:rsid w:val="00AB0FD2"/>
    <w:rsid w:val="00AB1D4E"/>
    <w:rsid w:val="00AB45AA"/>
    <w:rsid w:val="00AC464A"/>
    <w:rsid w:val="00AD44F7"/>
    <w:rsid w:val="00AE7C46"/>
    <w:rsid w:val="00AF0398"/>
    <w:rsid w:val="00B0154D"/>
    <w:rsid w:val="00B05626"/>
    <w:rsid w:val="00B077B6"/>
    <w:rsid w:val="00B133DC"/>
    <w:rsid w:val="00B2756D"/>
    <w:rsid w:val="00B27E1A"/>
    <w:rsid w:val="00B36164"/>
    <w:rsid w:val="00B501AF"/>
    <w:rsid w:val="00B56C19"/>
    <w:rsid w:val="00B66DCE"/>
    <w:rsid w:val="00B87A85"/>
    <w:rsid w:val="00B97406"/>
    <w:rsid w:val="00BB2DE8"/>
    <w:rsid w:val="00BB7B73"/>
    <w:rsid w:val="00BC796B"/>
    <w:rsid w:val="00BD0EA9"/>
    <w:rsid w:val="00BF1AAC"/>
    <w:rsid w:val="00BF2B68"/>
    <w:rsid w:val="00BF70C9"/>
    <w:rsid w:val="00C05FCD"/>
    <w:rsid w:val="00C112B7"/>
    <w:rsid w:val="00C2605D"/>
    <w:rsid w:val="00C32596"/>
    <w:rsid w:val="00C35801"/>
    <w:rsid w:val="00C765B0"/>
    <w:rsid w:val="00CB2A02"/>
    <w:rsid w:val="00CC4EDE"/>
    <w:rsid w:val="00CD2456"/>
    <w:rsid w:val="00CE5511"/>
    <w:rsid w:val="00D016A8"/>
    <w:rsid w:val="00D225B1"/>
    <w:rsid w:val="00D258D1"/>
    <w:rsid w:val="00D67AD5"/>
    <w:rsid w:val="00D90D2A"/>
    <w:rsid w:val="00D92445"/>
    <w:rsid w:val="00D93002"/>
    <w:rsid w:val="00D9380B"/>
    <w:rsid w:val="00D9545E"/>
    <w:rsid w:val="00DA6875"/>
    <w:rsid w:val="00DB6D28"/>
    <w:rsid w:val="00DB7284"/>
    <w:rsid w:val="00DC1202"/>
    <w:rsid w:val="00DD5540"/>
    <w:rsid w:val="00DE60A4"/>
    <w:rsid w:val="00DF6FA9"/>
    <w:rsid w:val="00E03309"/>
    <w:rsid w:val="00E06498"/>
    <w:rsid w:val="00E23281"/>
    <w:rsid w:val="00E23E33"/>
    <w:rsid w:val="00E24EDF"/>
    <w:rsid w:val="00E2641B"/>
    <w:rsid w:val="00E657BB"/>
    <w:rsid w:val="00E6684B"/>
    <w:rsid w:val="00E71E32"/>
    <w:rsid w:val="00E8007D"/>
    <w:rsid w:val="00E80C7A"/>
    <w:rsid w:val="00E82E30"/>
    <w:rsid w:val="00E92A40"/>
    <w:rsid w:val="00E94B01"/>
    <w:rsid w:val="00EA015D"/>
    <w:rsid w:val="00EA60C0"/>
    <w:rsid w:val="00EA7862"/>
    <w:rsid w:val="00EB28CE"/>
    <w:rsid w:val="00EC7448"/>
    <w:rsid w:val="00ED0214"/>
    <w:rsid w:val="00ED49AD"/>
    <w:rsid w:val="00EE1F82"/>
    <w:rsid w:val="00EE2821"/>
    <w:rsid w:val="00EE62C5"/>
    <w:rsid w:val="00EF068F"/>
    <w:rsid w:val="00F046B4"/>
    <w:rsid w:val="00F42B13"/>
    <w:rsid w:val="00F45907"/>
    <w:rsid w:val="00F4665B"/>
    <w:rsid w:val="00F51865"/>
    <w:rsid w:val="00F55D95"/>
    <w:rsid w:val="00F56802"/>
    <w:rsid w:val="00F66D72"/>
    <w:rsid w:val="00F7181B"/>
    <w:rsid w:val="00F83BF7"/>
    <w:rsid w:val="00F859E2"/>
    <w:rsid w:val="00FA1C97"/>
    <w:rsid w:val="00FB0132"/>
    <w:rsid w:val="00FB178A"/>
    <w:rsid w:val="00FC06D1"/>
    <w:rsid w:val="00FC602E"/>
    <w:rsid w:val="00FF3CD3"/>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D1197"/>
  <w15:chartTrackingRefBased/>
  <w15:docId w15:val="{3BDC9FD9-C0B7-46E3-B2FF-947B1432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BAC"/>
    <w:pPr>
      <w:spacing w:after="0" w:line="480" w:lineRule="auto"/>
    </w:pPr>
    <w:rPr>
      <w:rFonts w:ascii="Times New Roman" w:hAnsi="Times New Roman" w:cs="Times New Roman"/>
    </w:rPr>
  </w:style>
  <w:style w:type="paragraph" w:styleId="Heading1">
    <w:name w:val="heading 1"/>
    <w:basedOn w:val="Normal"/>
    <w:next w:val="Normal"/>
    <w:link w:val="Heading1Char"/>
    <w:uiPriority w:val="9"/>
    <w:qFormat/>
    <w:rsid w:val="00B66DC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16A5"/>
    <w:pPr>
      <w:keepNext/>
      <w:keepLines/>
      <w:spacing w:before="240"/>
      <w:outlineLvl w:val="1"/>
    </w:pPr>
    <w:rPr>
      <w:rFonts w:ascii="Arial" w:eastAsiaTheme="majorEastAsia" w:hAnsi="Arial" w:cs="Arial"/>
      <w:b/>
      <w:bCs/>
      <w:sz w:val="26"/>
      <w:szCs w:val="26"/>
    </w:rPr>
  </w:style>
  <w:style w:type="paragraph" w:styleId="Heading3">
    <w:name w:val="heading 3"/>
    <w:basedOn w:val="Normal"/>
    <w:next w:val="Normal"/>
    <w:link w:val="Heading3Char"/>
    <w:uiPriority w:val="9"/>
    <w:unhideWhenUsed/>
    <w:qFormat/>
    <w:rsid w:val="00FA1C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0B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BAC"/>
    <w:rPr>
      <w:rFonts w:ascii="Segoe UI" w:hAnsi="Segoe UI" w:cs="Segoe UI"/>
      <w:sz w:val="18"/>
      <w:szCs w:val="18"/>
    </w:rPr>
  </w:style>
  <w:style w:type="paragraph" w:styleId="ListParagraph">
    <w:name w:val="List Paragraph"/>
    <w:basedOn w:val="Normal"/>
    <w:uiPriority w:val="34"/>
    <w:qFormat/>
    <w:rsid w:val="004713FD"/>
    <w:pPr>
      <w:ind w:left="720"/>
      <w:contextualSpacing/>
    </w:pPr>
  </w:style>
  <w:style w:type="table" w:styleId="TableGrid">
    <w:name w:val="Table Grid"/>
    <w:basedOn w:val="TableNormal"/>
    <w:uiPriority w:val="39"/>
    <w:rsid w:val="004713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05C9"/>
    <w:pPr>
      <w:spacing w:before="100" w:beforeAutospacing="1" w:after="100" w:afterAutospacing="1" w:line="240" w:lineRule="auto"/>
    </w:pPr>
    <w:rPr>
      <w:rFonts w:eastAsiaTheme="minorEastAsia"/>
      <w:sz w:val="24"/>
      <w:szCs w:val="24"/>
    </w:rPr>
  </w:style>
  <w:style w:type="character" w:styleId="CommentReference">
    <w:name w:val="annotation reference"/>
    <w:basedOn w:val="DefaultParagraphFont"/>
    <w:uiPriority w:val="99"/>
    <w:semiHidden/>
    <w:unhideWhenUsed/>
    <w:rsid w:val="00521797"/>
    <w:rPr>
      <w:sz w:val="16"/>
      <w:szCs w:val="16"/>
    </w:rPr>
  </w:style>
  <w:style w:type="paragraph" w:styleId="CommentText">
    <w:name w:val="annotation text"/>
    <w:basedOn w:val="Normal"/>
    <w:link w:val="CommentTextChar"/>
    <w:uiPriority w:val="99"/>
    <w:unhideWhenUsed/>
    <w:rsid w:val="00521797"/>
    <w:pPr>
      <w:spacing w:line="240" w:lineRule="auto"/>
    </w:pPr>
    <w:rPr>
      <w:sz w:val="20"/>
      <w:szCs w:val="20"/>
    </w:rPr>
  </w:style>
  <w:style w:type="character" w:customStyle="1" w:styleId="CommentTextChar">
    <w:name w:val="Comment Text Char"/>
    <w:basedOn w:val="DefaultParagraphFont"/>
    <w:link w:val="CommentText"/>
    <w:uiPriority w:val="99"/>
    <w:rsid w:val="00521797"/>
    <w:rPr>
      <w:rFonts w:ascii="Times New Roman" w:hAnsi="Times New Roman" w:cs="Times New Roman"/>
      <w:sz w:val="20"/>
      <w:szCs w:val="20"/>
    </w:rPr>
  </w:style>
  <w:style w:type="character" w:customStyle="1" w:styleId="Heading2Char">
    <w:name w:val="Heading 2 Char"/>
    <w:basedOn w:val="DefaultParagraphFont"/>
    <w:link w:val="Heading2"/>
    <w:uiPriority w:val="9"/>
    <w:rsid w:val="001C16A5"/>
    <w:rPr>
      <w:rFonts w:ascii="Arial" w:eastAsiaTheme="majorEastAsia" w:hAnsi="Arial" w:cs="Arial"/>
      <w:b/>
      <w:bCs/>
      <w:sz w:val="26"/>
      <w:szCs w:val="26"/>
    </w:rPr>
  </w:style>
  <w:style w:type="paragraph" w:customStyle="1" w:styleId="EndNoteBibliographyTitle">
    <w:name w:val="EndNote Bibliography Title"/>
    <w:basedOn w:val="Normal"/>
    <w:link w:val="EndNoteBibliographyTitleChar"/>
    <w:rsid w:val="006028C2"/>
    <w:pPr>
      <w:jc w:val="center"/>
    </w:pPr>
    <w:rPr>
      <w:noProof/>
    </w:rPr>
  </w:style>
  <w:style w:type="character" w:customStyle="1" w:styleId="EndNoteBibliographyTitleChar">
    <w:name w:val="EndNote Bibliography Title Char"/>
    <w:basedOn w:val="DefaultParagraphFont"/>
    <w:link w:val="EndNoteBibliographyTitle"/>
    <w:rsid w:val="006028C2"/>
    <w:rPr>
      <w:rFonts w:ascii="Times New Roman" w:hAnsi="Times New Roman" w:cs="Times New Roman"/>
      <w:noProof/>
    </w:rPr>
  </w:style>
  <w:style w:type="paragraph" w:customStyle="1" w:styleId="EndNoteBibliography">
    <w:name w:val="EndNote Bibliography"/>
    <w:basedOn w:val="Normal"/>
    <w:link w:val="EndNoteBibliographyChar"/>
    <w:rsid w:val="006028C2"/>
    <w:pPr>
      <w:spacing w:line="240" w:lineRule="auto"/>
    </w:pPr>
    <w:rPr>
      <w:noProof/>
    </w:rPr>
  </w:style>
  <w:style w:type="character" w:customStyle="1" w:styleId="EndNoteBibliographyChar">
    <w:name w:val="EndNote Bibliography Char"/>
    <w:basedOn w:val="DefaultParagraphFont"/>
    <w:link w:val="EndNoteBibliography"/>
    <w:rsid w:val="006028C2"/>
    <w:rPr>
      <w:rFonts w:ascii="Times New Roman" w:hAnsi="Times New Roman" w:cs="Times New Roman"/>
      <w:noProof/>
    </w:rPr>
  </w:style>
  <w:style w:type="paragraph" w:styleId="CommentSubject">
    <w:name w:val="annotation subject"/>
    <w:basedOn w:val="CommentText"/>
    <w:next w:val="CommentText"/>
    <w:link w:val="CommentSubjectChar"/>
    <w:uiPriority w:val="99"/>
    <w:semiHidden/>
    <w:unhideWhenUsed/>
    <w:rsid w:val="00534CEA"/>
    <w:rPr>
      <w:b/>
      <w:bCs/>
    </w:rPr>
  </w:style>
  <w:style w:type="character" w:customStyle="1" w:styleId="CommentSubjectChar">
    <w:name w:val="Comment Subject Char"/>
    <w:basedOn w:val="CommentTextChar"/>
    <w:link w:val="CommentSubject"/>
    <w:uiPriority w:val="99"/>
    <w:semiHidden/>
    <w:rsid w:val="00534CEA"/>
    <w:rPr>
      <w:rFonts w:ascii="Times New Roman" w:hAnsi="Times New Roman" w:cs="Times New Roman"/>
      <w:b/>
      <w:bCs/>
      <w:sz w:val="20"/>
      <w:szCs w:val="20"/>
    </w:rPr>
  </w:style>
  <w:style w:type="paragraph" w:styleId="Revision">
    <w:name w:val="Revision"/>
    <w:hidden/>
    <w:uiPriority w:val="99"/>
    <w:semiHidden/>
    <w:rsid w:val="000A738B"/>
    <w:pPr>
      <w:spacing w:after="0" w:line="240" w:lineRule="auto"/>
    </w:pPr>
    <w:rPr>
      <w:rFonts w:ascii="Times New Roman" w:hAnsi="Times New Roman" w:cs="Times New Roman"/>
    </w:rPr>
  </w:style>
  <w:style w:type="character" w:customStyle="1" w:styleId="Heading1Char">
    <w:name w:val="Heading 1 Char"/>
    <w:basedOn w:val="DefaultParagraphFont"/>
    <w:link w:val="Heading1"/>
    <w:uiPriority w:val="9"/>
    <w:rsid w:val="00B66DCE"/>
    <w:rPr>
      <w:rFonts w:asciiTheme="majorHAnsi" w:eastAsiaTheme="majorEastAsia" w:hAnsiTheme="majorHAnsi" w:cstheme="majorBidi"/>
      <w:color w:val="2E74B5" w:themeColor="accent1" w:themeShade="BF"/>
      <w:sz w:val="32"/>
      <w:szCs w:val="32"/>
    </w:rPr>
  </w:style>
  <w:style w:type="character" w:customStyle="1" w:styleId="title-text">
    <w:name w:val="title-text"/>
    <w:basedOn w:val="DefaultParagraphFont"/>
    <w:rsid w:val="00B66DCE"/>
  </w:style>
  <w:style w:type="character" w:customStyle="1" w:styleId="apple-converted-space">
    <w:name w:val="apple-converted-space"/>
    <w:basedOn w:val="DefaultParagraphFont"/>
    <w:rsid w:val="00B66DCE"/>
  </w:style>
  <w:style w:type="character" w:styleId="LineNumber">
    <w:name w:val="line number"/>
    <w:basedOn w:val="DefaultParagraphFont"/>
    <w:uiPriority w:val="99"/>
    <w:semiHidden/>
    <w:unhideWhenUsed/>
    <w:rsid w:val="00D67AD5"/>
  </w:style>
  <w:style w:type="paragraph" w:styleId="PlainText">
    <w:name w:val="Plain Text"/>
    <w:basedOn w:val="Normal"/>
    <w:link w:val="PlainTextChar"/>
    <w:uiPriority w:val="99"/>
    <w:unhideWhenUsed/>
    <w:rsid w:val="0022462C"/>
    <w:pPr>
      <w:spacing w:line="240" w:lineRule="auto"/>
    </w:pPr>
    <w:rPr>
      <w:rFonts w:ascii="Calibri" w:hAnsi="Calibri" w:cstheme="minorBidi"/>
      <w:szCs w:val="21"/>
    </w:rPr>
  </w:style>
  <w:style w:type="character" w:customStyle="1" w:styleId="PlainTextChar">
    <w:name w:val="Plain Text Char"/>
    <w:basedOn w:val="DefaultParagraphFont"/>
    <w:link w:val="PlainText"/>
    <w:uiPriority w:val="99"/>
    <w:rsid w:val="0022462C"/>
    <w:rPr>
      <w:rFonts w:ascii="Calibri" w:hAnsi="Calibri"/>
      <w:szCs w:val="21"/>
    </w:rPr>
  </w:style>
  <w:style w:type="character" w:customStyle="1" w:styleId="Heading3Char">
    <w:name w:val="Heading 3 Char"/>
    <w:basedOn w:val="DefaultParagraphFont"/>
    <w:link w:val="Heading3"/>
    <w:uiPriority w:val="9"/>
    <w:rsid w:val="00FA1C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5978">
      <w:bodyDiv w:val="1"/>
      <w:marLeft w:val="0"/>
      <w:marRight w:val="0"/>
      <w:marTop w:val="0"/>
      <w:marBottom w:val="0"/>
      <w:divBdr>
        <w:top w:val="none" w:sz="0" w:space="0" w:color="auto"/>
        <w:left w:val="none" w:sz="0" w:space="0" w:color="auto"/>
        <w:bottom w:val="none" w:sz="0" w:space="0" w:color="auto"/>
        <w:right w:val="none" w:sz="0" w:space="0" w:color="auto"/>
      </w:divBdr>
    </w:div>
    <w:div w:id="133132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1.tiff"/><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image" Target="media/image9.png"/><Relationship Id="rId10" Type="http://schemas.openxmlformats.org/officeDocument/2006/relationships/chart" Target="charts/chart5.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8.xml"/><Relationship Id="rId22"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bricna02.corp.capsugel.com\USERS\BRI\USERS\mudied01\Manuscripts\One%20medium%20does%20not%20fit%20all\@September%202019%20files%20for%20submission\November%202019%20response%20to%20reviewers\Relative%20solubility%20calculations%20expand%20pH.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bricna02.corp.capsugel.com\USERS\BRI\USERS\mudied01\Manuscripts\One%20medium%20does%20not%20fit%20all\@September%202019%20files%20for%20submission\November%202019%20response%20to%20reviewers\Relative%20solubility%20calculations%20expand%20pH.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bricna02.corp.capsugel.com\USERS\BRI\USERS\mudied01\Manuscripts\One%20medium%20does%20not%20fit%20all\@September%202019%20files%20for%20submission\November%202019%20response%20to%20reviewers\Copy%20of%20Relative%20solubility%20calculations%20expand%20pH.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bricna02.corp.capsugel.com\USERS\BRI\USERS\mudied01\Manuscripts\One%20medium%20does%20not%20fit%20all\@September%202019%20files%20for%20submission\November%202019%20response%20to%20reviewers\Copy%20of%20New%2050%20vs%201%20mM%20buffer%20concentration%20calcs%20for%20low%20and%20high%20pH.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bricna02.corp.capsugel.com\USERS\BRI\USERS\mudied01\Manuscripts\One%20medium%20does%20not%20fit%20all\@September%202019%20files%20for%20submission\November%202019%20response%20to%20reviewers\Copy%20of%20New%2050%20vs%201%20mM%20buffer%20concentration%20calcs%20for%20low%20and%20high%20pH.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bricna02.corp.capsugel.com\USERS\BRI\USERS\mudied01\Manuscripts\One%20medium%20does%20not%20fit%20all\@September%202019%20files%20for%20submission\November%202019%20response%20to%20reviewers\Copy%20of%20New%2050%20vs%201%20mM%20buffer%20concentration%20calcs%20for%20low%20and%20high%20pH.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file:///\\bricna02.corp.capsugel.com\USERS\BRI\USERS\mudied01\Manuscripts\One%20medium%20does%20not%20fit%20all\@September%202019%20files%20for%20submission\November%202019%20response%20to%20reviewers\Copy%20of%20New%2050%20vs%201%20mM%20buffer%20concentration%20calcs%20for%20low%20and%20high%20pH.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1" Type="http://schemas.openxmlformats.org/officeDocument/2006/relationships/oleObject" Target="file:///\\bricna02.corp.capsugel.com\USERS\BRI\USERS\mudied01\Manuscripts\One%20medium%20does%20not%20fit%20all\@September%202019%20files%20for%20submission\November%202019%20response%20to%20reviewers\Copy%20of%20Equivalent_Buffer_Calculations_Dec_201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bricna02.corp.capsugel.com\USERS\BRI\USERS\mudied01\IAPC%20Croatia%20-%202019\Copy%20of%20Equivalent_Buffer_Calculations_June18_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Weak acid</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723381295187246"/>
          <c:y val="4.4038964557647949E-2"/>
          <c:w val="0.75891390769136313"/>
          <c:h val="0.76866911046232078"/>
        </c:manualLayout>
      </c:layout>
      <c:scatterChart>
        <c:scatterStyle val="smoothMarker"/>
        <c:varyColors val="0"/>
        <c:ser>
          <c:idx val="0"/>
          <c:order val="0"/>
          <c:tx>
            <c:strRef>
              <c:f>'For pub'!$A$3</c:f>
              <c:strCache>
                <c:ptCount val="1"/>
                <c:pt idx="0">
                  <c:v>4</c:v>
                </c:pt>
              </c:strCache>
            </c:strRef>
          </c:tx>
          <c:spPr>
            <a:ln w="25400" cap="rnd">
              <a:solidFill>
                <a:schemeClr val="accent1"/>
              </a:solidFill>
              <a:prstDash val="dashDot"/>
              <a:round/>
            </a:ln>
            <a:effectLst/>
          </c:spPr>
          <c:marker>
            <c:symbol val="none"/>
          </c:marker>
          <c:xVal>
            <c:numRef>
              <c:f>'For pub'!$B$3:$B$12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'For pub'!$C$3:$C$12</c:f>
              <c:numCache>
                <c:formatCode>0</c:formatCode>
                <c:ptCount val="10"/>
                <c:pt idx="0">
                  <c:v>1.0009999999999999</c:v>
                </c:pt>
                <c:pt idx="1">
                  <c:v>1.01</c:v>
                </c:pt>
                <c:pt idx="2">
                  <c:v>1.1000000000000001</c:v>
                </c:pt>
                <c:pt idx="3">
                  <c:v>2</c:v>
                </c:pt>
                <c:pt idx="4">
                  <c:v>11</c:v>
                </c:pt>
                <c:pt idx="5">
                  <c:v>32.622776601683803</c:v>
                </c:pt>
                <c:pt idx="6" formatCode="General">
                  <c:v>101</c:v>
                </c:pt>
                <c:pt idx="7">
                  <c:v>317.22776601683825</c:v>
                </c:pt>
                <c:pt idx="8">
                  <c:v>1001</c:v>
                </c:pt>
                <c:pt idx="9">
                  <c:v>10001</c:v>
                </c:pt>
              </c:numCache>
            </c:numRef>
          </c:yVal>
          <c:smooth val="1"/>
          <c:extLst>
            <c:ext xmlns:c16="http://schemas.microsoft.com/office/drawing/2014/chart" uri="{C3380CC4-5D6E-409C-BE32-E72D297353CC}">
              <c16:uniqueId val="{00000000-27D2-4076-9C3A-82895F3B846E}"/>
            </c:ext>
          </c:extLst>
        </c:ser>
        <c:ser>
          <c:idx val="4"/>
          <c:order val="1"/>
          <c:tx>
            <c:strRef>
              <c:f>'For pub'!$A$13</c:f>
              <c:strCache>
                <c:ptCount val="1"/>
                <c:pt idx="0">
                  <c:v>5</c:v>
                </c:pt>
              </c:strCache>
            </c:strRef>
          </c:tx>
          <c:spPr>
            <a:ln w="25400" cap="rnd">
              <a:solidFill>
                <a:schemeClr val="accent6"/>
              </a:solidFill>
              <a:prstDash val="lgDashDotDot"/>
              <a:round/>
            </a:ln>
            <a:effectLst/>
          </c:spPr>
          <c:marker>
            <c:symbol val="none"/>
          </c:marker>
          <c:xVal>
            <c:numRef>
              <c:f>'For pub'!$B$13:$B$22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'For pub'!$C$13:$C$22</c:f>
              <c:numCache>
                <c:formatCode>0</c:formatCode>
                <c:ptCount val="10"/>
                <c:pt idx="0">
                  <c:v>1.0001</c:v>
                </c:pt>
                <c:pt idx="1">
                  <c:v>1.0009999999999999</c:v>
                </c:pt>
                <c:pt idx="2">
                  <c:v>1.01</c:v>
                </c:pt>
                <c:pt idx="3">
                  <c:v>1.1000000000000001</c:v>
                </c:pt>
                <c:pt idx="4">
                  <c:v>2</c:v>
                </c:pt>
                <c:pt idx="5">
                  <c:v>4.16227766016838</c:v>
                </c:pt>
                <c:pt idx="6">
                  <c:v>11</c:v>
                </c:pt>
                <c:pt idx="7">
                  <c:v>32.622776601683803</c:v>
                </c:pt>
                <c:pt idx="8">
                  <c:v>101</c:v>
                </c:pt>
                <c:pt idx="9">
                  <c:v>1001</c:v>
                </c:pt>
              </c:numCache>
            </c:numRef>
          </c:yVal>
          <c:smooth val="1"/>
          <c:extLst>
            <c:ext xmlns:c16="http://schemas.microsoft.com/office/drawing/2014/chart" uri="{C3380CC4-5D6E-409C-BE32-E72D297353CC}">
              <c16:uniqueId val="{00000001-27D2-4076-9C3A-82895F3B846E}"/>
            </c:ext>
          </c:extLst>
        </c:ser>
        <c:ser>
          <c:idx val="1"/>
          <c:order val="2"/>
          <c:tx>
            <c:strRef>
              <c:f>'For pub'!$A$23</c:f>
              <c:strCache>
                <c:ptCount val="1"/>
                <c:pt idx="0">
                  <c:v>6</c:v>
                </c:pt>
              </c:strCache>
            </c:strRef>
          </c:tx>
          <c:spPr>
            <a:ln w="25400" cap="rnd">
              <a:solidFill>
                <a:schemeClr val="accent2"/>
              </a:solidFill>
              <a:prstDash val="dash"/>
              <a:round/>
            </a:ln>
            <a:effectLst/>
          </c:spPr>
          <c:marker>
            <c:symbol val="none"/>
          </c:marker>
          <c:xVal>
            <c:numRef>
              <c:f>'For pub'!$B$23:$B$32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'For pub'!$C$23:$C$32</c:f>
              <c:numCache>
                <c:formatCode>0</c:formatCode>
                <c:ptCount val="10"/>
                <c:pt idx="0">
                  <c:v>1.0000100000000001</c:v>
                </c:pt>
                <c:pt idx="1">
                  <c:v>1.0001</c:v>
                </c:pt>
                <c:pt idx="2">
                  <c:v>1.0009999999999999</c:v>
                </c:pt>
                <c:pt idx="3" formatCode="General">
                  <c:v>1.01</c:v>
                </c:pt>
                <c:pt idx="4">
                  <c:v>1.1000000000000001</c:v>
                </c:pt>
                <c:pt idx="5">
                  <c:v>1.316227766016838</c:v>
                </c:pt>
                <c:pt idx="6" formatCode="General">
                  <c:v>2</c:v>
                </c:pt>
                <c:pt idx="7">
                  <c:v>4.16227766016838</c:v>
                </c:pt>
                <c:pt idx="8">
                  <c:v>11</c:v>
                </c:pt>
                <c:pt idx="9">
                  <c:v>101</c:v>
                </c:pt>
              </c:numCache>
            </c:numRef>
          </c:yVal>
          <c:smooth val="1"/>
          <c:extLst>
            <c:ext xmlns:c16="http://schemas.microsoft.com/office/drawing/2014/chart" uri="{C3380CC4-5D6E-409C-BE32-E72D297353CC}">
              <c16:uniqueId val="{00000002-27D2-4076-9C3A-82895F3B846E}"/>
            </c:ext>
          </c:extLst>
        </c:ser>
        <c:ser>
          <c:idx val="2"/>
          <c:order val="3"/>
          <c:tx>
            <c:strRef>
              <c:f>'For pub'!$A$33</c:f>
              <c:strCache>
                <c:ptCount val="1"/>
                <c:pt idx="0">
                  <c:v>7</c:v>
                </c:pt>
              </c:strCache>
            </c:strRef>
          </c:tx>
          <c:spPr>
            <a:ln w="25400" cap="rnd">
              <a:solidFill>
                <a:schemeClr val="accent3"/>
              </a:solidFill>
              <a:prstDash val="lgDash"/>
              <a:round/>
            </a:ln>
            <a:effectLst/>
          </c:spPr>
          <c:marker>
            <c:symbol val="none"/>
          </c:marker>
          <c:xVal>
            <c:numRef>
              <c:f>'For pub'!$B$33:$B$42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'For pub'!$C$33:$C$42</c:f>
              <c:numCache>
                <c:formatCode>0</c:formatCode>
                <c:ptCount val="10"/>
                <c:pt idx="0">
                  <c:v>1.0000009999999999</c:v>
                </c:pt>
                <c:pt idx="1">
                  <c:v>1.0000100000000001</c:v>
                </c:pt>
                <c:pt idx="2">
                  <c:v>1.0001</c:v>
                </c:pt>
                <c:pt idx="3" formatCode="General">
                  <c:v>1.0009999999999999</c:v>
                </c:pt>
                <c:pt idx="4">
                  <c:v>1.01</c:v>
                </c:pt>
                <c:pt idx="5">
                  <c:v>1.0316227766016839</c:v>
                </c:pt>
                <c:pt idx="6" formatCode="General">
                  <c:v>1.1000000000000001</c:v>
                </c:pt>
                <c:pt idx="7">
                  <c:v>1.316227766016838</c:v>
                </c:pt>
                <c:pt idx="8">
                  <c:v>2</c:v>
                </c:pt>
                <c:pt idx="9">
                  <c:v>11</c:v>
                </c:pt>
              </c:numCache>
            </c:numRef>
          </c:yVal>
          <c:smooth val="1"/>
          <c:extLst>
            <c:ext xmlns:c16="http://schemas.microsoft.com/office/drawing/2014/chart" uri="{C3380CC4-5D6E-409C-BE32-E72D297353CC}">
              <c16:uniqueId val="{00000003-27D2-4076-9C3A-82895F3B846E}"/>
            </c:ext>
          </c:extLst>
        </c:ser>
        <c:ser>
          <c:idx val="3"/>
          <c:order val="4"/>
          <c:tx>
            <c:strRef>
              <c:f>'For pub'!$A$43</c:f>
              <c:strCache>
                <c:ptCount val="1"/>
                <c:pt idx="0">
                  <c:v>8</c:v>
                </c:pt>
              </c:strCache>
            </c:strRef>
          </c:tx>
          <c:spPr>
            <a:ln w="25400" cap="rnd">
              <a:solidFill>
                <a:schemeClr val="tx1"/>
              </a:solidFill>
              <a:round/>
            </a:ln>
            <a:effectLst/>
          </c:spPr>
          <c:marker>
            <c:symbol val="none"/>
          </c:marker>
          <c:xVal>
            <c:numRef>
              <c:f>'For pub'!$B$43:$B$52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'For pub'!$C$43:$C$52</c:f>
              <c:numCache>
                <c:formatCode>0</c:formatCode>
                <c:ptCount val="10"/>
                <c:pt idx="0">
                  <c:v>1.0000001000000001</c:v>
                </c:pt>
                <c:pt idx="1">
                  <c:v>1.0000009999999999</c:v>
                </c:pt>
                <c:pt idx="2">
                  <c:v>1.0000100000000001</c:v>
                </c:pt>
                <c:pt idx="3" formatCode="General">
                  <c:v>1.0001</c:v>
                </c:pt>
                <c:pt idx="4">
                  <c:v>1.0009999999999999</c:v>
                </c:pt>
                <c:pt idx="5">
                  <c:v>1.0031622776601683</c:v>
                </c:pt>
                <c:pt idx="6" formatCode="General">
                  <c:v>1.01</c:v>
                </c:pt>
                <c:pt idx="7">
                  <c:v>1.0316227766016839</c:v>
                </c:pt>
                <c:pt idx="8">
                  <c:v>1.1000000000000001</c:v>
                </c:pt>
                <c:pt idx="9">
                  <c:v>2</c:v>
                </c:pt>
              </c:numCache>
            </c:numRef>
          </c:yVal>
          <c:smooth val="1"/>
          <c:extLst>
            <c:ext xmlns:c16="http://schemas.microsoft.com/office/drawing/2014/chart" uri="{C3380CC4-5D6E-409C-BE32-E72D297353CC}">
              <c16:uniqueId val="{00000004-27D2-4076-9C3A-82895F3B846E}"/>
            </c:ext>
          </c:extLst>
        </c:ser>
        <c:dLbls>
          <c:showLegendKey val="0"/>
          <c:showVal val="0"/>
          <c:showCatName val="0"/>
          <c:showSerName val="0"/>
          <c:showPercent val="0"/>
          <c:showBubbleSize val="0"/>
        </c:dLbls>
        <c:axId val="223501920"/>
        <c:axId val="223538560"/>
      </c:scatterChart>
      <c:valAx>
        <c:axId val="223501920"/>
        <c:scaling>
          <c:orientation val="minMax"/>
          <c:max val="8"/>
          <c:min val="1"/>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pH</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23538560"/>
        <c:crosses val="autoZero"/>
        <c:crossBetween val="midCat"/>
        <c:majorUnit val="1"/>
      </c:valAx>
      <c:valAx>
        <c:axId val="223538560"/>
        <c:scaling>
          <c:logBase val="10"/>
          <c:orientation val="minMax"/>
          <c:max val="1000"/>
          <c:min val="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rgbClr val="FF0000"/>
                    </a:solidFill>
                  </a:rPr>
                  <a:t>Relative</a:t>
                </a:r>
                <a:r>
                  <a:rPr lang="en-US" sz="1200">
                    <a:solidFill>
                      <a:schemeClr val="tx1"/>
                    </a:solidFill>
                  </a:rPr>
                  <a:t> </a:t>
                </a:r>
                <a:r>
                  <a:rPr lang="en-US" sz="1200" baseline="0">
                    <a:solidFill>
                      <a:schemeClr val="tx1"/>
                    </a:solidFill>
                  </a:rPr>
                  <a:t>solubility</a:t>
                </a:r>
                <a:endParaRPr lang="en-US" sz="120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235019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Weak base</a:t>
            </a:r>
          </a:p>
        </c:rich>
      </c:tx>
      <c:layout>
        <c:manualLayout>
          <c:xMode val="edge"/>
          <c:yMode val="edge"/>
          <c:x val="0.78796296296296287"/>
          <c:y val="4.1666666666666664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21910290960637399"/>
          <c:y val="4.4038976947961148E-2"/>
          <c:w val="0.73333199029945817"/>
          <c:h val="0.76866904537763492"/>
        </c:manualLayout>
      </c:layout>
      <c:scatterChart>
        <c:scatterStyle val="smoothMarker"/>
        <c:varyColors val="0"/>
        <c:ser>
          <c:idx val="0"/>
          <c:order val="0"/>
          <c:tx>
            <c:strRef>
              <c:f>'larger gastric pH range'!$A$3</c:f>
              <c:strCache>
                <c:ptCount val="1"/>
                <c:pt idx="0">
                  <c:v>5</c:v>
                </c:pt>
              </c:strCache>
            </c:strRef>
          </c:tx>
          <c:spPr>
            <a:ln w="25400" cap="rnd">
              <a:solidFill>
                <a:schemeClr val="accent1"/>
              </a:solidFill>
              <a:prstDash val="dashDot"/>
              <a:round/>
            </a:ln>
            <a:effectLst/>
          </c:spPr>
          <c:marker>
            <c:symbol val="none"/>
          </c:marker>
          <c:xVal>
            <c:numRef>
              <c:f>'larger gastric pH range'!$B$3:$B$12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'larger gastric pH range'!$D$3:$D$12</c:f>
              <c:numCache>
                <c:formatCode>0</c:formatCode>
                <c:ptCount val="10"/>
                <c:pt idx="0">
                  <c:v>10001</c:v>
                </c:pt>
                <c:pt idx="1">
                  <c:v>1001</c:v>
                </c:pt>
                <c:pt idx="2">
                  <c:v>101</c:v>
                </c:pt>
                <c:pt idx="3">
                  <c:v>11</c:v>
                </c:pt>
                <c:pt idx="4">
                  <c:v>2</c:v>
                </c:pt>
                <c:pt idx="5">
                  <c:v>1.316227766016838</c:v>
                </c:pt>
                <c:pt idx="6" formatCode="General">
                  <c:v>1.1000000000000001</c:v>
                </c:pt>
                <c:pt idx="7">
                  <c:v>1.0316227766016839</c:v>
                </c:pt>
                <c:pt idx="8">
                  <c:v>1.01</c:v>
                </c:pt>
                <c:pt idx="9">
                  <c:v>1.0009999999999999</c:v>
                </c:pt>
              </c:numCache>
            </c:numRef>
          </c:yVal>
          <c:smooth val="1"/>
          <c:extLst>
            <c:ext xmlns:c16="http://schemas.microsoft.com/office/drawing/2014/chart" uri="{C3380CC4-5D6E-409C-BE32-E72D297353CC}">
              <c16:uniqueId val="{00000000-ACE3-45CF-B3BC-7A36F6170846}"/>
            </c:ext>
          </c:extLst>
        </c:ser>
        <c:ser>
          <c:idx val="4"/>
          <c:order val="1"/>
          <c:tx>
            <c:strRef>
              <c:f>'larger gastric pH range'!$A$13</c:f>
              <c:strCache>
                <c:ptCount val="1"/>
                <c:pt idx="0">
                  <c:v>6</c:v>
                </c:pt>
              </c:strCache>
            </c:strRef>
          </c:tx>
          <c:spPr>
            <a:ln w="25400" cap="rnd">
              <a:solidFill>
                <a:schemeClr val="accent6"/>
              </a:solidFill>
              <a:prstDash val="lgDashDotDot"/>
              <a:round/>
            </a:ln>
            <a:effectLst/>
          </c:spPr>
          <c:marker>
            <c:symbol val="none"/>
          </c:marker>
          <c:xVal>
            <c:numRef>
              <c:f>'larger gastric pH range'!$B$13:$B$22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'larger gastric pH range'!$D$13:$D$22</c:f>
              <c:numCache>
                <c:formatCode>0</c:formatCode>
                <c:ptCount val="10"/>
                <c:pt idx="0">
                  <c:v>100001</c:v>
                </c:pt>
                <c:pt idx="1">
                  <c:v>10001</c:v>
                </c:pt>
                <c:pt idx="2">
                  <c:v>1001</c:v>
                </c:pt>
                <c:pt idx="3">
                  <c:v>101</c:v>
                </c:pt>
                <c:pt idx="4">
                  <c:v>11</c:v>
                </c:pt>
                <c:pt idx="5">
                  <c:v>4.16227766016838</c:v>
                </c:pt>
                <c:pt idx="6">
                  <c:v>2</c:v>
                </c:pt>
                <c:pt idx="7">
                  <c:v>1.316227766016838</c:v>
                </c:pt>
                <c:pt idx="8">
                  <c:v>1.1000000000000001</c:v>
                </c:pt>
                <c:pt idx="9">
                  <c:v>1.01</c:v>
                </c:pt>
              </c:numCache>
            </c:numRef>
          </c:yVal>
          <c:smooth val="1"/>
          <c:extLst>
            <c:ext xmlns:c16="http://schemas.microsoft.com/office/drawing/2014/chart" uri="{C3380CC4-5D6E-409C-BE32-E72D297353CC}">
              <c16:uniqueId val="{00000001-ACE3-45CF-B3BC-7A36F6170846}"/>
            </c:ext>
          </c:extLst>
        </c:ser>
        <c:ser>
          <c:idx val="1"/>
          <c:order val="2"/>
          <c:tx>
            <c:strRef>
              <c:f>'larger gastric pH range'!$A$23</c:f>
              <c:strCache>
                <c:ptCount val="1"/>
                <c:pt idx="0">
                  <c:v>7</c:v>
                </c:pt>
              </c:strCache>
            </c:strRef>
          </c:tx>
          <c:spPr>
            <a:ln w="25400" cap="rnd">
              <a:solidFill>
                <a:schemeClr val="accent2"/>
              </a:solidFill>
              <a:prstDash val="dash"/>
              <a:round/>
            </a:ln>
            <a:effectLst/>
          </c:spPr>
          <c:marker>
            <c:symbol val="none"/>
          </c:marker>
          <c:xVal>
            <c:numRef>
              <c:f>'larger gastric pH range'!$B$23:$B$32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'larger gastric pH range'!$D$23:$D$32</c:f>
              <c:numCache>
                <c:formatCode>0</c:formatCode>
                <c:ptCount val="10"/>
                <c:pt idx="0">
                  <c:v>1000001</c:v>
                </c:pt>
                <c:pt idx="1">
                  <c:v>100001</c:v>
                </c:pt>
                <c:pt idx="2">
                  <c:v>10001</c:v>
                </c:pt>
                <c:pt idx="3" formatCode="General">
                  <c:v>1001</c:v>
                </c:pt>
                <c:pt idx="4">
                  <c:v>101</c:v>
                </c:pt>
                <c:pt idx="5">
                  <c:v>32.622776601683803</c:v>
                </c:pt>
                <c:pt idx="6" formatCode="General">
                  <c:v>11</c:v>
                </c:pt>
                <c:pt idx="7">
                  <c:v>4.16227766016838</c:v>
                </c:pt>
                <c:pt idx="8">
                  <c:v>2</c:v>
                </c:pt>
                <c:pt idx="9">
                  <c:v>1.1000000000000001</c:v>
                </c:pt>
              </c:numCache>
            </c:numRef>
          </c:yVal>
          <c:smooth val="1"/>
          <c:extLst>
            <c:ext xmlns:c16="http://schemas.microsoft.com/office/drawing/2014/chart" uri="{C3380CC4-5D6E-409C-BE32-E72D297353CC}">
              <c16:uniqueId val="{00000002-ACE3-45CF-B3BC-7A36F6170846}"/>
            </c:ext>
          </c:extLst>
        </c:ser>
        <c:ser>
          <c:idx val="2"/>
          <c:order val="3"/>
          <c:tx>
            <c:strRef>
              <c:f>'larger gastric pH range'!$A$33</c:f>
              <c:strCache>
                <c:ptCount val="1"/>
                <c:pt idx="0">
                  <c:v>8</c:v>
                </c:pt>
              </c:strCache>
            </c:strRef>
          </c:tx>
          <c:spPr>
            <a:ln w="25400" cap="rnd">
              <a:solidFill>
                <a:schemeClr val="accent3"/>
              </a:solidFill>
              <a:prstDash val="lgDash"/>
              <a:round/>
            </a:ln>
            <a:effectLst/>
          </c:spPr>
          <c:marker>
            <c:symbol val="none"/>
          </c:marker>
          <c:xVal>
            <c:numRef>
              <c:f>'larger gastric pH range'!$B$33:$B$42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'larger gastric pH range'!$D$33:$D$42</c:f>
              <c:numCache>
                <c:formatCode>0</c:formatCode>
                <c:ptCount val="10"/>
                <c:pt idx="0">
                  <c:v>10000001</c:v>
                </c:pt>
                <c:pt idx="1">
                  <c:v>1000001</c:v>
                </c:pt>
                <c:pt idx="2">
                  <c:v>100001</c:v>
                </c:pt>
                <c:pt idx="3" formatCode="General">
                  <c:v>10001</c:v>
                </c:pt>
                <c:pt idx="4">
                  <c:v>1001</c:v>
                </c:pt>
                <c:pt idx="5">
                  <c:v>317.22776601683825</c:v>
                </c:pt>
                <c:pt idx="6" formatCode="General">
                  <c:v>101</c:v>
                </c:pt>
                <c:pt idx="7">
                  <c:v>32.622776601683803</c:v>
                </c:pt>
                <c:pt idx="8">
                  <c:v>11</c:v>
                </c:pt>
                <c:pt idx="9">
                  <c:v>2</c:v>
                </c:pt>
              </c:numCache>
            </c:numRef>
          </c:yVal>
          <c:smooth val="1"/>
          <c:extLst>
            <c:ext xmlns:c16="http://schemas.microsoft.com/office/drawing/2014/chart" uri="{C3380CC4-5D6E-409C-BE32-E72D297353CC}">
              <c16:uniqueId val="{00000003-ACE3-45CF-B3BC-7A36F6170846}"/>
            </c:ext>
          </c:extLst>
        </c:ser>
        <c:ser>
          <c:idx val="3"/>
          <c:order val="4"/>
          <c:tx>
            <c:strRef>
              <c:f>'larger gastric pH range'!$A$43</c:f>
              <c:strCache>
                <c:ptCount val="1"/>
                <c:pt idx="0">
                  <c:v>9</c:v>
                </c:pt>
              </c:strCache>
            </c:strRef>
          </c:tx>
          <c:spPr>
            <a:ln w="25400" cap="rnd">
              <a:solidFill>
                <a:schemeClr val="tx1"/>
              </a:solidFill>
              <a:round/>
            </a:ln>
            <a:effectLst/>
          </c:spPr>
          <c:marker>
            <c:symbol val="none"/>
          </c:marker>
          <c:xVal>
            <c:numRef>
              <c:f>'larger gastric pH range'!$B$43:$B$52</c:f>
              <c:numCache>
                <c:formatCode>General</c:formatCode>
                <c:ptCount val="10"/>
                <c:pt idx="0">
                  <c:v>1</c:v>
                </c:pt>
                <c:pt idx="1">
                  <c:v>2</c:v>
                </c:pt>
                <c:pt idx="2">
                  <c:v>3</c:v>
                </c:pt>
                <c:pt idx="3">
                  <c:v>4</c:v>
                </c:pt>
                <c:pt idx="4">
                  <c:v>5</c:v>
                </c:pt>
                <c:pt idx="5">
                  <c:v>5.5</c:v>
                </c:pt>
                <c:pt idx="6">
                  <c:v>6</c:v>
                </c:pt>
                <c:pt idx="7">
                  <c:v>6.5</c:v>
                </c:pt>
                <c:pt idx="8">
                  <c:v>7</c:v>
                </c:pt>
                <c:pt idx="9">
                  <c:v>8</c:v>
                </c:pt>
              </c:numCache>
            </c:numRef>
          </c:xVal>
          <c:yVal>
            <c:numRef>
              <c:f>'larger gastric pH range'!$D$43:$D$52</c:f>
              <c:numCache>
                <c:formatCode>0</c:formatCode>
                <c:ptCount val="10"/>
                <c:pt idx="0">
                  <c:v>100000001</c:v>
                </c:pt>
                <c:pt idx="1">
                  <c:v>10000001</c:v>
                </c:pt>
                <c:pt idx="2">
                  <c:v>1000001</c:v>
                </c:pt>
                <c:pt idx="3" formatCode="General">
                  <c:v>100001</c:v>
                </c:pt>
                <c:pt idx="4">
                  <c:v>10001</c:v>
                </c:pt>
                <c:pt idx="5">
                  <c:v>3163.2776601683804</c:v>
                </c:pt>
                <c:pt idx="6" formatCode="General">
                  <c:v>1001</c:v>
                </c:pt>
                <c:pt idx="7">
                  <c:v>317.22776601683825</c:v>
                </c:pt>
                <c:pt idx="8">
                  <c:v>101</c:v>
                </c:pt>
                <c:pt idx="9">
                  <c:v>11</c:v>
                </c:pt>
              </c:numCache>
            </c:numRef>
          </c:yVal>
          <c:smooth val="1"/>
          <c:extLst>
            <c:ext xmlns:c16="http://schemas.microsoft.com/office/drawing/2014/chart" uri="{C3380CC4-5D6E-409C-BE32-E72D297353CC}">
              <c16:uniqueId val="{00000004-ACE3-45CF-B3BC-7A36F6170846}"/>
            </c:ext>
          </c:extLst>
        </c:ser>
        <c:dLbls>
          <c:showLegendKey val="0"/>
          <c:showVal val="0"/>
          <c:showCatName val="0"/>
          <c:showSerName val="0"/>
          <c:showPercent val="0"/>
          <c:showBubbleSize val="0"/>
        </c:dLbls>
        <c:axId val="223621824"/>
        <c:axId val="223628352"/>
      </c:scatterChart>
      <c:valAx>
        <c:axId val="223621824"/>
        <c:scaling>
          <c:orientation val="minMax"/>
          <c:max val="8"/>
          <c:min val="1"/>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rPr>
                  <a:t>pH</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23628352"/>
        <c:crosses val="autoZero"/>
        <c:crossBetween val="midCat"/>
        <c:majorUnit val="1"/>
      </c:valAx>
      <c:valAx>
        <c:axId val="223628352"/>
        <c:scaling>
          <c:logBase val="10"/>
          <c:orientation val="minMax"/>
          <c:max val="1000000"/>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rgbClr val="FF0000"/>
                    </a:solidFill>
                  </a:rPr>
                  <a:t>Relative</a:t>
                </a:r>
                <a:r>
                  <a:rPr lang="en-US" sz="1200" baseline="0">
                    <a:solidFill>
                      <a:schemeClr val="tx1"/>
                    </a:solidFill>
                  </a:rPr>
                  <a:t> </a:t>
                </a:r>
                <a:r>
                  <a:rPr lang="en-US" sz="1200">
                    <a:solidFill>
                      <a:schemeClr val="tx1"/>
                    </a:solidFill>
                  </a:rPr>
                  <a:t>solubility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2362182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5400" cap="rnd">
              <a:solidFill>
                <a:schemeClr val="accent1"/>
              </a:solidFill>
              <a:round/>
            </a:ln>
            <a:effectLst/>
          </c:spPr>
          <c:marker>
            <c:symbol val="none"/>
          </c:marker>
          <c:xVal>
            <c:numRef>
              <c:f>Sheet2!$C$20:$C$38</c:f>
              <c:numCache>
                <c:formatCode>General</c:formatCode>
                <c:ptCount val="19"/>
                <c:pt idx="0">
                  <c:v>1</c:v>
                </c:pt>
                <c:pt idx="1">
                  <c:v>2</c:v>
                </c:pt>
                <c:pt idx="2">
                  <c:v>2.5</c:v>
                </c:pt>
                <c:pt idx="3">
                  <c:v>3</c:v>
                </c:pt>
                <c:pt idx="4">
                  <c:v>4</c:v>
                </c:pt>
                <c:pt idx="5">
                  <c:v>4.5</c:v>
                </c:pt>
                <c:pt idx="6">
                  <c:v>5</c:v>
                </c:pt>
                <c:pt idx="7">
                  <c:v>5.5</c:v>
                </c:pt>
                <c:pt idx="8">
                  <c:v>6</c:v>
                </c:pt>
                <c:pt idx="9">
                  <c:v>6.5</c:v>
                </c:pt>
                <c:pt idx="10">
                  <c:v>7</c:v>
                </c:pt>
                <c:pt idx="11">
                  <c:v>7.5</c:v>
                </c:pt>
                <c:pt idx="12">
                  <c:v>8</c:v>
                </c:pt>
                <c:pt idx="13">
                  <c:v>8.5</c:v>
                </c:pt>
                <c:pt idx="14">
                  <c:v>9</c:v>
                </c:pt>
                <c:pt idx="15">
                  <c:v>9.5</c:v>
                </c:pt>
                <c:pt idx="16">
                  <c:v>10</c:v>
                </c:pt>
                <c:pt idx="17">
                  <c:v>10.5</c:v>
                </c:pt>
                <c:pt idx="18">
                  <c:v>11</c:v>
                </c:pt>
              </c:numCache>
            </c:numRef>
          </c:xVal>
          <c:yVal>
            <c:numRef>
              <c:f>Sheet2!$D$20:$D$38</c:f>
              <c:numCache>
                <c:formatCode>0.0</c:formatCode>
                <c:ptCount val="19"/>
                <c:pt idx="0">
                  <c:v>31.621808255082158</c:v>
                </c:pt>
                <c:pt idx="1">
                  <c:v>31.613095890759389</c:v>
                </c:pt>
                <c:pt idx="2">
                  <c:v>31.592184417266573</c:v>
                </c:pt>
                <c:pt idx="3">
                  <c:v>31.526244141785348</c:v>
                </c:pt>
                <c:pt idx="4">
                  <c:v>30.684083461747214</c:v>
                </c:pt>
                <c:pt idx="5">
                  <c:v>28.838887819712568</c:v>
                </c:pt>
                <c:pt idx="6">
                  <c:v>24.265560408556254</c:v>
                </c:pt>
                <c:pt idx="7">
                  <c:v>16.311388300841902</c:v>
                </c:pt>
                <c:pt idx="8">
                  <c:v>8.3572161931275364</c:v>
                </c:pt>
                <c:pt idx="9">
                  <c:v>3.7838887819712541</c:v>
                </c:pt>
                <c:pt idx="10">
                  <c:v>1.9386931399365688</c:v>
                </c:pt>
                <c:pt idx="11">
                  <c:v>1.3031958079374633</c:v>
                </c:pt>
                <c:pt idx="12">
                  <c:v>1.0965324598984139</c:v>
                </c:pt>
                <c:pt idx="13">
                  <c:v>1</c:v>
                </c:pt>
                <c:pt idx="14">
                  <c:v>1</c:v>
                </c:pt>
                <c:pt idx="15">
                  <c:v>1</c:v>
                </c:pt>
                <c:pt idx="16">
                  <c:v>1</c:v>
                </c:pt>
                <c:pt idx="17">
                  <c:v>1</c:v>
                </c:pt>
                <c:pt idx="18">
                  <c:v>1</c:v>
                </c:pt>
              </c:numCache>
            </c:numRef>
          </c:yVal>
          <c:smooth val="1"/>
          <c:extLst>
            <c:ext xmlns:c16="http://schemas.microsoft.com/office/drawing/2014/chart" uri="{C3380CC4-5D6E-409C-BE32-E72D297353CC}">
              <c16:uniqueId val="{00000000-976A-4B93-BBED-F6232E61855A}"/>
            </c:ext>
          </c:extLst>
        </c:ser>
        <c:ser>
          <c:idx val="1"/>
          <c:order val="1"/>
          <c:spPr>
            <a:ln w="25400" cap="rnd">
              <a:solidFill>
                <a:schemeClr val="accent2"/>
              </a:solidFill>
              <a:round/>
            </a:ln>
            <a:effectLst/>
          </c:spPr>
          <c:marker>
            <c:symbol val="none"/>
          </c:marker>
          <c:xVal>
            <c:numRef>
              <c:f>Sheet2!$C$20:$C$38</c:f>
              <c:numCache>
                <c:formatCode>General</c:formatCode>
                <c:ptCount val="19"/>
                <c:pt idx="0">
                  <c:v>1</c:v>
                </c:pt>
                <c:pt idx="1">
                  <c:v>2</c:v>
                </c:pt>
                <c:pt idx="2">
                  <c:v>2.5</c:v>
                </c:pt>
                <c:pt idx="3">
                  <c:v>3</c:v>
                </c:pt>
                <c:pt idx="4">
                  <c:v>4</c:v>
                </c:pt>
                <c:pt idx="5">
                  <c:v>4.5</c:v>
                </c:pt>
                <c:pt idx="6">
                  <c:v>5</c:v>
                </c:pt>
                <c:pt idx="7">
                  <c:v>5.5</c:v>
                </c:pt>
                <c:pt idx="8">
                  <c:v>6</c:v>
                </c:pt>
                <c:pt idx="9">
                  <c:v>6.5</c:v>
                </c:pt>
                <c:pt idx="10">
                  <c:v>7</c:v>
                </c:pt>
                <c:pt idx="11">
                  <c:v>7.5</c:v>
                </c:pt>
                <c:pt idx="12">
                  <c:v>8</c:v>
                </c:pt>
                <c:pt idx="13">
                  <c:v>8.5</c:v>
                </c:pt>
                <c:pt idx="14">
                  <c:v>9</c:v>
                </c:pt>
                <c:pt idx="15">
                  <c:v>9.5</c:v>
                </c:pt>
                <c:pt idx="16">
                  <c:v>10</c:v>
                </c:pt>
                <c:pt idx="17">
                  <c:v>10.5</c:v>
                </c:pt>
                <c:pt idx="18">
                  <c:v>11</c:v>
                </c:pt>
              </c:numCache>
            </c:numRef>
          </c:xVal>
          <c:yVal>
            <c:numRef>
              <c:f>Sheet2!$E$20:$E$38</c:f>
              <c:numCache>
                <c:formatCode>0.0</c:formatCode>
                <c:ptCount val="19"/>
                <c:pt idx="0">
                  <c:v>1</c:v>
                </c:pt>
                <c:pt idx="1">
                  <c:v>1</c:v>
                </c:pt>
                <c:pt idx="2">
                  <c:v>1</c:v>
                </c:pt>
                <c:pt idx="3">
                  <c:v>1</c:v>
                </c:pt>
                <c:pt idx="4">
                  <c:v>1</c:v>
                </c:pt>
                <c:pt idx="5">
                  <c:v>1.0965324598984139</c:v>
                </c:pt>
                <c:pt idx="6">
                  <c:v>1.3031958079374633</c:v>
                </c:pt>
                <c:pt idx="7">
                  <c:v>1.9386931399365688</c:v>
                </c:pt>
                <c:pt idx="8">
                  <c:v>3.7838887819712541</c:v>
                </c:pt>
                <c:pt idx="9">
                  <c:v>8.3572161931275364</c:v>
                </c:pt>
                <c:pt idx="10">
                  <c:v>16.311388300841902</c:v>
                </c:pt>
                <c:pt idx="11">
                  <c:v>24.265560408556254</c:v>
                </c:pt>
                <c:pt idx="12">
                  <c:v>28.838887819712568</c:v>
                </c:pt>
                <c:pt idx="13">
                  <c:v>30.684083461747214</c:v>
                </c:pt>
                <c:pt idx="14">
                  <c:v>31.31958079374634</c:v>
                </c:pt>
                <c:pt idx="15">
                  <c:v>31.526244141785348</c:v>
                </c:pt>
                <c:pt idx="16">
                  <c:v>31.592184417266573</c:v>
                </c:pt>
                <c:pt idx="17">
                  <c:v>31.613095890759389</c:v>
                </c:pt>
                <c:pt idx="18">
                  <c:v>31.619714630220798</c:v>
                </c:pt>
              </c:numCache>
            </c:numRef>
          </c:yVal>
          <c:smooth val="1"/>
          <c:extLst>
            <c:ext xmlns:c16="http://schemas.microsoft.com/office/drawing/2014/chart" uri="{C3380CC4-5D6E-409C-BE32-E72D297353CC}">
              <c16:uniqueId val="{00000001-976A-4B93-BBED-F6232E61855A}"/>
            </c:ext>
          </c:extLst>
        </c:ser>
        <c:dLbls>
          <c:showLegendKey val="0"/>
          <c:showVal val="0"/>
          <c:showCatName val="0"/>
          <c:showSerName val="0"/>
          <c:showPercent val="0"/>
          <c:showBubbleSize val="0"/>
        </c:dLbls>
        <c:axId val="427802184"/>
        <c:axId val="427659488"/>
      </c:scatterChart>
      <c:valAx>
        <c:axId val="427802184"/>
        <c:scaling>
          <c:orientation val="minMax"/>
          <c:max val="11"/>
          <c:min val="1"/>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pK</a:t>
                </a:r>
                <a:r>
                  <a:rPr lang="en-US" sz="1200" baseline="-25000">
                    <a:solidFill>
                      <a:schemeClr val="tx1"/>
                    </a:solidFill>
                  </a:rPr>
                  <a:t>a</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27659488"/>
        <c:crosses val="autoZero"/>
        <c:crossBetween val="midCat"/>
        <c:majorUnit val="1"/>
      </c:valAx>
      <c:valAx>
        <c:axId val="42765948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aseline="0">
                    <a:solidFill>
                      <a:schemeClr val="tx1"/>
                    </a:solidFill>
                  </a:rPr>
                  <a:t>C</a:t>
                </a:r>
                <a:r>
                  <a:rPr lang="en-US" sz="1200" baseline="-25000">
                    <a:solidFill>
                      <a:schemeClr val="tx1"/>
                    </a:solidFill>
                  </a:rPr>
                  <a:t>s</a:t>
                </a:r>
                <a:r>
                  <a:rPr lang="en-US" sz="1200" baseline="0">
                    <a:solidFill>
                      <a:schemeClr val="tx1"/>
                    </a:solidFill>
                  </a:rPr>
                  <a:t> pH 7 / C</a:t>
                </a:r>
                <a:r>
                  <a:rPr lang="en-US" sz="1200" baseline="-25000">
                    <a:solidFill>
                      <a:schemeClr val="tx1"/>
                    </a:solidFill>
                  </a:rPr>
                  <a:t>s</a:t>
                </a:r>
                <a:r>
                  <a:rPr lang="en-US" sz="1200" baseline="0">
                    <a:solidFill>
                      <a:schemeClr val="tx1"/>
                    </a:solidFill>
                  </a:rPr>
                  <a:t> pH 5.5 (acid) or C</a:t>
                </a:r>
                <a:r>
                  <a:rPr lang="en-US" sz="1200" baseline="-25000">
                    <a:solidFill>
                      <a:schemeClr val="tx1"/>
                    </a:solidFill>
                  </a:rPr>
                  <a:t>s</a:t>
                </a:r>
                <a:r>
                  <a:rPr lang="en-US" sz="1200" baseline="0">
                    <a:solidFill>
                      <a:schemeClr val="tx1"/>
                    </a:solidFill>
                  </a:rPr>
                  <a:t> pH 5.5 / C</a:t>
                </a:r>
                <a:r>
                  <a:rPr lang="en-US" sz="1200" baseline="-25000">
                    <a:solidFill>
                      <a:schemeClr val="tx1"/>
                    </a:solidFill>
                  </a:rPr>
                  <a:t>s</a:t>
                </a:r>
                <a:r>
                  <a:rPr lang="en-US" sz="1200" baseline="0">
                    <a:solidFill>
                      <a:schemeClr val="tx1"/>
                    </a:solidFill>
                  </a:rPr>
                  <a:t> pH 7 (base)</a:t>
                </a:r>
                <a:endParaRPr lang="en-US" sz="120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27802184"/>
        <c:crosses val="autoZero"/>
        <c:crossBetween val="midCat"/>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pH 5.5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2"/>
          <c:order val="0"/>
          <c:tx>
            <c:strRef>
              <c:f>'weak acids'!$B$40</c:f>
              <c:strCache>
                <c:ptCount val="1"/>
                <c:pt idx="0">
                  <c:v>3</c:v>
                </c:pt>
              </c:strCache>
            </c:strRef>
          </c:tx>
          <c:spPr>
            <a:ln w="19050" cap="rnd">
              <a:solidFill>
                <a:schemeClr val="accent3"/>
              </a:solidFill>
              <a:prstDash val="lgDash"/>
              <a:round/>
            </a:ln>
            <a:effectLst/>
          </c:spPr>
          <c:marker>
            <c:symbol val="circle"/>
            <c:size val="5"/>
            <c:spPr>
              <a:solidFill>
                <a:schemeClr val="accent3"/>
              </a:solidFill>
              <a:ln w="9525">
                <a:solidFill>
                  <a:schemeClr val="accent3"/>
                </a:solidFill>
              </a:ln>
              <a:effectLst/>
            </c:spPr>
          </c:marker>
          <c:xVal>
            <c:numRef>
              <c:f>'weak acids'!$E$38:$E$44</c:f>
              <c:numCache>
                <c:formatCode>General</c:formatCode>
                <c:ptCount val="7"/>
                <c:pt idx="0">
                  <c:v>11</c:v>
                </c:pt>
                <c:pt idx="1">
                  <c:v>10</c:v>
                </c:pt>
                <c:pt idx="2">
                  <c:v>9</c:v>
                </c:pt>
                <c:pt idx="3">
                  <c:v>8</c:v>
                </c:pt>
                <c:pt idx="4">
                  <c:v>7</c:v>
                </c:pt>
                <c:pt idx="5">
                  <c:v>6</c:v>
                </c:pt>
                <c:pt idx="6">
                  <c:v>5</c:v>
                </c:pt>
              </c:numCache>
            </c:numRef>
          </c:xVal>
          <c:yVal>
            <c:numRef>
              <c:f>'weak acids'!$J$38:$J$44</c:f>
              <c:numCache>
                <c:formatCode>0.0</c:formatCode>
                <c:ptCount val="7"/>
                <c:pt idx="0">
                  <c:v>1.0278078817733989</c:v>
                </c:pt>
                <c:pt idx="1">
                  <c:v>1.2508199446820731</c:v>
                </c:pt>
                <c:pt idx="2">
                  <c:v>2.4820639459318952</c:v>
                </c:pt>
                <c:pt idx="3">
                  <c:v>4.3319818037974684</c:v>
                </c:pt>
                <c:pt idx="4">
                  <c:v>2.7879724982736365</c:v>
                </c:pt>
                <c:pt idx="5">
                  <c:v>1.437948467058056</c:v>
                </c:pt>
                <c:pt idx="6">
                  <c:v>1.0845293930951792</c:v>
                </c:pt>
              </c:numCache>
            </c:numRef>
          </c:yVal>
          <c:smooth val="1"/>
          <c:extLst>
            <c:ext xmlns:c16="http://schemas.microsoft.com/office/drawing/2014/chart" uri="{C3380CC4-5D6E-409C-BE32-E72D297353CC}">
              <c16:uniqueId val="{00000000-F4B8-4EAA-9AFD-A03A88EFEBC1}"/>
            </c:ext>
          </c:extLst>
        </c:ser>
        <c:ser>
          <c:idx val="1"/>
          <c:order val="1"/>
          <c:tx>
            <c:strRef>
              <c:f>'weak acids'!$B$31</c:f>
              <c:strCache>
                <c:ptCount val="1"/>
                <c:pt idx="0">
                  <c:v>5</c:v>
                </c:pt>
              </c:strCache>
            </c:strRef>
          </c:tx>
          <c:spPr>
            <a:ln w="19050" cap="rnd">
              <a:solidFill>
                <a:schemeClr val="accent2"/>
              </a:solidFill>
              <a:prstDash val="sysDash"/>
              <a:round/>
            </a:ln>
            <a:effectLst/>
          </c:spPr>
          <c:marker>
            <c:symbol val="circle"/>
            <c:size val="5"/>
            <c:spPr>
              <a:solidFill>
                <a:schemeClr val="accent2"/>
              </a:solidFill>
              <a:ln w="9525">
                <a:solidFill>
                  <a:schemeClr val="accent2"/>
                </a:solidFill>
              </a:ln>
              <a:effectLst/>
            </c:spPr>
          </c:marker>
          <c:xVal>
            <c:numRef>
              <c:f>'weak acids'!$E$31:$E$36</c:f>
              <c:numCache>
                <c:formatCode>General</c:formatCode>
                <c:ptCount val="6"/>
                <c:pt idx="0">
                  <c:v>11</c:v>
                </c:pt>
                <c:pt idx="1">
                  <c:v>10</c:v>
                </c:pt>
                <c:pt idx="2">
                  <c:v>9</c:v>
                </c:pt>
                <c:pt idx="3">
                  <c:v>8</c:v>
                </c:pt>
                <c:pt idx="4">
                  <c:v>7</c:v>
                </c:pt>
                <c:pt idx="5">
                  <c:v>6</c:v>
                </c:pt>
              </c:numCache>
            </c:numRef>
          </c:xVal>
          <c:yVal>
            <c:numRef>
              <c:f>'weak acids'!$J$31:$J$36</c:f>
              <c:numCache>
                <c:formatCode>0.0</c:formatCode>
                <c:ptCount val="6"/>
                <c:pt idx="0">
                  <c:v>1.021068332245735</c:v>
                </c:pt>
                <c:pt idx="1">
                  <c:v>1.179946439994362</c:v>
                </c:pt>
                <c:pt idx="2">
                  <c:v>1.8024135383316326</c:v>
                </c:pt>
                <c:pt idx="3">
                  <c:v>1.9312088883975456</c:v>
                </c:pt>
                <c:pt idx="4">
                  <c:v>1.2025441311520018</c:v>
                </c:pt>
                <c:pt idx="5">
                  <c:v>1.0197098475967175</c:v>
                </c:pt>
              </c:numCache>
            </c:numRef>
          </c:yVal>
          <c:smooth val="1"/>
          <c:extLst>
            <c:ext xmlns:c16="http://schemas.microsoft.com/office/drawing/2014/chart" uri="{C3380CC4-5D6E-409C-BE32-E72D297353CC}">
              <c16:uniqueId val="{00000001-F4B8-4EAA-9AFD-A03A88EFEBC1}"/>
            </c:ext>
          </c:extLst>
        </c:ser>
        <c:ser>
          <c:idx val="0"/>
          <c:order val="2"/>
          <c:tx>
            <c:strRef>
              <c:f>'weak acids'!$B$2</c:f>
              <c:strCache>
                <c:ptCount val="1"/>
                <c:pt idx="0">
                  <c:v>6</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'weak acids'!$E$2:$E$6</c:f>
              <c:numCache>
                <c:formatCode>0</c:formatCode>
                <c:ptCount val="5"/>
                <c:pt idx="0">
                  <c:v>11</c:v>
                </c:pt>
                <c:pt idx="1">
                  <c:v>10</c:v>
                </c:pt>
                <c:pt idx="2">
                  <c:v>9</c:v>
                </c:pt>
                <c:pt idx="3">
                  <c:v>8</c:v>
                </c:pt>
                <c:pt idx="4">
                  <c:v>7</c:v>
                </c:pt>
              </c:numCache>
            </c:numRef>
          </c:xVal>
          <c:yVal>
            <c:numRef>
              <c:f>'weak acids'!$J$2:$J$6</c:f>
              <c:numCache>
                <c:formatCode>0.0</c:formatCode>
                <c:ptCount val="5"/>
                <c:pt idx="0">
                  <c:v>1.0065646149824266</c:v>
                </c:pt>
                <c:pt idx="1">
                  <c:v>1.0504206785529873</c:v>
                </c:pt>
                <c:pt idx="2">
                  <c:v>1.155215245873745</c:v>
                </c:pt>
                <c:pt idx="3">
                  <c:v>1.1233252800351416</c:v>
                </c:pt>
                <c:pt idx="4">
                  <c:v>1.0223723723723723</c:v>
                </c:pt>
              </c:numCache>
            </c:numRef>
          </c:yVal>
          <c:smooth val="1"/>
          <c:extLst>
            <c:ext xmlns:c16="http://schemas.microsoft.com/office/drawing/2014/chart" uri="{C3380CC4-5D6E-409C-BE32-E72D297353CC}">
              <c16:uniqueId val="{00000002-F4B8-4EAA-9AFD-A03A88EFEBC1}"/>
            </c:ext>
          </c:extLst>
        </c:ser>
        <c:ser>
          <c:idx val="3"/>
          <c:order val="3"/>
          <c:spPr>
            <a:ln w="19050" cap="rnd">
              <a:solidFill>
                <a:schemeClr val="tx1"/>
              </a:solidFill>
              <a:prstDash val="lgDash"/>
              <a:round/>
            </a:ln>
            <a:effectLst/>
          </c:spPr>
          <c:marker>
            <c:symbol val="circle"/>
            <c:size val="5"/>
            <c:spPr>
              <a:solidFill>
                <a:schemeClr val="accent4"/>
              </a:solidFill>
              <a:ln w="9525">
                <a:solidFill>
                  <a:schemeClr val="accent4"/>
                </a:solidFill>
              </a:ln>
              <a:effectLst/>
            </c:spPr>
          </c:marker>
          <c:xVal>
            <c:numRef>
              <c:f>'weak acids'!$R$45:$R$46</c:f>
              <c:numCache>
                <c:formatCode>General</c:formatCode>
                <c:ptCount val="2"/>
                <c:pt idx="0">
                  <c:v>4</c:v>
                </c:pt>
                <c:pt idx="1">
                  <c:v>14</c:v>
                </c:pt>
              </c:numCache>
            </c:numRef>
          </c:xVal>
          <c:yVal>
            <c:numRef>
              <c:f>'weak acids'!$S$45:$S$46</c:f>
              <c:numCache>
                <c:formatCode>General</c:formatCode>
                <c:ptCount val="2"/>
                <c:pt idx="0">
                  <c:v>2</c:v>
                </c:pt>
                <c:pt idx="1">
                  <c:v>2</c:v>
                </c:pt>
              </c:numCache>
            </c:numRef>
          </c:yVal>
          <c:smooth val="1"/>
          <c:extLst>
            <c:ext xmlns:c16="http://schemas.microsoft.com/office/drawing/2014/chart" uri="{C3380CC4-5D6E-409C-BE32-E72D297353CC}">
              <c16:uniqueId val="{00000003-F4B8-4EAA-9AFD-A03A88EFEBC1}"/>
            </c:ext>
          </c:extLst>
        </c:ser>
        <c:dLbls>
          <c:showLegendKey val="0"/>
          <c:showVal val="0"/>
          <c:showCatName val="0"/>
          <c:showSerName val="0"/>
          <c:showPercent val="0"/>
          <c:showBubbleSize val="0"/>
        </c:dLbls>
        <c:axId val="601964152"/>
        <c:axId val="601965464"/>
      </c:scatterChart>
      <c:valAx>
        <c:axId val="601964152"/>
        <c:scaling>
          <c:orientation val="minMax"/>
          <c:max val="13"/>
          <c:min val="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1200">
                    <a:solidFill>
                      <a:schemeClr val="tx1"/>
                    </a:solidFill>
                  </a:rPr>
                  <a:t>α</a:t>
                </a:r>
                <a:r>
                  <a:rPr lang="en-US" sz="1200">
                    <a:solidFill>
                      <a:schemeClr val="tx1"/>
                    </a:solidFill>
                  </a:rPr>
                  <a:t> (= pK</a:t>
                </a:r>
                <a:r>
                  <a:rPr lang="en-US" sz="1200" baseline="-25000">
                    <a:solidFill>
                      <a:schemeClr val="tx1"/>
                    </a:solidFill>
                  </a:rPr>
                  <a:t>a</a:t>
                </a:r>
                <a:r>
                  <a:rPr lang="en-US" sz="1200">
                    <a:solidFill>
                      <a:schemeClr val="tx1"/>
                    </a:solidFill>
                  </a:rPr>
                  <a:t> - logS</a:t>
                </a:r>
                <a:r>
                  <a:rPr lang="en-US" sz="1200" baseline="-25000">
                    <a:solidFill>
                      <a:schemeClr val="tx1"/>
                    </a:solidFill>
                  </a:rPr>
                  <a:t>o</a:t>
                </a:r>
                <a:r>
                  <a:rPr lang="en-US" sz="1200">
                    <a:solidFill>
                      <a:schemeClr val="tx1"/>
                    </a:solidFill>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5464"/>
        <c:crosses val="autoZero"/>
        <c:crossBetween val="midCat"/>
        <c:majorUnit val="1"/>
      </c:valAx>
      <c:valAx>
        <c:axId val="601965464"/>
        <c:scaling>
          <c:orientation val="minMax"/>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rPr>
                  <a:t>Relative dissolution rate</a:t>
                </a:r>
                <a:r>
                  <a:rPr lang="en-US" sz="1200" baseline="0">
                    <a:solidFill>
                      <a:schemeClr val="tx1"/>
                    </a:solidFill>
                  </a:rPr>
                  <a:t> </a:t>
                </a:r>
              </a:p>
              <a:p>
                <a:pPr>
                  <a:defRPr/>
                </a:pPr>
                <a:r>
                  <a:rPr lang="en-US" sz="1200">
                    <a:solidFill>
                      <a:schemeClr val="tx1"/>
                    </a:solidFill>
                  </a:rPr>
                  <a:t>(50 mM/1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4152"/>
        <c:crosses val="autoZero"/>
        <c:crossBetween val="midCat"/>
        <c:majorUnit val="1"/>
      </c:valAx>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pH 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strRef>
              <c:f>'weak acids'!$B$46</c:f>
              <c:strCache>
                <c:ptCount val="1"/>
                <c:pt idx="0">
                  <c:v>3</c:v>
                </c:pt>
              </c:strCache>
            </c:strRef>
          </c:tx>
          <c:spPr>
            <a:ln w="19050" cap="rnd">
              <a:solidFill>
                <a:schemeClr val="accent1"/>
              </a:solidFill>
              <a:prstDash val="lgDash"/>
              <a:round/>
            </a:ln>
            <a:effectLst/>
          </c:spPr>
          <c:marker>
            <c:symbol val="circle"/>
            <c:size val="5"/>
            <c:spPr>
              <a:solidFill>
                <a:schemeClr val="accent1"/>
              </a:solidFill>
              <a:ln w="9525">
                <a:solidFill>
                  <a:schemeClr val="accent1"/>
                </a:solidFill>
              </a:ln>
              <a:effectLst/>
            </c:spPr>
          </c:marker>
          <c:xVal>
            <c:numRef>
              <c:f>'weak acids'!$E$46:$E$54</c:f>
              <c:numCache>
                <c:formatCode>General</c:formatCode>
                <c:ptCount val="9"/>
                <c:pt idx="0">
                  <c:v>11</c:v>
                </c:pt>
                <c:pt idx="1">
                  <c:v>10</c:v>
                </c:pt>
                <c:pt idx="2">
                  <c:v>9</c:v>
                </c:pt>
                <c:pt idx="3">
                  <c:v>8</c:v>
                </c:pt>
                <c:pt idx="4">
                  <c:v>7.6020599913279625</c:v>
                </c:pt>
                <c:pt idx="5">
                  <c:v>7</c:v>
                </c:pt>
                <c:pt idx="6">
                  <c:v>6</c:v>
                </c:pt>
                <c:pt idx="7">
                  <c:v>5</c:v>
                </c:pt>
                <c:pt idx="8">
                  <c:v>4</c:v>
                </c:pt>
              </c:numCache>
            </c:numRef>
          </c:xVal>
          <c:yVal>
            <c:numRef>
              <c:f>'weak acids'!$J$46:$J$54</c:f>
              <c:numCache>
                <c:formatCode>0.0</c:formatCode>
                <c:ptCount val="9"/>
                <c:pt idx="0">
                  <c:v>1.244356793232904</c:v>
                </c:pt>
                <c:pt idx="1">
                  <c:v>2.6025295848725816</c:v>
                </c:pt>
                <c:pt idx="2">
                  <c:v>9.0216463261513749</c:v>
                </c:pt>
                <c:pt idx="3">
                  <c:v>24.060062987402521</c:v>
                </c:pt>
                <c:pt idx="4">
                  <c:v>27.096527556546672</c:v>
                </c:pt>
                <c:pt idx="5">
                  <c:v>22.693038042202737</c:v>
                </c:pt>
                <c:pt idx="6">
                  <c:v>8.8750371029979238</c:v>
                </c:pt>
                <c:pt idx="7">
                  <c:v>2.6105812426567145</c:v>
                </c:pt>
                <c:pt idx="8">
                  <c:v>1.2056481815407663</c:v>
                </c:pt>
              </c:numCache>
            </c:numRef>
          </c:yVal>
          <c:smooth val="1"/>
          <c:extLst>
            <c:ext xmlns:c16="http://schemas.microsoft.com/office/drawing/2014/chart" uri="{C3380CC4-5D6E-409C-BE32-E72D297353CC}">
              <c16:uniqueId val="{00000000-AE44-4548-8731-9D95983EC4E6}"/>
            </c:ext>
          </c:extLst>
        </c:ser>
        <c:ser>
          <c:idx val="4"/>
          <c:order val="1"/>
          <c:tx>
            <c:strRef>
              <c:f>'weak acids'!$B$65</c:f>
              <c:strCache>
                <c:ptCount val="1"/>
                <c:pt idx="0">
                  <c:v>5</c:v>
                </c:pt>
              </c:strCache>
            </c:strRef>
          </c:tx>
          <c:spPr>
            <a:ln w="19050" cap="rnd">
              <a:solidFill>
                <a:srgbClr val="7030A0"/>
              </a:solidFill>
              <a:prstDash val="lgDashDot"/>
              <a:round/>
            </a:ln>
            <a:effectLst/>
          </c:spPr>
          <c:marker>
            <c:symbol val="circle"/>
            <c:size val="5"/>
            <c:spPr>
              <a:solidFill>
                <a:srgbClr val="7030A0"/>
              </a:solidFill>
              <a:ln w="9525">
                <a:solidFill>
                  <a:srgbClr val="7030A0"/>
                </a:solidFill>
              </a:ln>
              <a:effectLst/>
            </c:spPr>
          </c:marker>
          <c:xVal>
            <c:numRef>
              <c:f>'weak acids'!$E$65:$E$72</c:f>
              <c:numCache>
                <c:formatCode>General</c:formatCode>
                <c:ptCount val="8"/>
                <c:pt idx="0">
                  <c:v>13</c:v>
                </c:pt>
                <c:pt idx="1">
                  <c:v>12</c:v>
                </c:pt>
                <c:pt idx="2">
                  <c:v>11</c:v>
                </c:pt>
                <c:pt idx="3">
                  <c:v>10</c:v>
                </c:pt>
                <c:pt idx="4">
                  <c:v>9</c:v>
                </c:pt>
                <c:pt idx="5">
                  <c:v>8</c:v>
                </c:pt>
                <c:pt idx="6">
                  <c:v>7</c:v>
                </c:pt>
                <c:pt idx="7">
                  <c:v>6</c:v>
                </c:pt>
              </c:numCache>
            </c:numRef>
          </c:xVal>
          <c:yVal>
            <c:numRef>
              <c:f>'weak acids'!$J$65:$J$72</c:f>
              <c:numCache>
                <c:formatCode>0.0</c:formatCode>
                <c:ptCount val="8"/>
                <c:pt idx="0">
                  <c:v>1.0027902416952603</c:v>
                </c:pt>
                <c:pt idx="1">
                  <c:v>1.0273247275257016</c:v>
                </c:pt>
                <c:pt idx="2">
                  <c:v>1.2413631242959069</c:v>
                </c:pt>
                <c:pt idx="3">
                  <c:v>2.5601170339215504</c:v>
                </c:pt>
                <c:pt idx="4">
                  <c:v>8.0926370015099032</c:v>
                </c:pt>
                <c:pt idx="5">
                  <c:v>12.661635887907172</c:v>
                </c:pt>
                <c:pt idx="6">
                  <c:v>4.3056865103878792</c:v>
                </c:pt>
                <c:pt idx="7">
                  <c:v>1.3870450069297542</c:v>
                </c:pt>
              </c:numCache>
            </c:numRef>
          </c:yVal>
          <c:smooth val="1"/>
          <c:extLst>
            <c:ext xmlns:c16="http://schemas.microsoft.com/office/drawing/2014/chart" uri="{C3380CC4-5D6E-409C-BE32-E72D297353CC}">
              <c16:uniqueId val="{00000002-AE44-4548-8731-9D95983EC4E6}"/>
            </c:ext>
          </c:extLst>
        </c:ser>
        <c:ser>
          <c:idx val="1"/>
          <c:order val="2"/>
          <c:tx>
            <c:strRef>
              <c:f>'weak acids'!$B$25</c:f>
              <c:strCache>
                <c:ptCount val="1"/>
                <c:pt idx="0">
                  <c:v>6</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'weak acids'!$E$25:$E$29</c:f>
              <c:numCache>
                <c:formatCode>General</c:formatCode>
                <c:ptCount val="5"/>
                <c:pt idx="0">
                  <c:v>12</c:v>
                </c:pt>
                <c:pt idx="1">
                  <c:v>11</c:v>
                </c:pt>
                <c:pt idx="2">
                  <c:v>10</c:v>
                </c:pt>
                <c:pt idx="3">
                  <c:v>9</c:v>
                </c:pt>
                <c:pt idx="4">
                  <c:v>8</c:v>
                </c:pt>
              </c:numCache>
            </c:numRef>
          </c:xVal>
          <c:yVal>
            <c:numRef>
              <c:f>'weak acids'!$J$31:$J$35</c:f>
              <c:numCache>
                <c:formatCode>0.0</c:formatCode>
                <c:ptCount val="5"/>
                <c:pt idx="0">
                  <c:v>1.021068332245735</c:v>
                </c:pt>
                <c:pt idx="1">
                  <c:v>1.179946439994362</c:v>
                </c:pt>
                <c:pt idx="2">
                  <c:v>1.8024135383316326</c:v>
                </c:pt>
                <c:pt idx="3">
                  <c:v>1.9312088883975456</c:v>
                </c:pt>
                <c:pt idx="4">
                  <c:v>1.2025441311520018</c:v>
                </c:pt>
              </c:numCache>
            </c:numRef>
          </c:yVal>
          <c:smooth val="1"/>
          <c:extLst>
            <c:ext xmlns:c16="http://schemas.microsoft.com/office/drawing/2014/chart" uri="{C3380CC4-5D6E-409C-BE32-E72D297353CC}">
              <c16:uniqueId val="{00000003-AE44-4548-8731-9D95983EC4E6}"/>
            </c:ext>
          </c:extLst>
        </c:ser>
        <c:ser>
          <c:idx val="2"/>
          <c:order val="3"/>
          <c:spPr>
            <a:ln w="19050" cap="rnd">
              <a:solidFill>
                <a:schemeClr val="tx1"/>
              </a:solidFill>
              <a:prstDash val="lgDash"/>
              <a:round/>
            </a:ln>
            <a:effectLst/>
          </c:spPr>
          <c:marker>
            <c:symbol val="none"/>
          </c:marker>
          <c:xVal>
            <c:numRef>
              <c:f>'weak acids'!$R$45:$R$46</c:f>
              <c:numCache>
                <c:formatCode>General</c:formatCode>
                <c:ptCount val="2"/>
                <c:pt idx="0">
                  <c:v>4</c:v>
                </c:pt>
                <c:pt idx="1">
                  <c:v>14</c:v>
                </c:pt>
              </c:numCache>
            </c:numRef>
          </c:xVal>
          <c:yVal>
            <c:numRef>
              <c:f>'weak acids'!$S$45:$S$46</c:f>
              <c:numCache>
                <c:formatCode>General</c:formatCode>
                <c:ptCount val="2"/>
                <c:pt idx="0">
                  <c:v>2</c:v>
                </c:pt>
                <c:pt idx="1">
                  <c:v>2</c:v>
                </c:pt>
              </c:numCache>
            </c:numRef>
          </c:yVal>
          <c:smooth val="1"/>
          <c:extLst>
            <c:ext xmlns:c16="http://schemas.microsoft.com/office/drawing/2014/chart" uri="{C3380CC4-5D6E-409C-BE32-E72D297353CC}">
              <c16:uniqueId val="{00000004-AE44-4548-8731-9D95983EC4E6}"/>
            </c:ext>
          </c:extLst>
        </c:ser>
        <c:dLbls>
          <c:showLegendKey val="0"/>
          <c:showVal val="0"/>
          <c:showCatName val="0"/>
          <c:showSerName val="0"/>
          <c:showPercent val="0"/>
          <c:showBubbleSize val="0"/>
        </c:dLbls>
        <c:axId val="601964152"/>
        <c:axId val="601965464"/>
      </c:scatterChart>
      <c:valAx>
        <c:axId val="601964152"/>
        <c:scaling>
          <c:orientation val="minMax"/>
          <c:max val="13"/>
          <c:min val="4"/>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l-GR" sz="1200" b="0" i="0" baseline="0">
                    <a:solidFill>
                      <a:schemeClr val="tx1"/>
                    </a:solidFill>
                    <a:effectLst/>
                  </a:rPr>
                  <a:t>α</a:t>
                </a:r>
                <a:r>
                  <a:rPr lang="en-US" sz="1200" b="0" i="0" baseline="0">
                    <a:solidFill>
                      <a:schemeClr val="tx1"/>
                    </a:solidFill>
                    <a:effectLst/>
                  </a:rPr>
                  <a:t> (= pK</a:t>
                </a:r>
                <a:r>
                  <a:rPr lang="en-US" sz="1200" b="0" i="0" baseline="-25000">
                    <a:solidFill>
                      <a:schemeClr val="tx1"/>
                    </a:solidFill>
                    <a:effectLst/>
                  </a:rPr>
                  <a:t>a</a:t>
                </a:r>
                <a:r>
                  <a:rPr lang="en-US" sz="1200" b="0" i="0" baseline="0">
                    <a:solidFill>
                      <a:schemeClr val="tx1"/>
                    </a:solidFill>
                    <a:effectLst/>
                  </a:rPr>
                  <a:t> - logS</a:t>
                </a:r>
                <a:r>
                  <a:rPr lang="en-US" sz="1200" b="0" i="0" baseline="-25000">
                    <a:solidFill>
                      <a:schemeClr val="tx1"/>
                    </a:solidFill>
                    <a:effectLst/>
                  </a:rPr>
                  <a:t>o</a:t>
                </a:r>
                <a:r>
                  <a:rPr lang="en-US" sz="1200" b="0" i="0" baseline="0">
                    <a:solidFill>
                      <a:schemeClr val="tx1"/>
                    </a:solidFill>
                    <a:effectLst/>
                  </a:rPr>
                  <a:t>)</a:t>
                </a:r>
                <a:endParaRPr lang="en-US" sz="1200">
                  <a:solidFill>
                    <a:schemeClr val="tx1"/>
                  </a:solidFill>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5464"/>
        <c:crosses val="autoZero"/>
        <c:crossBetween val="midCat"/>
        <c:majorUnit val="1"/>
      </c:valAx>
      <c:valAx>
        <c:axId val="601965464"/>
        <c:scaling>
          <c:orientation val="minMax"/>
          <c:min val="1"/>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Relative</a:t>
                </a:r>
                <a:r>
                  <a:rPr lang="en-US" sz="1200" baseline="0">
                    <a:solidFill>
                      <a:schemeClr val="tx1"/>
                    </a:solidFill>
                  </a:rPr>
                  <a:t> dissolution rate (</a:t>
                </a:r>
                <a:r>
                  <a:rPr lang="en-US" sz="1200">
                    <a:solidFill>
                      <a:schemeClr val="tx1"/>
                    </a:solidFill>
                  </a:rPr>
                  <a:t>50 mM/1 mM)</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4152"/>
        <c:crosses val="autoZero"/>
        <c:crossBetween val="midCat"/>
      </c:valAx>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pH 5.5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strRef>
              <c:f>'weak bases'!$B$22</c:f>
              <c:strCache>
                <c:ptCount val="1"/>
                <c:pt idx="0">
                  <c:v>6</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'weak bases'!$E$22:$E$26</c:f>
              <c:numCache>
                <c:formatCode>0</c:formatCode>
                <c:ptCount val="5"/>
                <c:pt idx="0">
                  <c:v>13.59</c:v>
                </c:pt>
                <c:pt idx="1">
                  <c:v>12.59</c:v>
                </c:pt>
                <c:pt idx="2">
                  <c:v>11.59</c:v>
                </c:pt>
                <c:pt idx="3">
                  <c:v>10.59</c:v>
                </c:pt>
                <c:pt idx="4">
                  <c:v>9.59</c:v>
                </c:pt>
              </c:numCache>
            </c:numRef>
          </c:xVal>
          <c:yVal>
            <c:numRef>
              <c:f>'weak bases'!$J$22:$J$26</c:f>
              <c:numCache>
                <c:formatCode>0.0</c:formatCode>
                <c:ptCount val="5"/>
                <c:pt idx="0">
                  <c:v>1.0209731543624161</c:v>
                </c:pt>
                <c:pt idx="1">
                  <c:v>1.1740528178130663</c:v>
                </c:pt>
                <c:pt idx="2">
                  <c:v>1.7544876493752235</c:v>
                </c:pt>
                <c:pt idx="3">
                  <c:v>2.1363860032804811</c:v>
                </c:pt>
                <c:pt idx="4">
                  <c:v>1.6756191869578849</c:v>
                </c:pt>
              </c:numCache>
            </c:numRef>
          </c:yVal>
          <c:smooth val="1"/>
          <c:extLst>
            <c:ext xmlns:c16="http://schemas.microsoft.com/office/drawing/2014/chart" uri="{C3380CC4-5D6E-409C-BE32-E72D297353CC}">
              <c16:uniqueId val="{00000000-85EF-4231-9ADD-6CF54DEC4EF6}"/>
            </c:ext>
          </c:extLst>
        </c:ser>
        <c:ser>
          <c:idx val="2"/>
          <c:order val="1"/>
          <c:tx>
            <c:strRef>
              <c:f>'weak bases'!$B$2</c:f>
              <c:strCache>
                <c:ptCount val="1"/>
                <c:pt idx="0">
                  <c:v>7</c:v>
                </c:pt>
              </c:strCache>
            </c:strRef>
          </c:tx>
          <c:spPr>
            <a:ln w="19050" cap="rnd">
              <a:solidFill>
                <a:schemeClr val="accent3"/>
              </a:solidFill>
              <a:prstDash val="lgDashDot"/>
              <a:round/>
            </a:ln>
            <a:effectLst/>
          </c:spPr>
          <c:marker>
            <c:symbol val="circle"/>
            <c:size val="5"/>
            <c:spPr>
              <a:solidFill>
                <a:schemeClr val="accent3"/>
              </a:solidFill>
              <a:ln w="9525">
                <a:solidFill>
                  <a:schemeClr val="accent3"/>
                </a:solidFill>
              </a:ln>
              <a:effectLst/>
            </c:spPr>
          </c:marker>
          <c:xVal>
            <c:numRef>
              <c:f>'weak bases'!$E$2:$E$7</c:f>
              <c:numCache>
                <c:formatCode>0.0</c:formatCode>
                <c:ptCount val="6"/>
                <c:pt idx="0">
                  <c:v>12.59</c:v>
                </c:pt>
                <c:pt idx="1">
                  <c:v>11.59</c:v>
                </c:pt>
                <c:pt idx="2">
                  <c:v>10.59</c:v>
                </c:pt>
                <c:pt idx="3">
                  <c:v>9.59</c:v>
                </c:pt>
                <c:pt idx="4">
                  <c:v>8.59</c:v>
                </c:pt>
                <c:pt idx="5">
                  <c:v>7.59</c:v>
                </c:pt>
              </c:numCache>
            </c:numRef>
          </c:xVal>
          <c:yVal>
            <c:numRef>
              <c:f>'weak bases'!$J$2:$J$7</c:f>
              <c:numCache>
                <c:formatCode>0.0</c:formatCode>
                <c:ptCount val="6"/>
                <c:pt idx="0">
                  <c:v>1.2339121108470057</c:v>
                </c:pt>
                <c:pt idx="1">
                  <c:v>2.2660393009353279</c:v>
                </c:pt>
                <c:pt idx="2">
                  <c:v>4.2274068322981364</c:v>
                </c:pt>
                <c:pt idx="3">
                  <c:v>4.8734796588843841</c:v>
                </c:pt>
                <c:pt idx="4">
                  <c:v>3.0788618158662064</c:v>
                </c:pt>
                <c:pt idx="5">
                  <c:v>1.4919412138663477</c:v>
                </c:pt>
              </c:numCache>
            </c:numRef>
          </c:yVal>
          <c:smooth val="1"/>
          <c:extLst>
            <c:ext xmlns:c16="http://schemas.microsoft.com/office/drawing/2014/chart" uri="{C3380CC4-5D6E-409C-BE32-E72D297353CC}">
              <c16:uniqueId val="{00000001-85EF-4231-9ADD-6CF54DEC4EF6}"/>
            </c:ext>
          </c:extLst>
        </c:ser>
        <c:ser>
          <c:idx val="3"/>
          <c:order val="2"/>
          <c:tx>
            <c:strRef>
              <c:f>'weak bases'!$B$52</c:f>
              <c:strCache>
                <c:ptCount val="1"/>
                <c:pt idx="0">
                  <c:v>8</c:v>
                </c:pt>
              </c:strCache>
            </c:strRef>
          </c:tx>
          <c:spPr>
            <a:ln w="19050" cap="rnd">
              <a:solidFill>
                <a:schemeClr val="accent6"/>
              </a:solidFill>
              <a:prstDash val="sysDash"/>
              <a:round/>
            </a:ln>
            <a:effectLst/>
          </c:spPr>
          <c:marker>
            <c:symbol val="circle"/>
            <c:size val="5"/>
            <c:spPr>
              <a:solidFill>
                <a:schemeClr val="accent6"/>
              </a:solidFill>
              <a:ln w="9525">
                <a:solidFill>
                  <a:schemeClr val="accent6"/>
                </a:solidFill>
              </a:ln>
              <a:effectLst/>
            </c:spPr>
          </c:marker>
          <c:xVal>
            <c:numRef>
              <c:f>'weak bases'!$E$52:$E$57</c:f>
              <c:numCache>
                <c:formatCode>0</c:formatCode>
                <c:ptCount val="6"/>
                <c:pt idx="0">
                  <c:v>11.59</c:v>
                </c:pt>
                <c:pt idx="1">
                  <c:v>10.59</c:v>
                </c:pt>
                <c:pt idx="2">
                  <c:v>9.59</c:v>
                </c:pt>
                <c:pt idx="3">
                  <c:v>8.59</c:v>
                </c:pt>
                <c:pt idx="4">
                  <c:v>7.59</c:v>
                </c:pt>
                <c:pt idx="5" formatCode="General">
                  <c:v>6.59</c:v>
                </c:pt>
              </c:numCache>
            </c:numRef>
          </c:xVal>
          <c:yVal>
            <c:numRef>
              <c:f>'weak bases'!$J$52:$J$57</c:f>
              <c:numCache>
                <c:formatCode>0.0</c:formatCode>
                <c:ptCount val="6"/>
                <c:pt idx="0">
                  <c:v>2.3581049983124176</c:v>
                </c:pt>
                <c:pt idx="1">
                  <c:v>4.9551855375832536</c:v>
                </c:pt>
                <c:pt idx="2">
                  <c:v>8.3546319821015498</c:v>
                </c:pt>
                <c:pt idx="3">
                  <c:v>11.10651263584964</c:v>
                </c:pt>
                <c:pt idx="4">
                  <c:v>5.3265802802078532</c:v>
                </c:pt>
                <c:pt idx="5">
                  <c:v>1.6269393511988717</c:v>
                </c:pt>
              </c:numCache>
            </c:numRef>
          </c:yVal>
          <c:smooth val="1"/>
          <c:extLst>
            <c:ext xmlns:c16="http://schemas.microsoft.com/office/drawing/2014/chart" uri="{C3380CC4-5D6E-409C-BE32-E72D297353CC}">
              <c16:uniqueId val="{00000002-85EF-4231-9ADD-6CF54DEC4EF6}"/>
            </c:ext>
          </c:extLst>
        </c:ser>
        <c:ser>
          <c:idx val="1"/>
          <c:order val="3"/>
          <c:tx>
            <c:strRef>
              <c:f>'weak bases'!$B$72</c:f>
              <c:strCache>
                <c:ptCount val="1"/>
                <c:pt idx="0">
                  <c:v>9</c:v>
                </c:pt>
              </c:strCache>
            </c:strRef>
          </c:tx>
          <c:spPr>
            <a:ln w="19050" cap="rnd">
              <a:solidFill>
                <a:schemeClr val="accent2"/>
              </a:solidFill>
              <a:prstDash val="lgDash"/>
              <a:round/>
            </a:ln>
            <a:effectLst/>
          </c:spPr>
          <c:marker>
            <c:symbol val="circle"/>
            <c:size val="5"/>
            <c:spPr>
              <a:solidFill>
                <a:schemeClr val="accent2"/>
              </a:solidFill>
              <a:ln w="9525">
                <a:solidFill>
                  <a:schemeClr val="accent2"/>
                </a:solidFill>
              </a:ln>
              <a:effectLst/>
            </c:spPr>
          </c:marker>
          <c:xVal>
            <c:numRef>
              <c:f>'weak bases'!$E$72:$E$77</c:f>
              <c:numCache>
                <c:formatCode>0</c:formatCode>
                <c:ptCount val="6"/>
                <c:pt idx="0">
                  <c:v>10.59</c:v>
                </c:pt>
                <c:pt idx="1">
                  <c:v>9.59</c:v>
                </c:pt>
                <c:pt idx="2">
                  <c:v>8.59</c:v>
                </c:pt>
                <c:pt idx="3">
                  <c:v>7.59</c:v>
                </c:pt>
                <c:pt idx="4">
                  <c:v>6.59</c:v>
                </c:pt>
                <c:pt idx="5">
                  <c:v>5.59</c:v>
                </c:pt>
              </c:numCache>
            </c:numRef>
          </c:xVal>
          <c:yVal>
            <c:numRef>
              <c:f>'weak bases'!$J$72:$J$77</c:f>
              <c:numCache>
                <c:formatCode>0.0</c:formatCode>
                <c:ptCount val="6"/>
                <c:pt idx="0">
                  <c:v>5.0464323956001174</c:v>
                </c:pt>
                <c:pt idx="1">
                  <c:v>9.0808716303487351</c:v>
                </c:pt>
                <c:pt idx="2">
                  <c:v>17.464497119953283</c:v>
                </c:pt>
                <c:pt idx="3">
                  <c:v>20.617357590217715</c:v>
                </c:pt>
                <c:pt idx="4">
                  <c:v>6.2094809240354065</c:v>
                </c:pt>
                <c:pt idx="5">
                  <c:v>1.6081578188113099</c:v>
                </c:pt>
              </c:numCache>
            </c:numRef>
          </c:yVal>
          <c:smooth val="1"/>
          <c:extLst>
            <c:ext xmlns:c16="http://schemas.microsoft.com/office/drawing/2014/chart" uri="{C3380CC4-5D6E-409C-BE32-E72D297353CC}">
              <c16:uniqueId val="{00000003-85EF-4231-9ADD-6CF54DEC4EF6}"/>
            </c:ext>
          </c:extLst>
        </c:ser>
        <c:ser>
          <c:idx val="4"/>
          <c:order val="4"/>
          <c:spPr>
            <a:ln w="19050" cap="rnd">
              <a:solidFill>
                <a:schemeClr val="tx1"/>
              </a:solidFill>
              <a:prstDash val="lgDash"/>
              <a:round/>
            </a:ln>
            <a:effectLst/>
          </c:spPr>
          <c:marker>
            <c:symbol val="circle"/>
            <c:size val="5"/>
            <c:spPr>
              <a:solidFill>
                <a:schemeClr val="accent5"/>
              </a:solidFill>
              <a:ln w="9525">
                <a:solidFill>
                  <a:schemeClr val="accent5"/>
                </a:solidFill>
              </a:ln>
              <a:effectLst/>
            </c:spPr>
          </c:marker>
          <c:xVal>
            <c:numRef>
              <c:f>'weak bases'!$Q$41:$Q$42</c:f>
              <c:numCache>
                <c:formatCode>General</c:formatCode>
                <c:ptCount val="2"/>
                <c:pt idx="0">
                  <c:v>5</c:v>
                </c:pt>
                <c:pt idx="1">
                  <c:v>14</c:v>
                </c:pt>
              </c:numCache>
            </c:numRef>
          </c:xVal>
          <c:yVal>
            <c:numRef>
              <c:f>'weak bases'!$R$41:$R$42</c:f>
              <c:numCache>
                <c:formatCode>General</c:formatCode>
                <c:ptCount val="2"/>
                <c:pt idx="0">
                  <c:v>2</c:v>
                </c:pt>
                <c:pt idx="1">
                  <c:v>2</c:v>
                </c:pt>
              </c:numCache>
            </c:numRef>
          </c:yVal>
          <c:smooth val="1"/>
          <c:extLst>
            <c:ext xmlns:c16="http://schemas.microsoft.com/office/drawing/2014/chart" uri="{C3380CC4-5D6E-409C-BE32-E72D297353CC}">
              <c16:uniqueId val="{00000004-85EF-4231-9ADD-6CF54DEC4EF6}"/>
            </c:ext>
          </c:extLst>
        </c:ser>
        <c:dLbls>
          <c:showLegendKey val="0"/>
          <c:showVal val="0"/>
          <c:showCatName val="0"/>
          <c:showSerName val="0"/>
          <c:showPercent val="0"/>
          <c:showBubbleSize val="0"/>
        </c:dLbls>
        <c:axId val="601964152"/>
        <c:axId val="601965464"/>
      </c:scatterChart>
      <c:valAx>
        <c:axId val="601964152"/>
        <c:scaling>
          <c:orientation val="minMax"/>
          <c:max val="13"/>
          <c:min val="5"/>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l-GR" sz="1200"/>
                  <a:t>β</a:t>
                </a:r>
                <a:r>
                  <a:rPr lang="en-US" sz="1200"/>
                  <a:t> (= pK</a:t>
                </a:r>
                <a:r>
                  <a:rPr lang="en-US" sz="1200" baseline="-25000"/>
                  <a:t>w</a:t>
                </a:r>
                <a:r>
                  <a:rPr lang="en-US" sz="1200"/>
                  <a:t> - pK</a:t>
                </a:r>
                <a:r>
                  <a:rPr lang="en-US" sz="1200" baseline="-25000"/>
                  <a:t>a</a:t>
                </a:r>
                <a:r>
                  <a:rPr lang="en-US" sz="1200"/>
                  <a:t> - logS</a:t>
                </a:r>
                <a:r>
                  <a:rPr lang="en-US" sz="1200" baseline="-25000"/>
                  <a:t>o</a:t>
                </a:r>
                <a:r>
                  <a:rPr lang="en-US" sz="1200"/>
                  <a:t>)</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5464"/>
        <c:crosses val="autoZero"/>
        <c:crossBetween val="midCat"/>
        <c:majorUnit val="1"/>
      </c:valAx>
      <c:valAx>
        <c:axId val="601965464"/>
        <c:scaling>
          <c:orientation val="minMax"/>
          <c:min val="1"/>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t>Relative dissolution rate</a:t>
                </a:r>
              </a:p>
              <a:p>
                <a:pPr>
                  <a:defRPr sz="1200"/>
                </a:pPr>
                <a:r>
                  <a:rPr lang="en-US" sz="1200"/>
                  <a:t> (50 mM/1 mM)</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4152"/>
        <c:crosses val="autoZero"/>
        <c:crossBetween val="midCat"/>
      </c:valAx>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pH 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strRef>
              <c:f>'weak bases'!$B$34</c:f>
              <c:strCache>
                <c:ptCount val="1"/>
                <c:pt idx="0">
                  <c:v>6</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'weak bases'!$E$34:$E$38</c:f>
              <c:numCache>
                <c:formatCode>0</c:formatCode>
                <c:ptCount val="5"/>
                <c:pt idx="0">
                  <c:v>13.59</c:v>
                </c:pt>
                <c:pt idx="1">
                  <c:v>12.59</c:v>
                </c:pt>
                <c:pt idx="2">
                  <c:v>11.59</c:v>
                </c:pt>
                <c:pt idx="3">
                  <c:v>10.59</c:v>
                </c:pt>
                <c:pt idx="4">
                  <c:v>9.59</c:v>
                </c:pt>
              </c:numCache>
            </c:numRef>
          </c:xVal>
          <c:yVal>
            <c:numRef>
              <c:f>'weak bases'!$J$34:$J$38</c:f>
              <c:numCache>
                <c:formatCode>0.0</c:formatCode>
                <c:ptCount val="5"/>
                <c:pt idx="0">
                  <c:v>1</c:v>
                </c:pt>
                <c:pt idx="1">
                  <c:v>1.0002762526330329</c:v>
                </c:pt>
                <c:pt idx="2">
                  <c:v>1.0024572575621236</c:v>
                </c:pt>
                <c:pt idx="3">
                  <c:v>1.0188267586303974</c:v>
                </c:pt>
                <c:pt idx="4">
                  <c:v>1.0604444117430651</c:v>
                </c:pt>
              </c:numCache>
            </c:numRef>
          </c:yVal>
          <c:smooth val="1"/>
          <c:extLst>
            <c:ext xmlns:c16="http://schemas.microsoft.com/office/drawing/2014/chart" uri="{C3380CC4-5D6E-409C-BE32-E72D297353CC}">
              <c16:uniqueId val="{00000000-C3CA-452E-A8E3-DC938458FA2E}"/>
            </c:ext>
          </c:extLst>
        </c:ser>
        <c:ser>
          <c:idx val="2"/>
          <c:order val="1"/>
          <c:tx>
            <c:strRef>
              <c:f>'weak bases'!$B$15</c:f>
              <c:strCache>
                <c:ptCount val="1"/>
                <c:pt idx="0">
                  <c:v>7</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'weak bases'!$E$15:$E$20</c:f>
              <c:numCache>
                <c:formatCode>0</c:formatCode>
                <c:ptCount val="6"/>
                <c:pt idx="0">
                  <c:v>12.59</c:v>
                </c:pt>
                <c:pt idx="1">
                  <c:v>11.59</c:v>
                </c:pt>
                <c:pt idx="2">
                  <c:v>10.59</c:v>
                </c:pt>
                <c:pt idx="3">
                  <c:v>9.59</c:v>
                </c:pt>
                <c:pt idx="4">
                  <c:v>8.59</c:v>
                </c:pt>
                <c:pt idx="5">
                  <c:v>7.59</c:v>
                </c:pt>
              </c:numCache>
            </c:numRef>
          </c:xVal>
          <c:yVal>
            <c:numRef>
              <c:f>'weak bases'!$J$15:$J$20</c:f>
              <c:numCache>
                <c:formatCode>0.0</c:formatCode>
                <c:ptCount val="6"/>
                <c:pt idx="0">
                  <c:v>1.001407084862429</c:v>
                </c:pt>
                <c:pt idx="1">
                  <c:v>1.0136888717751253</c:v>
                </c:pt>
                <c:pt idx="2">
                  <c:v>1.1131955484896661</c:v>
                </c:pt>
                <c:pt idx="3">
                  <c:v>1.4718568720923555</c:v>
                </c:pt>
                <c:pt idx="4">
                  <c:v>1.5780153331173741</c:v>
                </c:pt>
                <c:pt idx="5">
                  <c:v>1.1904618398252091</c:v>
                </c:pt>
              </c:numCache>
            </c:numRef>
          </c:yVal>
          <c:smooth val="1"/>
          <c:extLst>
            <c:ext xmlns:c16="http://schemas.microsoft.com/office/drawing/2014/chart" uri="{C3380CC4-5D6E-409C-BE32-E72D297353CC}">
              <c16:uniqueId val="{00000001-C3CA-452E-A8E3-DC938458FA2E}"/>
            </c:ext>
          </c:extLst>
        </c:ser>
        <c:ser>
          <c:idx val="1"/>
          <c:order val="2"/>
          <c:tx>
            <c:strRef>
              <c:f>'weak bases'!$B$65</c:f>
              <c:strCache>
                <c:ptCount val="1"/>
                <c:pt idx="0">
                  <c:v>8</c:v>
                </c:pt>
              </c:strCache>
            </c:strRef>
          </c:tx>
          <c:spPr>
            <a:ln w="19050" cap="rnd">
              <a:solidFill>
                <a:schemeClr val="accent2"/>
              </a:solidFill>
              <a:prstDash val="sysDash"/>
              <a:round/>
            </a:ln>
            <a:effectLst/>
          </c:spPr>
          <c:marker>
            <c:symbol val="circle"/>
            <c:size val="5"/>
            <c:spPr>
              <a:solidFill>
                <a:schemeClr val="accent2"/>
              </a:solidFill>
              <a:ln w="9525">
                <a:solidFill>
                  <a:schemeClr val="accent2"/>
                </a:solidFill>
              </a:ln>
              <a:effectLst/>
            </c:spPr>
          </c:marker>
          <c:xVal>
            <c:numRef>
              <c:f>'weak bases'!$E$65:$E$70</c:f>
              <c:numCache>
                <c:formatCode>0</c:formatCode>
                <c:ptCount val="6"/>
                <c:pt idx="0">
                  <c:v>11.59</c:v>
                </c:pt>
                <c:pt idx="1">
                  <c:v>10.59</c:v>
                </c:pt>
                <c:pt idx="2">
                  <c:v>9.59</c:v>
                </c:pt>
                <c:pt idx="3">
                  <c:v>8.59</c:v>
                </c:pt>
                <c:pt idx="4">
                  <c:v>7.59</c:v>
                </c:pt>
                <c:pt idx="5">
                  <c:v>6.59</c:v>
                </c:pt>
              </c:numCache>
            </c:numRef>
          </c:xVal>
          <c:yVal>
            <c:numRef>
              <c:f>'weak bases'!$J$65:$J$70</c:f>
              <c:numCache>
                <c:formatCode>0.0</c:formatCode>
                <c:ptCount val="6"/>
                <c:pt idx="0">
                  <c:v>1.0251770538243625</c:v>
                </c:pt>
                <c:pt idx="1">
                  <c:v>1.227476038338658</c:v>
                </c:pt>
                <c:pt idx="2">
                  <c:v>2.4773422046394535</c:v>
                </c:pt>
                <c:pt idx="3">
                  <c:v>4.9325333659850621</c:v>
                </c:pt>
                <c:pt idx="4">
                  <c:v>2.7764036258871481</c:v>
                </c:pt>
                <c:pt idx="5">
                  <c:v>1.2484416408495389</c:v>
                </c:pt>
              </c:numCache>
            </c:numRef>
          </c:yVal>
          <c:smooth val="1"/>
          <c:extLst>
            <c:ext xmlns:c16="http://schemas.microsoft.com/office/drawing/2014/chart" uri="{C3380CC4-5D6E-409C-BE32-E72D297353CC}">
              <c16:uniqueId val="{00000002-C3CA-452E-A8E3-DC938458FA2E}"/>
            </c:ext>
          </c:extLst>
        </c:ser>
        <c:ser>
          <c:idx val="3"/>
          <c:order val="3"/>
          <c:tx>
            <c:strRef>
              <c:f>'weak bases'!$B$79</c:f>
              <c:strCache>
                <c:ptCount val="1"/>
                <c:pt idx="0">
                  <c:v>9</c:v>
                </c:pt>
              </c:strCache>
            </c:strRef>
          </c:tx>
          <c:spPr>
            <a:ln w="19050" cap="rnd">
              <a:solidFill>
                <a:schemeClr val="accent6"/>
              </a:solidFill>
              <a:prstDash val="lgDash"/>
              <a:round/>
            </a:ln>
            <a:effectLst/>
          </c:spPr>
          <c:marker>
            <c:symbol val="circle"/>
            <c:size val="5"/>
            <c:spPr>
              <a:solidFill>
                <a:schemeClr val="accent6"/>
              </a:solidFill>
              <a:ln w="9525">
                <a:solidFill>
                  <a:schemeClr val="accent6"/>
                </a:solidFill>
              </a:ln>
              <a:effectLst/>
            </c:spPr>
          </c:marker>
          <c:xVal>
            <c:numRef>
              <c:f>'weak bases'!$E$79:$E$84</c:f>
              <c:numCache>
                <c:formatCode>0</c:formatCode>
                <c:ptCount val="6"/>
                <c:pt idx="0">
                  <c:v>10.59</c:v>
                </c:pt>
                <c:pt idx="1">
                  <c:v>9.59</c:v>
                </c:pt>
                <c:pt idx="2">
                  <c:v>8.59</c:v>
                </c:pt>
                <c:pt idx="3">
                  <c:v>7.59</c:v>
                </c:pt>
                <c:pt idx="4">
                  <c:v>6.59</c:v>
                </c:pt>
                <c:pt idx="5" formatCode="General">
                  <c:v>5.59</c:v>
                </c:pt>
              </c:numCache>
            </c:numRef>
          </c:xVal>
          <c:yVal>
            <c:numRef>
              <c:f>'weak bases'!$J$79:$J$84</c:f>
              <c:numCache>
                <c:formatCode>0.0</c:formatCode>
                <c:ptCount val="6"/>
                <c:pt idx="0">
                  <c:v>1.2530206112295663</c:v>
                </c:pt>
                <c:pt idx="1">
                  <c:v>2.8775309657662596</c:v>
                </c:pt>
                <c:pt idx="2">
                  <c:v>10.371753720455208</c:v>
                </c:pt>
                <c:pt idx="3">
                  <c:v>11.616411893163111</c:v>
                </c:pt>
                <c:pt idx="4">
                  <c:v>3.1529777116423512</c:v>
                </c:pt>
                <c:pt idx="5">
                  <c:v>1.2282081008622563</c:v>
                </c:pt>
              </c:numCache>
            </c:numRef>
          </c:yVal>
          <c:smooth val="1"/>
          <c:extLst>
            <c:ext xmlns:c16="http://schemas.microsoft.com/office/drawing/2014/chart" uri="{C3380CC4-5D6E-409C-BE32-E72D297353CC}">
              <c16:uniqueId val="{00000003-C3CA-452E-A8E3-DC938458FA2E}"/>
            </c:ext>
          </c:extLst>
        </c:ser>
        <c:ser>
          <c:idx val="4"/>
          <c:order val="4"/>
          <c:spPr>
            <a:ln w="19050" cap="rnd">
              <a:solidFill>
                <a:schemeClr val="tx1"/>
              </a:solidFill>
              <a:prstDash val="lgDash"/>
              <a:round/>
            </a:ln>
            <a:effectLst/>
          </c:spPr>
          <c:marker>
            <c:symbol val="circle"/>
            <c:size val="5"/>
            <c:spPr>
              <a:solidFill>
                <a:schemeClr val="accent5"/>
              </a:solidFill>
              <a:ln w="9525">
                <a:solidFill>
                  <a:schemeClr val="accent5"/>
                </a:solidFill>
              </a:ln>
              <a:effectLst/>
            </c:spPr>
          </c:marker>
          <c:xVal>
            <c:numRef>
              <c:f>'weak bases'!$Q$41:$Q$42</c:f>
              <c:numCache>
                <c:formatCode>General</c:formatCode>
                <c:ptCount val="2"/>
                <c:pt idx="0">
                  <c:v>5</c:v>
                </c:pt>
                <c:pt idx="1">
                  <c:v>14</c:v>
                </c:pt>
              </c:numCache>
            </c:numRef>
          </c:xVal>
          <c:yVal>
            <c:numRef>
              <c:f>'weak bases'!$R$41:$R$42</c:f>
              <c:numCache>
                <c:formatCode>General</c:formatCode>
                <c:ptCount val="2"/>
                <c:pt idx="0">
                  <c:v>2</c:v>
                </c:pt>
                <c:pt idx="1">
                  <c:v>2</c:v>
                </c:pt>
              </c:numCache>
            </c:numRef>
          </c:yVal>
          <c:smooth val="1"/>
          <c:extLst>
            <c:ext xmlns:c16="http://schemas.microsoft.com/office/drawing/2014/chart" uri="{C3380CC4-5D6E-409C-BE32-E72D297353CC}">
              <c16:uniqueId val="{00000004-C3CA-452E-A8E3-DC938458FA2E}"/>
            </c:ext>
          </c:extLst>
        </c:ser>
        <c:dLbls>
          <c:showLegendKey val="0"/>
          <c:showVal val="0"/>
          <c:showCatName val="0"/>
          <c:showSerName val="0"/>
          <c:showPercent val="0"/>
          <c:showBubbleSize val="0"/>
        </c:dLbls>
        <c:axId val="601964152"/>
        <c:axId val="601965464"/>
      </c:scatterChart>
      <c:valAx>
        <c:axId val="601964152"/>
        <c:scaling>
          <c:orientation val="minMax"/>
          <c:max val="12"/>
          <c:min val="5"/>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l-GR" sz="1200" b="0" i="0" baseline="0">
                    <a:solidFill>
                      <a:schemeClr val="tx1"/>
                    </a:solidFill>
                    <a:effectLst/>
                  </a:rPr>
                  <a:t>β</a:t>
                </a:r>
                <a:r>
                  <a:rPr lang="en-US" sz="1200" b="0" i="0" baseline="0">
                    <a:solidFill>
                      <a:schemeClr val="tx1"/>
                    </a:solidFill>
                    <a:effectLst/>
                  </a:rPr>
                  <a:t> (= pK</a:t>
                </a:r>
                <a:r>
                  <a:rPr lang="en-US" sz="1200" b="0" i="0" baseline="-25000">
                    <a:solidFill>
                      <a:schemeClr val="tx1"/>
                    </a:solidFill>
                    <a:effectLst/>
                  </a:rPr>
                  <a:t>w</a:t>
                </a:r>
                <a:r>
                  <a:rPr lang="en-US" sz="1200" b="0" i="0" baseline="0">
                    <a:solidFill>
                      <a:schemeClr val="tx1"/>
                    </a:solidFill>
                    <a:effectLst/>
                  </a:rPr>
                  <a:t> - pK</a:t>
                </a:r>
                <a:r>
                  <a:rPr lang="en-US" sz="1200" b="0" i="0" baseline="-25000">
                    <a:solidFill>
                      <a:schemeClr val="tx1"/>
                    </a:solidFill>
                    <a:effectLst/>
                  </a:rPr>
                  <a:t>a</a:t>
                </a:r>
                <a:r>
                  <a:rPr lang="en-US" sz="1200" b="0" i="0" baseline="0">
                    <a:solidFill>
                      <a:schemeClr val="tx1"/>
                    </a:solidFill>
                    <a:effectLst/>
                  </a:rPr>
                  <a:t> - logS</a:t>
                </a:r>
                <a:r>
                  <a:rPr lang="en-US" sz="1200" b="0" i="0" baseline="-25000">
                    <a:solidFill>
                      <a:schemeClr val="tx1"/>
                    </a:solidFill>
                    <a:effectLst/>
                  </a:rPr>
                  <a:t>o</a:t>
                </a:r>
                <a:r>
                  <a:rPr lang="en-US" sz="1200" b="0" i="0" baseline="0">
                    <a:solidFill>
                      <a:schemeClr val="tx1"/>
                    </a:solidFill>
                    <a:effectLst/>
                  </a:rPr>
                  <a:t>)</a:t>
                </a:r>
                <a:endParaRPr lang="en-US" sz="1200">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5464"/>
        <c:crosses val="autoZero"/>
        <c:crossBetween val="midCat"/>
        <c:majorUnit val="1"/>
      </c:valAx>
      <c:valAx>
        <c:axId val="601965464"/>
        <c:scaling>
          <c:orientation val="minMax"/>
          <c:min val="1"/>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i="0" baseline="0">
                    <a:solidFill>
                      <a:schemeClr val="tx1"/>
                    </a:solidFill>
                    <a:effectLst/>
                  </a:rPr>
                  <a:t>Relative dissolution rate</a:t>
                </a:r>
              </a:p>
              <a:p>
                <a:pPr>
                  <a:defRPr sz="1200">
                    <a:solidFill>
                      <a:schemeClr val="tx1"/>
                    </a:solidFill>
                  </a:defRPr>
                </a:pPr>
                <a:r>
                  <a:rPr lang="en-US" sz="1200" b="0" i="0" baseline="0">
                    <a:solidFill>
                      <a:schemeClr val="tx1"/>
                    </a:solidFill>
                    <a:effectLst/>
                  </a:rPr>
                  <a:t> (50 mM/1 mM)</a:t>
                </a:r>
                <a:endParaRPr lang="en-US" sz="1200">
                  <a:solidFill>
                    <a:schemeClr val="tx1"/>
                  </a:solidFill>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01964152"/>
        <c:crosses val="autoZero"/>
        <c:crossBetween val="midCat"/>
      </c:valAx>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smoothMarker"/>
        <c:varyColors val="0"/>
        <c:ser>
          <c:idx val="1"/>
          <c:order val="0"/>
          <c:tx>
            <c:v>5.5</c:v>
          </c:tx>
          <c:spPr>
            <a:ln w="50800">
              <a:solidFill>
                <a:schemeClr val="accent1"/>
              </a:solidFill>
            </a:ln>
          </c:spPr>
          <c:marker>
            <c:symbol val="none"/>
          </c:marker>
          <c:xVal>
            <c:numRef>
              <c:f>'Maleate acid'!$O$67:$O$74</c:f>
              <c:numCache>
                <c:formatCode>0.0</c:formatCode>
                <c:ptCount val="8"/>
                <c:pt idx="0">
                  <c:v>11</c:v>
                </c:pt>
                <c:pt idx="1">
                  <c:v>10</c:v>
                </c:pt>
                <c:pt idx="2">
                  <c:v>9</c:v>
                </c:pt>
                <c:pt idx="3">
                  <c:v>8</c:v>
                </c:pt>
                <c:pt idx="4">
                  <c:v>7</c:v>
                </c:pt>
                <c:pt idx="5">
                  <c:v>6</c:v>
                </c:pt>
                <c:pt idx="6">
                  <c:v>5</c:v>
                </c:pt>
                <c:pt idx="7">
                  <c:v>4</c:v>
                </c:pt>
              </c:numCache>
            </c:numRef>
          </c:xVal>
          <c:yVal>
            <c:numRef>
              <c:f>'Maleate acid'!$T$67:$T$74</c:f>
              <c:numCache>
                <c:formatCode>General</c:formatCode>
                <c:ptCount val="8"/>
                <c:pt idx="0">
                  <c:v>1.8</c:v>
                </c:pt>
                <c:pt idx="1">
                  <c:v>1.8</c:v>
                </c:pt>
                <c:pt idx="2">
                  <c:v>1.9</c:v>
                </c:pt>
                <c:pt idx="3">
                  <c:v>3.5</c:v>
                </c:pt>
                <c:pt idx="4">
                  <c:v>7.7</c:v>
                </c:pt>
                <c:pt idx="5">
                  <c:v>13.5</c:v>
                </c:pt>
                <c:pt idx="6">
                  <c:v>17.5</c:v>
                </c:pt>
                <c:pt idx="7">
                  <c:v>18.100000000000001</c:v>
                </c:pt>
              </c:numCache>
            </c:numRef>
          </c:yVal>
          <c:smooth val="1"/>
          <c:extLst>
            <c:ext xmlns:c16="http://schemas.microsoft.com/office/drawing/2014/chart" uri="{C3380CC4-5D6E-409C-BE32-E72D297353CC}">
              <c16:uniqueId val="{00000000-66B5-4BE5-B558-D24A2D6A9A8B}"/>
            </c:ext>
          </c:extLst>
        </c:ser>
        <c:dLbls>
          <c:showLegendKey val="0"/>
          <c:showVal val="0"/>
          <c:showCatName val="0"/>
          <c:showSerName val="0"/>
          <c:showPercent val="0"/>
          <c:showBubbleSize val="0"/>
        </c:dLbls>
        <c:axId val="594317320"/>
        <c:axId val="594318496"/>
      </c:scatterChart>
      <c:valAx>
        <c:axId val="594317320"/>
        <c:scaling>
          <c:orientation val="minMax"/>
          <c:max val="11"/>
          <c:min val="4"/>
        </c:scaling>
        <c:delete val="0"/>
        <c:axPos val="b"/>
        <c:title>
          <c:tx>
            <c:rich>
              <a:bodyPr/>
              <a:lstStyle/>
              <a:p>
                <a:pPr>
                  <a:defRPr/>
                </a:pPr>
                <a:r>
                  <a:rPr lang="el-GR"/>
                  <a:t>α</a:t>
                </a:r>
                <a:endParaRPr lang="en-US"/>
              </a:p>
            </c:rich>
          </c:tx>
          <c:overlay val="0"/>
        </c:title>
        <c:numFmt formatCode="0" sourceLinked="0"/>
        <c:majorTickMark val="out"/>
        <c:minorTickMark val="none"/>
        <c:tickLblPos val="nextTo"/>
        <c:crossAx val="594318496"/>
        <c:crosses val="autoZero"/>
        <c:crossBetween val="midCat"/>
      </c:valAx>
      <c:valAx>
        <c:axId val="594318496"/>
        <c:scaling>
          <c:orientation val="minMax"/>
        </c:scaling>
        <c:delete val="0"/>
        <c:axPos val="l"/>
        <c:title>
          <c:tx>
            <c:rich>
              <a:bodyPr rot="-5400000" vert="horz"/>
              <a:lstStyle/>
              <a:p>
                <a:pPr>
                  <a:defRPr/>
                </a:pPr>
                <a:r>
                  <a:rPr lang="en-US"/>
                  <a:t>Equivalent maleate concentration, mM</a:t>
                </a:r>
              </a:p>
            </c:rich>
          </c:tx>
          <c:overlay val="0"/>
        </c:title>
        <c:numFmt formatCode="General" sourceLinked="1"/>
        <c:majorTickMark val="out"/>
        <c:minorTickMark val="none"/>
        <c:tickLblPos val="nextTo"/>
        <c:crossAx val="594317320"/>
        <c:crosses val="autoZero"/>
        <c:crossBetween val="midCat"/>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smoothMarker"/>
        <c:varyColors val="0"/>
        <c:ser>
          <c:idx val="1"/>
          <c:order val="0"/>
          <c:tx>
            <c:v>Basic drug</c:v>
          </c:tx>
          <c:spPr>
            <a:ln w="50800" cmpd="sng"/>
          </c:spPr>
          <c:marker>
            <c:symbol val="none"/>
          </c:marker>
          <c:xVal>
            <c:numRef>
              <c:f>'Maleate base'!$J$3:$J$13</c:f>
              <c:numCache>
                <c:formatCode>0.0</c:formatCode>
                <c:ptCount val="11"/>
                <c:pt idx="0">
                  <c:v>14</c:v>
                </c:pt>
                <c:pt idx="1">
                  <c:v>13.5901</c:v>
                </c:pt>
                <c:pt idx="2">
                  <c:v>12.5901</c:v>
                </c:pt>
                <c:pt idx="3">
                  <c:v>11.5901</c:v>
                </c:pt>
                <c:pt idx="4">
                  <c:v>10.9901</c:v>
                </c:pt>
                <c:pt idx="5">
                  <c:v>10.5901</c:v>
                </c:pt>
                <c:pt idx="6">
                  <c:v>10.0901</c:v>
                </c:pt>
                <c:pt idx="7">
                  <c:v>9.5900999999999996</c:v>
                </c:pt>
                <c:pt idx="8">
                  <c:v>7.5900999999999996</c:v>
                </c:pt>
                <c:pt idx="9">
                  <c:v>6.0900999999999996</c:v>
                </c:pt>
                <c:pt idx="10">
                  <c:v>4</c:v>
                </c:pt>
              </c:numCache>
            </c:numRef>
          </c:xVal>
          <c:yVal>
            <c:numRef>
              <c:f>'Maleate base'!$K$3:$K$13</c:f>
              <c:numCache>
                <c:formatCode>General</c:formatCode>
                <c:ptCount val="11"/>
                <c:pt idx="0">
                  <c:v>1.4</c:v>
                </c:pt>
                <c:pt idx="1">
                  <c:v>1.4</c:v>
                </c:pt>
                <c:pt idx="2">
                  <c:v>1.4</c:v>
                </c:pt>
                <c:pt idx="3">
                  <c:v>1.3</c:v>
                </c:pt>
                <c:pt idx="4">
                  <c:v>0.92</c:v>
                </c:pt>
                <c:pt idx="5">
                  <c:v>0.71</c:v>
                </c:pt>
                <c:pt idx="6">
                  <c:v>0.61</c:v>
                </c:pt>
                <c:pt idx="7">
                  <c:v>0.55000000000000004</c:v>
                </c:pt>
                <c:pt idx="8">
                  <c:v>0.47</c:v>
                </c:pt>
                <c:pt idx="9">
                  <c:v>0.47</c:v>
                </c:pt>
                <c:pt idx="10">
                  <c:v>0.47</c:v>
                </c:pt>
              </c:numCache>
            </c:numRef>
          </c:yVal>
          <c:smooth val="1"/>
          <c:extLst>
            <c:ext xmlns:c16="http://schemas.microsoft.com/office/drawing/2014/chart" uri="{C3380CC4-5D6E-409C-BE32-E72D297353CC}">
              <c16:uniqueId val="{00000000-DAE6-4D8F-B2B1-702101E8EFD2}"/>
            </c:ext>
          </c:extLst>
        </c:ser>
        <c:dLbls>
          <c:showLegendKey val="0"/>
          <c:showVal val="0"/>
          <c:showCatName val="0"/>
          <c:showSerName val="0"/>
          <c:showPercent val="0"/>
          <c:showBubbleSize val="0"/>
        </c:dLbls>
        <c:axId val="595364096"/>
        <c:axId val="595364488"/>
      </c:scatterChart>
      <c:valAx>
        <c:axId val="595364096"/>
        <c:scaling>
          <c:orientation val="minMax"/>
          <c:max val="14"/>
          <c:min val="4"/>
        </c:scaling>
        <c:delete val="0"/>
        <c:axPos val="b"/>
        <c:title>
          <c:tx>
            <c:rich>
              <a:bodyPr/>
              <a:lstStyle/>
              <a:p>
                <a:pPr>
                  <a:defRPr sz="1400"/>
                </a:pPr>
                <a:r>
                  <a:rPr lang="el-GR" sz="1200">
                    <a:latin typeface="Calibri" panose="020F0502020204030204" pitchFamily="34" charset="0"/>
                    <a:cs typeface="Calibri" panose="020F0502020204030204" pitchFamily="34" charset="0"/>
                  </a:rPr>
                  <a:t>β</a:t>
                </a:r>
                <a:endParaRPr lang="en-US" sz="1200"/>
              </a:p>
            </c:rich>
          </c:tx>
          <c:overlay val="0"/>
        </c:title>
        <c:numFmt formatCode="0" sourceLinked="0"/>
        <c:majorTickMark val="out"/>
        <c:minorTickMark val="none"/>
        <c:tickLblPos val="nextTo"/>
        <c:txPr>
          <a:bodyPr/>
          <a:lstStyle/>
          <a:p>
            <a:pPr>
              <a:defRPr sz="1100"/>
            </a:pPr>
            <a:endParaRPr lang="en-US"/>
          </a:p>
        </c:txPr>
        <c:crossAx val="595364488"/>
        <c:crosses val="autoZero"/>
        <c:crossBetween val="midCat"/>
      </c:valAx>
      <c:valAx>
        <c:axId val="595364488"/>
        <c:scaling>
          <c:orientation val="minMax"/>
        </c:scaling>
        <c:delete val="0"/>
        <c:axPos val="l"/>
        <c:majorGridlines>
          <c:spPr>
            <a:ln>
              <a:noFill/>
            </a:ln>
          </c:spPr>
        </c:majorGridlines>
        <c:title>
          <c:tx>
            <c:rich>
              <a:bodyPr rot="-5400000" vert="horz"/>
              <a:lstStyle/>
              <a:p>
                <a:pPr>
                  <a:defRPr sz="1400"/>
                </a:pPr>
                <a:r>
                  <a:rPr lang="en-US" sz="1200"/>
                  <a:t>Equivalent</a:t>
                </a:r>
                <a:r>
                  <a:rPr lang="en-US" sz="1200" baseline="0"/>
                  <a:t> m</a:t>
                </a:r>
                <a:r>
                  <a:rPr lang="en-US" sz="1200"/>
                  <a:t>aleate conentration (mM)</a:t>
                </a:r>
              </a:p>
            </c:rich>
          </c:tx>
          <c:overlay val="0"/>
        </c:title>
        <c:numFmt formatCode="#,##0.0" sourceLinked="0"/>
        <c:majorTickMark val="out"/>
        <c:minorTickMark val="none"/>
        <c:tickLblPos val="nextTo"/>
        <c:txPr>
          <a:bodyPr/>
          <a:lstStyle/>
          <a:p>
            <a:pPr>
              <a:defRPr sz="1100"/>
            </a:pPr>
            <a:endParaRPr lang="en-US"/>
          </a:p>
        </c:txPr>
        <c:crossAx val="595364096"/>
        <c:crosses val="autoZero"/>
        <c:crossBetween val="midCat"/>
      </c:valAx>
    </c:plotArea>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0.72985</cdr:x>
      <cdr:y>0.00093</cdr:y>
    </cdr:from>
    <cdr:to>
      <cdr:x>0.78652</cdr:x>
      <cdr:y>0.19751</cdr:y>
    </cdr:to>
    <cdr:sp macro="" textlink="">
      <cdr:nvSpPr>
        <cdr:cNvPr id="4" name="Text Box 1"/>
        <cdr:cNvSpPr txBox="1"/>
      </cdr:nvSpPr>
      <cdr:spPr>
        <a:xfrm xmlns:a="http://schemas.openxmlformats.org/drawingml/2006/main" rot="18127975">
          <a:off x="3610167" y="197065"/>
          <a:ext cx="683062" cy="2953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1"/>
              </a:solidFill>
            </a:rPr>
            <a:t>pK</a:t>
          </a:r>
          <a:r>
            <a:rPr lang="en-US" sz="1100" b="1" baseline="-25000">
              <a:solidFill>
                <a:schemeClr val="accent1"/>
              </a:solidFill>
            </a:rPr>
            <a:t>a</a:t>
          </a:r>
          <a:r>
            <a:rPr lang="en-US" sz="1100" b="1">
              <a:solidFill>
                <a:schemeClr val="accent1"/>
              </a:solidFill>
            </a:rPr>
            <a:t> = 4</a:t>
          </a:r>
        </a:p>
      </cdr:txBody>
    </cdr:sp>
  </cdr:relSizeAnchor>
  <cdr:relSizeAnchor xmlns:cdr="http://schemas.openxmlformats.org/drawingml/2006/chartDrawing">
    <cdr:from>
      <cdr:x>0.78469</cdr:x>
      <cdr:y>0.13288</cdr:y>
    </cdr:from>
    <cdr:to>
      <cdr:x>0.82751</cdr:x>
      <cdr:y>0.35242</cdr:y>
    </cdr:to>
    <cdr:sp macro="" textlink="">
      <cdr:nvSpPr>
        <cdr:cNvPr id="5" name="Text Box 1"/>
        <cdr:cNvSpPr txBox="1"/>
      </cdr:nvSpPr>
      <cdr:spPr>
        <a:xfrm xmlns:a="http://schemas.openxmlformats.org/drawingml/2006/main" rot="18199775">
          <a:off x="3820023" y="731555"/>
          <a:ext cx="762858" cy="2231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6"/>
              </a:solidFill>
            </a:rPr>
            <a:t>pK</a:t>
          </a:r>
          <a:r>
            <a:rPr lang="en-US" sz="1100" b="1" baseline="-25000">
              <a:solidFill>
                <a:schemeClr val="accent6"/>
              </a:solidFill>
            </a:rPr>
            <a:t>a</a:t>
          </a:r>
          <a:r>
            <a:rPr lang="en-US" sz="1100" b="1">
              <a:solidFill>
                <a:schemeClr val="accent6"/>
              </a:solidFill>
            </a:rPr>
            <a:t> = 5</a:t>
          </a:r>
        </a:p>
      </cdr:txBody>
    </cdr:sp>
  </cdr:relSizeAnchor>
  <cdr:relSizeAnchor xmlns:cdr="http://schemas.openxmlformats.org/drawingml/2006/chartDrawing">
    <cdr:from>
      <cdr:x>0.81806</cdr:x>
      <cdr:y>0.2938</cdr:y>
    </cdr:from>
    <cdr:to>
      <cdr:x>0.86618</cdr:x>
      <cdr:y>0.50312</cdr:y>
    </cdr:to>
    <cdr:sp macro="" textlink="">
      <cdr:nvSpPr>
        <cdr:cNvPr id="6" name="Text Box 1"/>
        <cdr:cNvSpPr txBox="1"/>
      </cdr:nvSpPr>
      <cdr:spPr>
        <a:xfrm xmlns:a="http://schemas.openxmlformats.org/drawingml/2006/main" rot="18216764">
          <a:off x="4008789" y="1322880"/>
          <a:ext cx="760823" cy="2508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2"/>
              </a:solidFill>
            </a:rPr>
            <a:t>pK</a:t>
          </a:r>
          <a:r>
            <a:rPr lang="en-US" sz="1100" b="1" baseline="-25000">
              <a:solidFill>
                <a:schemeClr val="accent2"/>
              </a:solidFill>
            </a:rPr>
            <a:t>a</a:t>
          </a:r>
          <a:r>
            <a:rPr lang="en-US" sz="1100" b="1">
              <a:solidFill>
                <a:schemeClr val="accent2"/>
              </a:solidFill>
            </a:rPr>
            <a:t> = 6</a:t>
          </a:r>
        </a:p>
      </cdr:txBody>
    </cdr:sp>
  </cdr:relSizeAnchor>
  <cdr:relSizeAnchor xmlns:cdr="http://schemas.openxmlformats.org/drawingml/2006/chartDrawing">
    <cdr:from>
      <cdr:x>0.84151</cdr:x>
      <cdr:y>0.4867</cdr:y>
    </cdr:from>
    <cdr:to>
      <cdr:x>0.88957</cdr:x>
      <cdr:y>0.6935</cdr:y>
    </cdr:to>
    <cdr:sp macro="" textlink="">
      <cdr:nvSpPr>
        <cdr:cNvPr id="7" name="Text Box 1"/>
        <cdr:cNvSpPr txBox="1"/>
      </cdr:nvSpPr>
      <cdr:spPr>
        <a:xfrm xmlns:a="http://schemas.openxmlformats.org/drawingml/2006/main" rot="18775745">
          <a:off x="4151953" y="1925179"/>
          <a:ext cx="718587" cy="2505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bg2">
                  <a:lumMod val="50000"/>
                </a:schemeClr>
              </a:solidFill>
            </a:rPr>
            <a:t>pK</a:t>
          </a:r>
          <a:r>
            <a:rPr lang="en-US" sz="1100" b="1" baseline="-25000">
              <a:solidFill>
                <a:schemeClr val="bg2">
                  <a:lumMod val="50000"/>
                </a:schemeClr>
              </a:solidFill>
            </a:rPr>
            <a:t>a</a:t>
          </a:r>
          <a:r>
            <a:rPr lang="en-US" sz="1100" b="1">
              <a:solidFill>
                <a:schemeClr val="bg2">
                  <a:lumMod val="50000"/>
                </a:schemeClr>
              </a:solidFill>
            </a:rPr>
            <a:t> = 7</a:t>
          </a:r>
        </a:p>
      </cdr:txBody>
    </cdr:sp>
  </cdr:relSizeAnchor>
  <cdr:relSizeAnchor xmlns:cdr="http://schemas.openxmlformats.org/drawingml/2006/chartDrawing">
    <cdr:from>
      <cdr:x>0.82729</cdr:x>
      <cdr:y>0.67385</cdr:y>
    </cdr:from>
    <cdr:to>
      <cdr:x>0.94179</cdr:x>
      <cdr:y>0.74286</cdr:y>
    </cdr:to>
    <cdr:sp macro="" textlink="">
      <cdr:nvSpPr>
        <cdr:cNvPr id="8" name="Text Box 1"/>
        <cdr:cNvSpPr txBox="1"/>
      </cdr:nvSpPr>
      <cdr:spPr>
        <a:xfrm xmlns:a="http://schemas.openxmlformats.org/drawingml/2006/main" rot="19958076">
          <a:off x="4311897" y="2449273"/>
          <a:ext cx="596776" cy="2508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tx1">
                  <a:lumMod val="75000"/>
                  <a:lumOff val="25000"/>
                </a:schemeClr>
              </a:solidFill>
            </a:rPr>
            <a:t>pK</a:t>
          </a:r>
          <a:r>
            <a:rPr lang="en-US" sz="1100" b="1" baseline="-25000">
              <a:solidFill>
                <a:schemeClr val="tx1">
                  <a:lumMod val="75000"/>
                  <a:lumOff val="25000"/>
                </a:schemeClr>
              </a:solidFill>
            </a:rPr>
            <a:t>a</a:t>
          </a:r>
          <a:r>
            <a:rPr lang="en-US" sz="1100" b="1">
              <a:solidFill>
                <a:schemeClr val="tx1">
                  <a:lumMod val="75000"/>
                  <a:lumOff val="25000"/>
                </a:schemeClr>
              </a:solidFill>
            </a:rPr>
            <a:t> = 8</a:t>
          </a:r>
        </a:p>
      </cdr:txBody>
    </cdr:sp>
  </cdr:relSizeAnchor>
</c:userShapes>
</file>

<file path=word/drawings/drawing2.xml><?xml version="1.0" encoding="utf-8"?>
<c:userShapes xmlns:c="http://schemas.openxmlformats.org/drawingml/2006/chart">
  <cdr:relSizeAnchor xmlns:cdr="http://schemas.openxmlformats.org/drawingml/2006/chartDrawing">
    <cdr:from>
      <cdr:x>0.4969</cdr:x>
      <cdr:y>0.6244</cdr:y>
    </cdr:from>
    <cdr:to>
      <cdr:x>0.6202</cdr:x>
      <cdr:y>0.69342</cdr:y>
    </cdr:to>
    <cdr:sp macro="" textlink="">
      <cdr:nvSpPr>
        <cdr:cNvPr id="4" name="Text Box 1"/>
        <cdr:cNvSpPr txBox="1"/>
      </cdr:nvSpPr>
      <cdr:spPr>
        <a:xfrm xmlns:a="http://schemas.openxmlformats.org/drawingml/2006/main" rot="2360849">
          <a:off x="2589882" y="2169631"/>
          <a:ext cx="642667" cy="2397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1"/>
              </a:solidFill>
            </a:rPr>
            <a:t>pK</a:t>
          </a:r>
          <a:r>
            <a:rPr lang="en-US" sz="1100" b="1" baseline="-25000">
              <a:solidFill>
                <a:schemeClr val="accent1"/>
              </a:solidFill>
            </a:rPr>
            <a:t>a</a:t>
          </a:r>
          <a:r>
            <a:rPr lang="en-US" sz="1100" b="1">
              <a:solidFill>
                <a:schemeClr val="accent1"/>
              </a:solidFill>
            </a:rPr>
            <a:t> = 5</a:t>
          </a:r>
        </a:p>
      </cdr:txBody>
    </cdr:sp>
  </cdr:relSizeAnchor>
  <cdr:relSizeAnchor xmlns:cdr="http://schemas.openxmlformats.org/drawingml/2006/chartDrawing">
    <cdr:from>
      <cdr:x>0.46528</cdr:x>
      <cdr:y>0.479</cdr:y>
    </cdr:from>
    <cdr:to>
      <cdr:x>0.62257</cdr:x>
      <cdr:y>0.59079</cdr:y>
    </cdr:to>
    <cdr:sp macro="" textlink="">
      <cdr:nvSpPr>
        <cdr:cNvPr id="5" name="Text Box 1"/>
        <cdr:cNvSpPr txBox="1"/>
      </cdr:nvSpPr>
      <cdr:spPr>
        <a:xfrm xmlns:a="http://schemas.openxmlformats.org/drawingml/2006/main" rot="2535144">
          <a:off x="2425056" y="1664385"/>
          <a:ext cx="819834" cy="3884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6"/>
              </a:solidFill>
            </a:rPr>
            <a:t>pK</a:t>
          </a:r>
          <a:r>
            <a:rPr lang="en-US" sz="1100" b="1" baseline="-25000">
              <a:solidFill>
                <a:schemeClr val="accent6"/>
              </a:solidFill>
            </a:rPr>
            <a:t>a</a:t>
          </a:r>
          <a:r>
            <a:rPr lang="en-US" sz="1100" b="1">
              <a:solidFill>
                <a:schemeClr val="accent6"/>
              </a:solidFill>
            </a:rPr>
            <a:t> = 6</a:t>
          </a:r>
        </a:p>
      </cdr:txBody>
    </cdr:sp>
  </cdr:relSizeAnchor>
  <cdr:relSizeAnchor xmlns:cdr="http://schemas.openxmlformats.org/drawingml/2006/chartDrawing">
    <cdr:from>
      <cdr:x>0.55267</cdr:x>
      <cdr:y>0.31247</cdr:y>
    </cdr:from>
    <cdr:to>
      <cdr:x>0.60176</cdr:x>
      <cdr:y>0.53342</cdr:y>
    </cdr:to>
    <cdr:sp macro="" textlink="">
      <cdr:nvSpPr>
        <cdr:cNvPr id="6" name="Text Box 1"/>
        <cdr:cNvSpPr txBox="1"/>
      </cdr:nvSpPr>
      <cdr:spPr>
        <a:xfrm xmlns:a="http://schemas.openxmlformats.org/drawingml/2006/main" rot="2754589">
          <a:off x="2604391" y="1419031"/>
          <a:ext cx="808163" cy="255860"/>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2"/>
              </a:solidFill>
            </a:rPr>
            <a:t>pK</a:t>
          </a:r>
          <a:r>
            <a:rPr lang="en-US" sz="1100" b="1" baseline="-25000">
              <a:solidFill>
                <a:schemeClr val="accent2"/>
              </a:solidFill>
            </a:rPr>
            <a:t>a</a:t>
          </a:r>
          <a:r>
            <a:rPr lang="en-US" sz="1100" b="1">
              <a:solidFill>
                <a:schemeClr val="accent2"/>
              </a:solidFill>
            </a:rPr>
            <a:t> = 7</a:t>
          </a:r>
        </a:p>
      </cdr:txBody>
    </cdr:sp>
  </cdr:relSizeAnchor>
  <cdr:relSizeAnchor xmlns:cdr="http://schemas.openxmlformats.org/drawingml/2006/chartDrawing">
    <cdr:from>
      <cdr:x>0.5092</cdr:x>
      <cdr:y>0.1681</cdr:y>
    </cdr:from>
    <cdr:to>
      <cdr:x>0.5583</cdr:x>
      <cdr:y>0.34141</cdr:y>
    </cdr:to>
    <cdr:sp macro="" textlink="">
      <cdr:nvSpPr>
        <cdr:cNvPr id="7" name="Text Box 1"/>
        <cdr:cNvSpPr txBox="1"/>
      </cdr:nvSpPr>
      <cdr:spPr>
        <a:xfrm xmlns:a="http://schemas.openxmlformats.org/drawingml/2006/main" rot="2711352">
          <a:off x="2465000" y="803835"/>
          <a:ext cx="633929" cy="2559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bg2">
                  <a:lumMod val="50000"/>
                </a:schemeClr>
              </a:solidFill>
            </a:rPr>
            <a:t>pK</a:t>
          </a:r>
          <a:r>
            <a:rPr lang="en-US" sz="1100" b="1" baseline="-25000">
              <a:solidFill>
                <a:schemeClr val="bg2">
                  <a:lumMod val="50000"/>
                </a:schemeClr>
              </a:solidFill>
            </a:rPr>
            <a:t>a</a:t>
          </a:r>
          <a:r>
            <a:rPr lang="en-US" sz="1100" b="1">
              <a:solidFill>
                <a:schemeClr val="bg2">
                  <a:lumMod val="50000"/>
                </a:schemeClr>
              </a:solidFill>
            </a:rPr>
            <a:t> = 8</a:t>
          </a:r>
        </a:p>
      </cdr:txBody>
    </cdr:sp>
  </cdr:relSizeAnchor>
  <cdr:relSizeAnchor xmlns:cdr="http://schemas.openxmlformats.org/drawingml/2006/chartDrawing">
    <cdr:from>
      <cdr:x>0.51473</cdr:x>
      <cdr:y>0.04344</cdr:y>
    </cdr:from>
    <cdr:to>
      <cdr:x>0.56383</cdr:x>
      <cdr:y>0.21676</cdr:y>
    </cdr:to>
    <cdr:sp macro="" textlink="">
      <cdr:nvSpPr>
        <cdr:cNvPr id="8" name="Text Box 1"/>
        <cdr:cNvSpPr txBox="1"/>
      </cdr:nvSpPr>
      <cdr:spPr>
        <a:xfrm xmlns:a="http://schemas.openxmlformats.org/drawingml/2006/main" rot="2730351">
          <a:off x="2493786" y="347898"/>
          <a:ext cx="633964" cy="25591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tx1">
                  <a:lumMod val="75000"/>
                  <a:lumOff val="25000"/>
                </a:schemeClr>
              </a:solidFill>
            </a:rPr>
            <a:t>pK</a:t>
          </a:r>
          <a:r>
            <a:rPr lang="en-US" sz="1100" b="1" baseline="-25000">
              <a:solidFill>
                <a:schemeClr val="tx1">
                  <a:lumMod val="75000"/>
                  <a:lumOff val="25000"/>
                </a:schemeClr>
              </a:solidFill>
            </a:rPr>
            <a:t>a</a:t>
          </a:r>
          <a:r>
            <a:rPr lang="en-US" sz="1100" b="1">
              <a:solidFill>
                <a:schemeClr val="tx1">
                  <a:lumMod val="75000"/>
                  <a:lumOff val="25000"/>
                </a:schemeClr>
              </a:solidFill>
            </a:rPr>
            <a:t> = 9</a:t>
          </a:r>
        </a:p>
      </cdr:txBody>
    </cdr:sp>
  </cdr:relSizeAnchor>
</c:userShapes>
</file>

<file path=word/drawings/drawing3.xml><?xml version="1.0" encoding="utf-8"?>
<c:userShapes xmlns:c="http://schemas.openxmlformats.org/drawingml/2006/chart">
  <cdr:relSizeAnchor xmlns:cdr="http://schemas.openxmlformats.org/drawingml/2006/chartDrawing">
    <cdr:from>
      <cdr:x>0.16667</cdr:x>
      <cdr:y>0.12967</cdr:y>
    </cdr:from>
    <cdr:to>
      <cdr:x>0.30357</cdr:x>
      <cdr:y>0.17052</cdr:y>
    </cdr:to>
    <cdr:sp macro="" textlink="">
      <cdr:nvSpPr>
        <cdr:cNvPr id="2" name="Text Box 1"/>
        <cdr:cNvSpPr txBox="1"/>
      </cdr:nvSpPr>
      <cdr:spPr>
        <a:xfrm xmlns:a="http://schemas.openxmlformats.org/drawingml/2006/main">
          <a:off x="966158" y="629729"/>
          <a:ext cx="793631" cy="1984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accent1"/>
              </a:solidFill>
            </a:rPr>
            <a:t>Weak acid</a:t>
          </a:r>
        </a:p>
      </cdr:txBody>
    </cdr:sp>
  </cdr:relSizeAnchor>
  <cdr:relSizeAnchor xmlns:cdr="http://schemas.openxmlformats.org/drawingml/2006/chartDrawing">
    <cdr:from>
      <cdr:x>0.76323</cdr:x>
      <cdr:y>0.13835</cdr:y>
    </cdr:from>
    <cdr:to>
      <cdr:x>0.9256</cdr:x>
      <cdr:y>0.17407</cdr:y>
    </cdr:to>
    <cdr:sp macro="" textlink="">
      <cdr:nvSpPr>
        <cdr:cNvPr id="3" name="Text Box 1"/>
        <cdr:cNvSpPr txBox="1"/>
      </cdr:nvSpPr>
      <cdr:spPr>
        <a:xfrm xmlns:a="http://schemas.openxmlformats.org/drawingml/2006/main">
          <a:off x="4424392" y="671902"/>
          <a:ext cx="941238" cy="1734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2"/>
              </a:solidFill>
            </a:rPr>
            <a:t>Weak base</a:t>
          </a:r>
        </a:p>
      </cdr:txBody>
    </cdr:sp>
  </cdr:relSizeAnchor>
</c:userShapes>
</file>

<file path=word/drawings/drawing4.xml><?xml version="1.0" encoding="utf-8"?>
<c:userShapes xmlns:c="http://schemas.openxmlformats.org/drawingml/2006/chart">
  <cdr:relSizeAnchor xmlns:cdr="http://schemas.openxmlformats.org/drawingml/2006/chartDrawing">
    <cdr:from>
      <cdr:x>0.89975</cdr:x>
      <cdr:y>0.33333</cdr:y>
    </cdr:from>
    <cdr:to>
      <cdr:x>1</cdr:x>
      <cdr:y>0.44589</cdr:y>
    </cdr:to>
    <cdr:sp macro="" textlink="">
      <cdr:nvSpPr>
        <cdr:cNvPr id="2" name="Text Box 1"/>
        <cdr:cNvSpPr txBox="1"/>
      </cdr:nvSpPr>
      <cdr:spPr>
        <a:xfrm xmlns:a="http://schemas.openxmlformats.org/drawingml/2006/main">
          <a:off x="4689565" y="914399"/>
          <a:ext cx="522515" cy="3087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pK</a:t>
          </a:r>
          <a:r>
            <a:rPr lang="en-US" sz="1100" baseline="-25000"/>
            <a:t>a</a:t>
          </a:r>
        </a:p>
      </cdr:txBody>
    </cdr:sp>
  </cdr:relSizeAnchor>
</c:userShapes>
</file>

<file path=word/drawings/drawing5.xml><?xml version="1.0" encoding="utf-8"?>
<c:userShapes xmlns:c="http://schemas.openxmlformats.org/drawingml/2006/chart">
  <cdr:relSizeAnchor xmlns:cdr="http://schemas.openxmlformats.org/drawingml/2006/chartDrawing">
    <cdr:from>
      <cdr:x>0.89809</cdr:x>
      <cdr:y>0.32041</cdr:y>
    </cdr:from>
    <cdr:to>
      <cdr:x>0.99834</cdr:x>
      <cdr:y>0.43296</cdr:y>
    </cdr:to>
    <cdr:sp macro="" textlink="">
      <cdr:nvSpPr>
        <cdr:cNvPr id="2" name="Text Box 1"/>
        <cdr:cNvSpPr txBox="1"/>
      </cdr:nvSpPr>
      <cdr:spPr>
        <a:xfrm xmlns:a="http://schemas.openxmlformats.org/drawingml/2006/main">
          <a:off x="4680939" y="878935"/>
          <a:ext cx="522515" cy="3087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pK</a:t>
          </a:r>
          <a:r>
            <a:rPr lang="en-US" sz="1100" baseline="-25000"/>
            <a:t>a</a:t>
          </a:r>
        </a:p>
      </cdr:txBody>
    </cdr:sp>
  </cdr:relSizeAnchor>
</c:userShapes>
</file>

<file path=word/drawings/drawing6.xml><?xml version="1.0" encoding="utf-8"?>
<c:userShapes xmlns:c="http://schemas.openxmlformats.org/drawingml/2006/chart">
  <cdr:relSizeAnchor xmlns:cdr="http://schemas.openxmlformats.org/drawingml/2006/chartDrawing">
    <cdr:from>
      <cdr:x>0.89975</cdr:x>
      <cdr:y>0.32006</cdr:y>
    </cdr:from>
    <cdr:to>
      <cdr:x>1</cdr:x>
      <cdr:y>0.43261</cdr:y>
    </cdr:to>
    <cdr:sp macro="" textlink="">
      <cdr:nvSpPr>
        <cdr:cNvPr id="2" name="Text Box 1"/>
        <cdr:cNvSpPr txBox="1"/>
      </cdr:nvSpPr>
      <cdr:spPr>
        <a:xfrm xmlns:a="http://schemas.openxmlformats.org/drawingml/2006/main">
          <a:off x="4689565" y="877977"/>
          <a:ext cx="522515" cy="3087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pK</a:t>
          </a:r>
          <a:r>
            <a:rPr lang="en-US" sz="1100" baseline="-25000"/>
            <a:t>a</a:t>
          </a:r>
        </a:p>
      </cdr:txBody>
    </cdr:sp>
  </cdr:relSizeAnchor>
</c:userShapes>
</file>

<file path=word/drawings/drawing7.xml><?xml version="1.0" encoding="utf-8"?>
<c:userShapes xmlns:c="http://schemas.openxmlformats.org/drawingml/2006/chart">
  <cdr:relSizeAnchor xmlns:cdr="http://schemas.openxmlformats.org/drawingml/2006/chartDrawing">
    <cdr:from>
      <cdr:x>0.89975</cdr:x>
      <cdr:y>0.33857</cdr:y>
    </cdr:from>
    <cdr:to>
      <cdr:x>1</cdr:x>
      <cdr:y>0.45113</cdr:y>
    </cdr:to>
    <cdr:sp macro="" textlink="">
      <cdr:nvSpPr>
        <cdr:cNvPr id="2" name="Text Box 1"/>
        <cdr:cNvSpPr txBox="1"/>
      </cdr:nvSpPr>
      <cdr:spPr>
        <a:xfrm xmlns:a="http://schemas.openxmlformats.org/drawingml/2006/main">
          <a:off x="4740365" y="928777"/>
          <a:ext cx="522515" cy="3087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pK</a:t>
          </a:r>
          <a:r>
            <a:rPr lang="en-US" sz="1100" baseline="-25000"/>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8FAFC-3F76-4549-8765-848365FC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8504</Words>
  <Characters>48476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Mudie Deanna - Bend</dc:creator>
  <cp:keywords/>
  <dc:description/>
  <cp:lastModifiedBy>Mudie Deanna - Bend</cp:lastModifiedBy>
  <cp:revision>4</cp:revision>
  <cp:lastPrinted>2019-09-07T23:12:00Z</cp:lastPrinted>
  <dcterms:created xsi:type="dcterms:W3CDTF">2020-01-02T00:07:00Z</dcterms:created>
  <dcterms:modified xsi:type="dcterms:W3CDTF">2020-01-02T00:15:00Z</dcterms:modified>
</cp:coreProperties>
</file>