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FBF" w:rsidRDefault="00AB024D" w:rsidP="00E81FBF">
      <w:pPr>
        <w:rPr>
          <w:rFonts w:cs="Arial"/>
          <w:b/>
          <w:sz w:val="28"/>
          <w:lang w:val="en-GB"/>
        </w:rPr>
      </w:pPr>
      <w:r>
        <w:rPr>
          <w:rFonts w:cs="Arial"/>
          <w:b/>
          <w:sz w:val="28"/>
          <w:lang w:val="en-GB"/>
        </w:rPr>
        <w:t>Supplementary m</w:t>
      </w:r>
      <w:r w:rsidR="00E81FBF">
        <w:rPr>
          <w:rFonts w:cs="Arial"/>
          <w:b/>
          <w:sz w:val="28"/>
          <w:lang w:val="en-GB"/>
        </w:rPr>
        <w:t>aterial</w:t>
      </w:r>
    </w:p>
    <w:p w:rsidR="00F7372F" w:rsidRDefault="00F7372F" w:rsidP="00E81FBF">
      <w:pPr>
        <w:rPr>
          <w:rFonts w:cs="Arial"/>
          <w:b/>
          <w:sz w:val="28"/>
          <w:lang w:val="en-GB"/>
        </w:rPr>
      </w:pPr>
    </w:p>
    <w:p w:rsidR="00795558" w:rsidRDefault="00795558" w:rsidP="00795558">
      <w:pPr>
        <w:rPr>
          <w:rFonts w:cs="Arial"/>
          <w:b/>
          <w:sz w:val="28"/>
          <w:lang w:val="en-GB"/>
        </w:rPr>
      </w:pPr>
      <w:r>
        <w:rPr>
          <w:rFonts w:cs="Arial"/>
          <w:b/>
          <w:sz w:val="28"/>
          <w:lang w:val="en-GB"/>
        </w:rPr>
        <w:t>P</w:t>
      </w:r>
      <w:r w:rsidRPr="00F96143">
        <w:rPr>
          <w:rFonts w:cs="Arial"/>
          <w:b/>
          <w:sz w:val="28"/>
          <w:lang w:val="en-GB"/>
        </w:rPr>
        <w:t xml:space="preserve">opulation pharmacodynamic </w:t>
      </w:r>
      <w:r w:rsidR="00F92854">
        <w:rPr>
          <w:rFonts w:cs="Arial"/>
          <w:b/>
          <w:sz w:val="28"/>
          <w:lang w:val="en-GB"/>
        </w:rPr>
        <w:t>m</w:t>
      </w:r>
      <w:r w:rsidRPr="00F96143">
        <w:rPr>
          <w:rFonts w:cs="Arial"/>
          <w:b/>
          <w:sz w:val="28"/>
          <w:lang w:val="en-GB"/>
        </w:rPr>
        <w:t>odeling</w:t>
      </w:r>
      <w:r>
        <w:rPr>
          <w:rFonts w:cs="Arial"/>
          <w:b/>
          <w:sz w:val="28"/>
          <w:lang w:val="en-GB"/>
        </w:rPr>
        <w:t xml:space="preserve"> </w:t>
      </w:r>
      <w:r w:rsidRPr="009B72DD">
        <w:rPr>
          <w:rFonts w:cs="Arial"/>
          <w:b/>
          <w:sz w:val="28"/>
          <w:lang w:val="en-GB"/>
        </w:rPr>
        <w:t>of eflornithine</w:t>
      </w:r>
      <w:r>
        <w:rPr>
          <w:rFonts w:cs="Arial"/>
          <w:b/>
          <w:sz w:val="28"/>
          <w:lang w:val="en-GB"/>
        </w:rPr>
        <w:t xml:space="preserve">-based treatments </w:t>
      </w:r>
      <w:r w:rsidRPr="009B72DD">
        <w:rPr>
          <w:rFonts w:cs="Arial"/>
          <w:b/>
          <w:sz w:val="28"/>
          <w:lang w:val="en-GB"/>
        </w:rPr>
        <w:t xml:space="preserve">against late-stage </w:t>
      </w:r>
      <w:r w:rsidRPr="009B72DD">
        <w:rPr>
          <w:rFonts w:cs="Arial"/>
          <w:b/>
          <w:i/>
          <w:sz w:val="28"/>
          <w:lang w:val="en-GB"/>
        </w:rPr>
        <w:t xml:space="preserve">gambiense </w:t>
      </w:r>
      <w:r w:rsidRPr="009B72DD">
        <w:rPr>
          <w:rFonts w:cs="Arial"/>
          <w:b/>
          <w:sz w:val="28"/>
          <w:lang w:val="en-GB"/>
        </w:rPr>
        <w:t>human African trypanosomiasis</w:t>
      </w:r>
      <w:r>
        <w:rPr>
          <w:rFonts w:cs="Arial"/>
          <w:b/>
          <w:sz w:val="28"/>
          <w:lang w:val="en-GB"/>
        </w:rPr>
        <w:t xml:space="preserve"> and efficacy predictions of L-eflornithine-based therapy</w:t>
      </w:r>
    </w:p>
    <w:p w:rsidR="006A7828" w:rsidRDefault="006A7828">
      <w:pPr>
        <w:rPr>
          <w:lang w:val="en-GB"/>
        </w:rPr>
      </w:pPr>
    </w:p>
    <w:p w:rsidR="0015647B" w:rsidRPr="00AE35CA" w:rsidRDefault="0015647B" w:rsidP="0015647B">
      <w:pPr>
        <w:rPr>
          <w:rFonts w:cs="Arial"/>
        </w:rPr>
      </w:pPr>
      <w:r w:rsidRPr="00AE35CA">
        <w:rPr>
          <w:rFonts w:cs="Arial"/>
        </w:rPr>
        <w:t>Carl Amilon</w:t>
      </w:r>
      <w:r w:rsidRPr="00AE35CA">
        <w:rPr>
          <w:rFonts w:cs="Arial"/>
          <w:vertAlign w:val="superscript"/>
        </w:rPr>
        <w:t>1,2</w:t>
      </w:r>
      <w:r w:rsidRPr="00AE35CA">
        <w:rPr>
          <w:rFonts w:cs="Arial"/>
        </w:rPr>
        <w:t>*, Mikael Boberg</w:t>
      </w:r>
      <w:r w:rsidRPr="00AE35CA">
        <w:rPr>
          <w:rFonts w:cs="Arial"/>
          <w:vertAlign w:val="superscript"/>
        </w:rPr>
        <w:t>1</w:t>
      </w:r>
      <w:r w:rsidRPr="00AE35CA">
        <w:rPr>
          <w:rFonts w:cs="Arial"/>
        </w:rPr>
        <w:t>*, Joel T</w:t>
      </w:r>
      <w:r w:rsidR="00186571" w:rsidRPr="00AE35CA">
        <w:rPr>
          <w:rFonts w:cs="Arial"/>
        </w:rPr>
        <w:t>a</w:t>
      </w:r>
      <w:r w:rsidRPr="00AE35CA">
        <w:rPr>
          <w:rFonts w:cs="Arial"/>
        </w:rPr>
        <w:t>rning</w:t>
      </w:r>
      <w:r w:rsidRPr="00AE35CA">
        <w:rPr>
          <w:rFonts w:cs="Arial"/>
          <w:vertAlign w:val="superscript"/>
        </w:rPr>
        <w:t>3,4</w:t>
      </w:r>
      <w:r w:rsidRPr="00AE35CA">
        <w:rPr>
          <w:rFonts w:cs="Arial"/>
        </w:rPr>
        <w:t>, Angela Äbelö</w:t>
      </w:r>
      <w:r w:rsidRPr="00AE35CA">
        <w:rPr>
          <w:rFonts w:cs="Arial"/>
          <w:vertAlign w:val="superscript"/>
        </w:rPr>
        <w:t>1</w:t>
      </w:r>
      <w:r w:rsidRPr="00AE35CA">
        <w:rPr>
          <w:rFonts w:cs="Arial"/>
        </w:rPr>
        <w:t>, Michael Ashton</w:t>
      </w:r>
      <w:r w:rsidRPr="00AE35CA">
        <w:rPr>
          <w:rFonts w:cs="Arial"/>
          <w:vertAlign w:val="superscript"/>
        </w:rPr>
        <w:t>1</w:t>
      </w:r>
      <w:r w:rsidRPr="00AE35CA">
        <w:rPr>
          <w:rFonts w:cs="Arial"/>
        </w:rPr>
        <w:t xml:space="preserve"> and Rasmus Jansson-Löfmark</w:t>
      </w:r>
      <w:r w:rsidRPr="00AE35CA">
        <w:rPr>
          <w:rFonts w:cs="Arial"/>
          <w:vertAlign w:val="superscript"/>
        </w:rPr>
        <w:t>1,2,#</w:t>
      </w:r>
    </w:p>
    <w:p w:rsidR="005A7EDA" w:rsidRPr="00AE35CA" w:rsidRDefault="005A7EDA" w:rsidP="005A7EDA">
      <w:pPr>
        <w:spacing w:line="480" w:lineRule="auto"/>
        <w:rPr>
          <w:rFonts w:cs="Arial"/>
        </w:rPr>
      </w:pPr>
    </w:p>
    <w:p w:rsidR="005A7EDA" w:rsidRPr="00E40F2C" w:rsidRDefault="005A7EDA" w:rsidP="005A7EDA">
      <w:pPr>
        <w:spacing w:line="480" w:lineRule="auto"/>
        <w:rPr>
          <w:rFonts w:cs="Arial"/>
          <w:lang w:val="en-GB"/>
        </w:rPr>
      </w:pPr>
      <w:r w:rsidRPr="00E40F2C">
        <w:rPr>
          <w:rFonts w:cs="Arial"/>
          <w:vertAlign w:val="superscript"/>
          <w:lang w:val="en-GB"/>
        </w:rPr>
        <w:t xml:space="preserve">1 </w:t>
      </w:r>
      <w:r w:rsidRPr="00E40F2C">
        <w:rPr>
          <w:rFonts w:cs="Arial"/>
          <w:lang w:val="en-GB"/>
        </w:rPr>
        <w:t>Unit for Pharmacokinetics and Drug Metabolism, Sahlgrenska Academy, University of Gothenburg, Gothenburg, Sweden</w:t>
      </w:r>
    </w:p>
    <w:p w:rsidR="005A7EDA" w:rsidRPr="00E40F2C" w:rsidRDefault="005A7EDA" w:rsidP="005A7EDA">
      <w:pPr>
        <w:spacing w:line="480" w:lineRule="auto"/>
        <w:rPr>
          <w:rFonts w:cs="Arial"/>
          <w:lang w:val="en-GB"/>
        </w:rPr>
      </w:pPr>
      <w:r w:rsidRPr="00E40F2C">
        <w:rPr>
          <w:rFonts w:cs="Arial"/>
          <w:vertAlign w:val="superscript"/>
          <w:lang w:val="en-GB"/>
        </w:rPr>
        <w:t xml:space="preserve">2 </w:t>
      </w:r>
      <w:r w:rsidRPr="00E40F2C">
        <w:rPr>
          <w:rFonts w:cs="Arial"/>
          <w:lang w:val="en-GB"/>
        </w:rPr>
        <w:t>DMPK, Research and Early Development Cardiovascular, Renal and Metabolism, BioPharmaceuticals R&amp;D, AstraZeneca, Gothenburg, Sweden</w:t>
      </w:r>
    </w:p>
    <w:p w:rsidR="005A7EDA" w:rsidRPr="00446146" w:rsidRDefault="005A7EDA" w:rsidP="005A7EDA">
      <w:pPr>
        <w:spacing w:line="480" w:lineRule="auto"/>
        <w:rPr>
          <w:rFonts w:cs="Arial"/>
          <w:lang w:val="en-GB"/>
        </w:rPr>
      </w:pPr>
      <w:r w:rsidRPr="00E40F2C">
        <w:rPr>
          <w:rFonts w:cs="Arial"/>
          <w:vertAlign w:val="superscript"/>
          <w:lang w:val="en-GB"/>
        </w:rPr>
        <w:t xml:space="preserve">3 </w:t>
      </w:r>
      <w:r w:rsidRPr="00E40F2C">
        <w:rPr>
          <w:rFonts w:cs="Arial"/>
          <w:lang w:val="en-GB"/>
        </w:rPr>
        <w:t xml:space="preserve">Centre for Tropical Medicine and Global Health, Nuffield Department of Clinical Medicine, University of </w:t>
      </w:r>
      <w:r>
        <w:rPr>
          <w:rFonts w:cs="Arial"/>
          <w:lang w:val="en-GB"/>
        </w:rPr>
        <w:t>Oxford, Oxford, United Kingdom</w:t>
      </w:r>
    </w:p>
    <w:p w:rsidR="00CC449F" w:rsidRDefault="005A7EDA" w:rsidP="008C7AD3">
      <w:pPr>
        <w:spacing w:line="480" w:lineRule="auto"/>
        <w:rPr>
          <w:rFonts w:cs="Arial"/>
          <w:lang w:val="en-GB"/>
        </w:rPr>
      </w:pPr>
      <w:r w:rsidRPr="00E40F2C">
        <w:rPr>
          <w:rFonts w:cs="Arial"/>
          <w:vertAlign w:val="superscript"/>
          <w:lang w:val="en-GB"/>
        </w:rPr>
        <w:t xml:space="preserve">4 </w:t>
      </w:r>
      <w:r>
        <w:rPr>
          <w:rFonts w:cs="Arial"/>
          <w:lang w:val="en-GB"/>
        </w:rPr>
        <w:t xml:space="preserve">Mahidol </w:t>
      </w:r>
      <w:r w:rsidRPr="00E40F2C">
        <w:rPr>
          <w:rFonts w:cs="Arial"/>
          <w:lang w:val="en-GB"/>
        </w:rPr>
        <w:t>Oxford Tropical Medicine Research Un</w:t>
      </w:r>
      <w:r w:rsidR="00313B4F">
        <w:rPr>
          <w:rFonts w:cs="Arial"/>
          <w:lang w:val="en-GB"/>
        </w:rPr>
        <w:t>it, Faculty of Tropical Medicine</w:t>
      </w:r>
      <w:r w:rsidRPr="00E40F2C">
        <w:rPr>
          <w:rFonts w:cs="Arial"/>
          <w:lang w:val="en-GB"/>
        </w:rPr>
        <w:t>, Mahido</w:t>
      </w:r>
      <w:r w:rsidR="00CC449F">
        <w:rPr>
          <w:rFonts w:cs="Arial"/>
          <w:lang w:val="en-GB"/>
        </w:rPr>
        <w:t>l University, Bangkok, Thailand</w:t>
      </w:r>
    </w:p>
    <w:p w:rsidR="00CC449F" w:rsidRDefault="00CC449F" w:rsidP="008C7AD3">
      <w:pPr>
        <w:spacing w:line="480" w:lineRule="auto"/>
        <w:rPr>
          <w:rFonts w:cs="Arial"/>
          <w:lang w:val="en-GB"/>
        </w:rPr>
      </w:pPr>
    </w:p>
    <w:p w:rsidR="00CC449F" w:rsidRDefault="00CC449F" w:rsidP="00CC449F">
      <w:pPr>
        <w:rPr>
          <w:rFonts w:cs="Arial"/>
          <w:lang w:val="en-GB"/>
        </w:rPr>
      </w:pPr>
      <w:r w:rsidRPr="00E40F2C">
        <w:rPr>
          <w:rFonts w:cs="Arial"/>
          <w:lang w:val="en-GB"/>
        </w:rPr>
        <w:t>*</w:t>
      </w:r>
      <w:r>
        <w:rPr>
          <w:rFonts w:cs="Arial"/>
          <w:lang w:val="en-GB"/>
        </w:rPr>
        <w:t>Authors c</w:t>
      </w:r>
      <w:r w:rsidRPr="00E40F2C">
        <w:rPr>
          <w:rFonts w:cs="Arial"/>
          <w:lang w:val="en-GB"/>
        </w:rPr>
        <w:t>ontributed equally</w:t>
      </w:r>
    </w:p>
    <w:p w:rsidR="00CC449F" w:rsidRDefault="00CC449F" w:rsidP="00CC449F">
      <w:pPr>
        <w:rPr>
          <w:lang w:val="en-GB"/>
        </w:rPr>
      </w:pPr>
      <w:r w:rsidRPr="00781851">
        <w:rPr>
          <w:vertAlign w:val="superscript"/>
          <w:lang w:val="en-GB"/>
        </w:rPr>
        <w:t>#</w:t>
      </w:r>
      <w:r>
        <w:rPr>
          <w:lang w:val="en-GB"/>
        </w:rPr>
        <w:t>Corresponding author</w:t>
      </w:r>
    </w:p>
    <w:p w:rsidR="008C7AD3" w:rsidRDefault="008C7AD3" w:rsidP="008C7AD3">
      <w:pPr>
        <w:spacing w:line="480" w:lineRule="auto"/>
        <w:rPr>
          <w:rFonts w:cs="Arial"/>
          <w:lang w:val="en-GB"/>
        </w:rPr>
      </w:pPr>
      <w:r>
        <w:rPr>
          <w:rFonts w:cs="Arial"/>
          <w:lang w:val="en-GB"/>
        </w:rPr>
        <w:br w:type="page"/>
      </w:r>
    </w:p>
    <w:p w:rsidR="000F45BC" w:rsidRDefault="00EF546A" w:rsidP="00E81FBF">
      <w:pPr>
        <w:jc w:val="both"/>
        <w:rPr>
          <w:rFonts w:cs="Arial"/>
          <w:lang w:val="en-US"/>
        </w:rPr>
      </w:pPr>
      <w:r>
        <w:rPr>
          <w:noProof/>
        </w:rPr>
        <w:lastRenderedPageBreak/>
        <w:drawing>
          <wp:inline distT="0" distB="0" distL="0" distR="0" wp14:anchorId="0A62F8AE" wp14:editId="017195FC">
            <wp:extent cx="5760720" cy="35718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5532" w:rsidRDefault="00EF546A" w:rsidP="00320C83">
      <w:pPr>
        <w:spacing w:line="276" w:lineRule="auto"/>
        <w:jc w:val="both"/>
        <w:rPr>
          <w:sz w:val="22"/>
          <w:szCs w:val="22"/>
          <w:lang w:val="en-GB"/>
        </w:rPr>
      </w:pPr>
      <w:r w:rsidRPr="00A84639">
        <w:rPr>
          <w:b/>
          <w:sz w:val="22"/>
          <w:szCs w:val="22"/>
          <w:lang w:val="en-GB"/>
        </w:rPr>
        <w:t xml:space="preserve">Fig. </w:t>
      </w:r>
      <w:r>
        <w:rPr>
          <w:b/>
          <w:sz w:val="22"/>
          <w:szCs w:val="22"/>
          <w:lang w:val="en-GB"/>
        </w:rPr>
        <w:t>S1</w:t>
      </w:r>
      <w:r w:rsidRPr="00A84639">
        <w:rPr>
          <w:b/>
          <w:sz w:val="22"/>
          <w:szCs w:val="22"/>
          <w:lang w:val="en-GB"/>
        </w:rPr>
        <w:t>.</w:t>
      </w:r>
      <w:r w:rsidRPr="00A84639">
        <w:rPr>
          <w:sz w:val="22"/>
          <w:szCs w:val="22"/>
          <w:lang w:val="en-GB"/>
        </w:rPr>
        <w:t xml:space="preserve"> </w:t>
      </w:r>
      <w:r w:rsidR="005F31F3">
        <w:rPr>
          <w:sz w:val="22"/>
          <w:szCs w:val="22"/>
          <w:lang w:val="en-GB"/>
        </w:rPr>
        <w:t>M</w:t>
      </w:r>
      <w:r w:rsidR="009A7805">
        <w:rPr>
          <w:sz w:val="22"/>
          <w:szCs w:val="22"/>
          <w:lang w:val="en-GB"/>
        </w:rPr>
        <w:t>odel fit of</w:t>
      </w:r>
      <w:r>
        <w:rPr>
          <w:sz w:val="22"/>
          <w:szCs w:val="22"/>
          <w:lang w:val="en-GB"/>
        </w:rPr>
        <w:t xml:space="preserve"> </w:t>
      </w:r>
      <w:r w:rsidR="005F31F3">
        <w:rPr>
          <w:sz w:val="22"/>
          <w:szCs w:val="22"/>
          <w:lang w:val="en-GB"/>
        </w:rPr>
        <w:t xml:space="preserve">the </w:t>
      </w:r>
      <w:r>
        <w:rPr>
          <w:sz w:val="22"/>
          <w:szCs w:val="22"/>
          <w:lang w:val="en-GB"/>
        </w:rPr>
        <w:t>predicted</w:t>
      </w:r>
      <w:r w:rsidRPr="00A84639">
        <w:rPr>
          <w:sz w:val="22"/>
          <w:szCs w:val="22"/>
          <w:lang w:val="en-GB"/>
        </w:rPr>
        <w:t xml:space="preserve"> </w:t>
      </w:r>
      <w:r>
        <w:rPr>
          <w:i/>
          <w:sz w:val="22"/>
          <w:szCs w:val="22"/>
          <w:lang w:val="en-GB"/>
        </w:rPr>
        <w:t xml:space="preserve">in vitro </w:t>
      </w:r>
      <w:r>
        <w:rPr>
          <w:sz w:val="22"/>
          <w:szCs w:val="22"/>
          <w:lang w:val="en-GB"/>
        </w:rPr>
        <w:t>efficacy for</w:t>
      </w:r>
      <w:r w:rsidR="009A7805">
        <w:rPr>
          <w:sz w:val="22"/>
          <w:szCs w:val="22"/>
          <w:lang w:val="en-GB"/>
        </w:rPr>
        <w:t xml:space="preserve"> a)</w:t>
      </w:r>
      <w:r>
        <w:rPr>
          <w:sz w:val="22"/>
          <w:szCs w:val="22"/>
          <w:lang w:val="en-GB"/>
        </w:rPr>
        <w:t xml:space="preserve"> L-eflornithine (dashed green line) and b) D-</w:t>
      </w:r>
      <w:r w:rsidRPr="00FD6031">
        <w:rPr>
          <w:sz w:val="22"/>
          <w:szCs w:val="22"/>
          <w:lang w:val="en-GB"/>
        </w:rPr>
        <w:t>eflorn</w:t>
      </w:r>
      <w:r w:rsidR="00A16F64" w:rsidRPr="00FD6031">
        <w:rPr>
          <w:sz w:val="22"/>
          <w:szCs w:val="22"/>
          <w:lang w:val="en-GB"/>
        </w:rPr>
        <w:t>ithine (solid red line). The gra</w:t>
      </w:r>
      <w:r w:rsidRPr="00FD6031">
        <w:rPr>
          <w:sz w:val="22"/>
          <w:szCs w:val="22"/>
          <w:lang w:val="en-GB"/>
        </w:rPr>
        <w:t>y areas represent the 5</w:t>
      </w:r>
      <w:r w:rsidRPr="00FD6031">
        <w:rPr>
          <w:sz w:val="22"/>
          <w:szCs w:val="22"/>
          <w:vertAlign w:val="superscript"/>
          <w:lang w:val="en-GB"/>
        </w:rPr>
        <w:t>th</w:t>
      </w:r>
      <w:r w:rsidRPr="00FD6031">
        <w:rPr>
          <w:sz w:val="22"/>
          <w:szCs w:val="22"/>
          <w:lang w:val="en-GB"/>
        </w:rPr>
        <w:t xml:space="preserve"> to 95</w:t>
      </w:r>
      <w:r w:rsidRPr="00FD6031">
        <w:rPr>
          <w:sz w:val="22"/>
          <w:szCs w:val="22"/>
          <w:vertAlign w:val="superscript"/>
          <w:lang w:val="en-GB"/>
        </w:rPr>
        <w:t>th</w:t>
      </w:r>
      <w:r w:rsidRPr="00FD6031">
        <w:rPr>
          <w:sz w:val="22"/>
          <w:szCs w:val="22"/>
          <w:lang w:val="en-GB"/>
        </w:rPr>
        <w:t xml:space="preserve"> percentiles of experimen</w:t>
      </w:r>
      <w:r w:rsidR="00AE35CA" w:rsidRPr="00FD6031">
        <w:rPr>
          <w:sz w:val="22"/>
          <w:szCs w:val="22"/>
          <w:lang w:val="en-GB"/>
        </w:rPr>
        <w:t>tal data from a previous study [</w:t>
      </w:r>
      <w:r w:rsidRPr="00FD6031">
        <w:rPr>
          <w:sz w:val="22"/>
          <w:szCs w:val="22"/>
          <w:lang w:val="en-GB"/>
        </w:rPr>
        <w:t>1</w:t>
      </w:r>
      <w:r w:rsidR="0015647B" w:rsidRPr="00FD6031">
        <w:rPr>
          <w:sz w:val="22"/>
          <w:szCs w:val="22"/>
          <w:lang w:val="en-GB"/>
        </w:rPr>
        <w:t>6</w:t>
      </w:r>
      <w:r w:rsidR="00AE35CA" w:rsidRPr="00FD6031">
        <w:rPr>
          <w:sz w:val="22"/>
          <w:szCs w:val="22"/>
          <w:lang w:val="en-GB"/>
        </w:rPr>
        <w:t>]</w:t>
      </w:r>
      <w:r w:rsidR="00B62690" w:rsidRPr="00FD6031">
        <w:rPr>
          <w:sz w:val="22"/>
          <w:szCs w:val="22"/>
          <w:lang w:val="en-GB"/>
        </w:rPr>
        <w:t>. Data was accessed from the Swedish National Data Service (SND-ID: 2021-45) database [2</w:t>
      </w:r>
      <w:r w:rsidR="005015F2" w:rsidRPr="00FD6031">
        <w:rPr>
          <w:sz w:val="22"/>
          <w:szCs w:val="22"/>
          <w:lang w:val="en-GB"/>
        </w:rPr>
        <w:t>5</w:t>
      </w:r>
      <w:r w:rsidR="00B62690" w:rsidRPr="00FD6031">
        <w:rPr>
          <w:sz w:val="22"/>
          <w:szCs w:val="22"/>
          <w:lang w:val="en-GB"/>
        </w:rPr>
        <w:t>]</w:t>
      </w:r>
    </w:p>
    <w:p w:rsidR="00A81030" w:rsidRDefault="00A81030" w:rsidP="00320C83">
      <w:pPr>
        <w:spacing w:line="276" w:lineRule="auto"/>
        <w:jc w:val="both"/>
        <w:rPr>
          <w:sz w:val="22"/>
          <w:szCs w:val="22"/>
          <w:lang w:val="en-GB"/>
        </w:rPr>
      </w:pPr>
    </w:p>
    <w:p w:rsidR="00A81030" w:rsidRDefault="00A81030" w:rsidP="00320C83">
      <w:pPr>
        <w:spacing w:line="276" w:lineRule="auto"/>
        <w:jc w:val="both"/>
        <w:rPr>
          <w:sz w:val="22"/>
          <w:szCs w:val="22"/>
          <w:lang w:val="en-GB"/>
        </w:rPr>
      </w:pPr>
    </w:p>
    <w:tbl>
      <w:tblPr>
        <w:tblStyle w:val="TableGrid"/>
        <w:tblW w:w="6390" w:type="dxa"/>
        <w:jc w:val="center"/>
        <w:tblLook w:val="04A0" w:firstRow="1" w:lastRow="0" w:firstColumn="1" w:lastColumn="0" w:noHBand="0" w:noVBand="1"/>
      </w:tblPr>
      <w:tblGrid>
        <w:gridCol w:w="2700"/>
        <w:gridCol w:w="3690"/>
      </w:tblGrid>
      <w:tr w:rsidR="00BD5572" w:rsidRPr="00BD5572" w:rsidTr="002C1584">
        <w:trPr>
          <w:jc w:val="center"/>
        </w:trPr>
        <w:tc>
          <w:tcPr>
            <w:tcW w:w="63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5572" w:rsidRDefault="00BD5572" w:rsidP="00BD5572">
            <w:pPr>
              <w:spacing w:line="240" w:lineRule="auto"/>
              <w:jc w:val="center"/>
              <w:rPr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Table SI</w:t>
            </w:r>
            <w:r>
              <w:rPr>
                <w:sz w:val="20"/>
                <w:lang w:val="en-GB"/>
              </w:rPr>
              <w:t xml:space="preserve"> </w:t>
            </w:r>
            <w:r w:rsidRPr="00BD5572">
              <w:rPr>
                <w:i/>
                <w:sz w:val="20"/>
                <w:lang w:val="en-GB"/>
              </w:rPr>
              <w:t>In vitro</w:t>
            </w:r>
            <w:r w:rsidRPr="00BD5572">
              <w:rPr>
                <w:sz w:val="20"/>
                <w:lang w:val="en-GB"/>
              </w:rPr>
              <w:t xml:space="preserve"> parameter estimates for L-</w:t>
            </w:r>
            <w:r>
              <w:rPr>
                <w:sz w:val="20"/>
                <w:lang w:val="en-GB"/>
              </w:rPr>
              <w:t>eflornithine</w:t>
            </w:r>
            <w:r w:rsidRPr="00BD5572">
              <w:rPr>
                <w:sz w:val="20"/>
                <w:lang w:val="en-GB"/>
              </w:rPr>
              <w:t xml:space="preserve"> and</w:t>
            </w:r>
          </w:p>
          <w:p w:rsidR="00BD5572" w:rsidRPr="00481CEA" w:rsidRDefault="00BD5572" w:rsidP="00BD5572">
            <w:pPr>
              <w:spacing w:line="240" w:lineRule="auto"/>
              <w:jc w:val="center"/>
              <w:rPr>
                <w:rFonts w:cs="Arial"/>
                <w:color w:val="000000"/>
                <w:sz w:val="20"/>
                <w:lang w:val="en-GB"/>
              </w:rPr>
            </w:pPr>
            <w:r w:rsidRPr="00BD5572">
              <w:rPr>
                <w:sz w:val="20"/>
                <w:lang w:val="en-GB"/>
              </w:rPr>
              <w:t xml:space="preserve">D-eflornithine for the </w:t>
            </w:r>
            <w:r w:rsidRPr="00BD5572">
              <w:rPr>
                <w:i/>
                <w:sz w:val="20"/>
                <w:lang w:val="en-GB"/>
              </w:rPr>
              <w:t>in vitro</w:t>
            </w:r>
            <w:r w:rsidRPr="00BD5572">
              <w:rPr>
                <w:sz w:val="20"/>
                <w:lang w:val="en-GB"/>
              </w:rPr>
              <w:t xml:space="preserve"> potency antitrypanosomal activity</w:t>
            </w:r>
          </w:p>
        </w:tc>
      </w:tr>
      <w:tr w:rsidR="008F7DF6" w:rsidRPr="00BD5572" w:rsidTr="008F7DF6">
        <w:trPr>
          <w:trHeight w:val="18"/>
          <w:jc w:val="center"/>
        </w:trPr>
        <w:tc>
          <w:tcPr>
            <w:tcW w:w="2700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8F7DF6" w:rsidRDefault="008F7DF6" w:rsidP="008F7DF6">
            <w:pPr>
              <w:spacing w:line="240" w:lineRule="auto"/>
              <w:jc w:val="center"/>
              <w:rPr>
                <w:rFonts w:cs="Arial"/>
                <w:b/>
                <w:color w:val="000000"/>
                <w:sz w:val="20"/>
                <w:lang w:val="en-GB"/>
              </w:rPr>
            </w:pPr>
            <w:r w:rsidRPr="002C1584">
              <w:rPr>
                <w:rFonts w:cs="Arial"/>
                <w:b/>
                <w:color w:val="000000"/>
                <w:sz w:val="20"/>
                <w:lang w:val="en-GB"/>
              </w:rPr>
              <w:t>Parameter</w:t>
            </w:r>
          </w:p>
          <w:p w:rsidR="008F7DF6" w:rsidRPr="002C1584" w:rsidRDefault="008F7DF6" w:rsidP="008F7DF6">
            <w:pPr>
              <w:spacing w:line="240" w:lineRule="auto"/>
              <w:jc w:val="center"/>
              <w:rPr>
                <w:rFonts w:cs="Arial"/>
                <w:b/>
                <w:color w:val="000000"/>
                <w:sz w:val="20"/>
                <w:lang w:val="en-GB"/>
              </w:rPr>
            </w:pPr>
          </w:p>
        </w:tc>
        <w:tc>
          <w:tcPr>
            <w:tcW w:w="3690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8F7DF6" w:rsidRPr="002C1584" w:rsidRDefault="008F7DF6" w:rsidP="008F7DF6">
            <w:pPr>
              <w:spacing w:line="240" w:lineRule="auto"/>
              <w:jc w:val="center"/>
              <w:rPr>
                <w:rFonts w:cs="Arial"/>
                <w:b/>
                <w:color w:val="000000"/>
                <w:sz w:val="20"/>
                <w:lang w:val="en-GB"/>
              </w:rPr>
            </w:pPr>
            <w:r w:rsidRPr="002C1584">
              <w:rPr>
                <w:rFonts w:cs="Arial"/>
                <w:b/>
                <w:color w:val="000000"/>
                <w:sz w:val="20"/>
                <w:lang w:val="en-GB"/>
              </w:rPr>
              <w:t>Estimate</w:t>
            </w:r>
          </w:p>
        </w:tc>
      </w:tr>
      <w:tr w:rsidR="008F7DF6" w:rsidRPr="00481CEA" w:rsidTr="008F7DF6">
        <w:trPr>
          <w:trHeight w:val="63"/>
          <w:jc w:val="center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8F7DF6" w:rsidRDefault="008F7DF6" w:rsidP="008F7DF6">
            <w:pPr>
              <w:spacing w:line="240" w:lineRule="auto"/>
              <w:jc w:val="center"/>
              <w:rPr>
                <w:rFonts w:cs="Arial"/>
                <w:color w:val="000000"/>
                <w:sz w:val="20"/>
                <w:vertAlign w:val="subscript"/>
                <w:lang w:val="en-GB"/>
              </w:rPr>
            </w:pPr>
            <w:r>
              <w:rPr>
                <w:rFonts w:cs="Arial"/>
                <w:color w:val="000000"/>
                <w:sz w:val="20"/>
                <w:lang w:val="en-GB"/>
              </w:rPr>
              <w:t>E</w:t>
            </w:r>
            <w:r w:rsidRPr="00BD5572">
              <w:rPr>
                <w:rFonts w:cs="Arial"/>
                <w:color w:val="000000"/>
                <w:sz w:val="20"/>
                <w:vertAlign w:val="subscript"/>
                <w:lang w:val="en-GB"/>
              </w:rPr>
              <w:t>0</w:t>
            </w:r>
          </w:p>
          <w:p w:rsidR="008F7DF6" w:rsidRPr="00845B25" w:rsidRDefault="008F7DF6" w:rsidP="008F7DF6">
            <w:pPr>
              <w:spacing w:line="240" w:lineRule="auto"/>
              <w:rPr>
                <w:rFonts w:cs="Arial"/>
                <w:color w:val="000000"/>
                <w:sz w:val="20"/>
                <w:lang w:val="en-GB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:rsidR="008F7DF6" w:rsidRPr="002C12F3" w:rsidRDefault="008F7DF6" w:rsidP="008F7DF6">
            <w:pPr>
              <w:spacing w:line="240" w:lineRule="auto"/>
              <w:jc w:val="center"/>
              <w:rPr>
                <w:rFonts w:cs="Arial"/>
                <w:color w:val="000000"/>
                <w:sz w:val="20"/>
                <w:lang w:val="en-GB"/>
              </w:rPr>
            </w:pPr>
            <w:r>
              <w:rPr>
                <w:rFonts w:cs="Arial"/>
                <w:color w:val="000000"/>
                <w:sz w:val="20"/>
                <w:lang w:val="en-GB"/>
              </w:rPr>
              <w:t>2004</w:t>
            </w:r>
            <w:r w:rsidR="006B3ACD">
              <w:rPr>
                <w:rFonts w:cs="Arial"/>
                <w:color w:val="000000"/>
                <w:sz w:val="20"/>
                <w:lang w:val="en-GB"/>
              </w:rPr>
              <w:t>*</w:t>
            </w:r>
          </w:p>
        </w:tc>
      </w:tr>
      <w:tr w:rsidR="008F7DF6" w:rsidRPr="00BD5572" w:rsidTr="008F7DF6">
        <w:trPr>
          <w:trHeight w:val="63"/>
          <w:jc w:val="center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8F7DF6" w:rsidRDefault="008F7DF6" w:rsidP="008F7DF6">
            <w:pPr>
              <w:spacing w:line="240" w:lineRule="auto"/>
              <w:jc w:val="center"/>
              <w:rPr>
                <w:rFonts w:cs="Arial"/>
                <w:color w:val="000000"/>
                <w:sz w:val="20"/>
                <w:lang w:val="en-GB"/>
              </w:rPr>
            </w:pPr>
            <w:r w:rsidRPr="00BD5572">
              <w:rPr>
                <w:rFonts w:cs="Arial"/>
                <w:color w:val="000000"/>
                <w:sz w:val="20"/>
                <w:lang w:val="en-GB"/>
              </w:rPr>
              <w:t xml:space="preserve">Background fluorescence </w:t>
            </w:r>
          </w:p>
          <w:p w:rsidR="008F7DF6" w:rsidRPr="00481CEA" w:rsidRDefault="008F7DF6" w:rsidP="008F7DF6">
            <w:pPr>
              <w:spacing w:line="240" w:lineRule="auto"/>
              <w:jc w:val="center"/>
              <w:rPr>
                <w:rFonts w:cs="Arial"/>
                <w:color w:val="000000"/>
                <w:sz w:val="20"/>
                <w:lang w:val="en-GB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:rsidR="008F7DF6" w:rsidRPr="0027770A" w:rsidRDefault="008F7DF6" w:rsidP="008F7DF6">
            <w:pPr>
              <w:spacing w:line="240" w:lineRule="auto"/>
              <w:jc w:val="center"/>
              <w:rPr>
                <w:rFonts w:cs="Arial"/>
                <w:color w:val="000000"/>
                <w:sz w:val="20"/>
                <w:lang w:val="en-GB"/>
              </w:rPr>
            </w:pPr>
            <w:r>
              <w:rPr>
                <w:rFonts w:cs="Arial"/>
                <w:color w:val="000000"/>
                <w:sz w:val="20"/>
                <w:lang w:val="en-GB"/>
              </w:rPr>
              <w:t>1108</w:t>
            </w:r>
            <w:r w:rsidR="006B3ACD">
              <w:rPr>
                <w:rFonts w:cs="Arial"/>
                <w:color w:val="000000"/>
                <w:sz w:val="20"/>
                <w:lang w:val="en-GB"/>
              </w:rPr>
              <w:t>*</w:t>
            </w:r>
          </w:p>
        </w:tc>
      </w:tr>
      <w:tr w:rsidR="008F7DF6" w:rsidRPr="00BD5572" w:rsidTr="008F7DF6">
        <w:trPr>
          <w:trHeight w:val="63"/>
          <w:jc w:val="center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8F7DF6" w:rsidRDefault="008F7DF6" w:rsidP="008F7DF6">
            <w:pPr>
              <w:spacing w:line="240" w:lineRule="auto"/>
              <w:jc w:val="center"/>
              <w:rPr>
                <w:rFonts w:cs="Arial"/>
                <w:color w:val="000000"/>
                <w:sz w:val="20"/>
                <w:lang w:val="en-GB"/>
              </w:rPr>
            </w:pPr>
            <w:r>
              <w:rPr>
                <w:rFonts w:cs="Arial"/>
                <w:color w:val="000000"/>
                <w:sz w:val="20"/>
                <w:lang w:val="en-GB"/>
              </w:rPr>
              <w:t>IC</w:t>
            </w:r>
            <w:r w:rsidRPr="00BD5572">
              <w:rPr>
                <w:rFonts w:cs="Arial"/>
                <w:color w:val="000000"/>
                <w:sz w:val="20"/>
                <w:vertAlign w:val="subscript"/>
                <w:lang w:val="en-GB"/>
              </w:rPr>
              <w:t>50</w:t>
            </w:r>
            <w:r>
              <w:rPr>
                <w:rFonts w:cs="Arial"/>
                <w:color w:val="000000"/>
                <w:sz w:val="20"/>
                <w:lang w:val="en-GB"/>
              </w:rPr>
              <w:t xml:space="preserve"> L-eflornithine</w:t>
            </w:r>
          </w:p>
          <w:p w:rsidR="008F7DF6" w:rsidRPr="00481CEA" w:rsidRDefault="008F7DF6" w:rsidP="008F7DF6">
            <w:pPr>
              <w:spacing w:line="240" w:lineRule="auto"/>
              <w:jc w:val="center"/>
              <w:rPr>
                <w:rFonts w:cs="Arial"/>
                <w:color w:val="000000"/>
                <w:sz w:val="20"/>
                <w:lang w:val="en-GB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:rsidR="008F7DF6" w:rsidRPr="0027770A" w:rsidRDefault="008F7DF6" w:rsidP="008F7DF6">
            <w:pPr>
              <w:spacing w:line="240" w:lineRule="auto"/>
              <w:jc w:val="center"/>
              <w:rPr>
                <w:rFonts w:cs="Arial"/>
                <w:color w:val="000000"/>
                <w:sz w:val="20"/>
                <w:lang w:val="en-GB"/>
              </w:rPr>
            </w:pPr>
            <w:r>
              <w:rPr>
                <w:rFonts w:cs="Arial"/>
                <w:color w:val="000000"/>
                <w:sz w:val="20"/>
                <w:lang w:val="en-GB"/>
              </w:rPr>
              <w:t>5.5 µM</w:t>
            </w:r>
          </w:p>
        </w:tc>
      </w:tr>
      <w:tr w:rsidR="008F7DF6" w:rsidRPr="00BD5572" w:rsidTr="008F7DF6">
        <w:trPr>
          <w:trHeight w:val="68"/>
          <w:jc w:val="center"/>
        </w:trPr>
        <w:tc>
          <w:tcPr>
            <w:tcW w:w="2700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:rsidR="008F7DF6" w:rsidRDefault="008F7DF6" w:rsidP="008F7DF6">
            <w:pPr>
              <w:spacing w:line="240" w:lineRule="auto"/>
              <w:jc w:val="center"/>
              <w:rPr>
                <w:rFonts w:cs="Arial"/>
                <w:color w:val="000000"/>
                <w:sz w:val="20"/>
                <w:lang w:val="en-GB"/>
              </w:rPr>
            </w:pPr>
            <w:r>
              <w:rPr>
                <w:rFonts w:cs="Arial"/>
                <w:color w:val="000000"/>
                <w:sz w:val="20"/>
                <w:lang w:val="en-GB"/>
              </w:rPr>
              <w:t>IC</w:t>
            </w:r>
            <w:r w:rsidRPr="00BD5572">
              <w:rPr>
                <w:rFonts w:cs="Arial"/>
                <w:color w:val="000000"/>
                <w:sz w:val="20"/>
                <w:vertAlign w:val="subscript"/>
                <w:lang w:val="en-GB"/>
              </w:rPr>
              <w:t>50</w:t>
            </w:r>
            <w:r>
              <w:rPr>
                <w:rFonts w:cs="Arial"/>
                <w:color w:val="000000"/>
                <w:sz w:val="20"/>
                <w:lang w:val="en-GB"/>
              </w:rPr>
              <w:t xml:space="preserve"> </w:t>
            </w:r>
            <w:r>
              <w:rPr>
                <w:rFonts w:cs="Arial"/>
                <w:color w:val="000000"/>
                <w:sz w:val="20"/>
                <w:lang w:val="en-GB"/>
              </w:rPr>
              <w:t>D</w:t>
            </w:r>
            <w:r>
              <w:rPr>
                <w:rFonts w:cs="Arial"/>
                <w:color w:val="000000"/>
                <w:sz w:val="20"/>
                <w:lang w:val="en-GB"/>
              </w:rPr>
              <w:t>-eflornithine</w:t>
            </w:r>
          </w:p>
          <w:p w:rsidR="008F7DF6" w:rsidRPr="00481CEA" w:rsidRDefault="008F7DF6" w:rsidP="008F7DF6">
            <w:pPr>
              <w:spacing w:line="240" w:lineRule="auto"/>
              <w:jc w:val="center"/>
              <w:rPr>
                <w:rFonts w:cs="Arial"/>
                <w:color w:val="000000"/>
                <w:sz w:val="20"/>
                <w:lang w:val="en-GB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auto"/>
          </w:tcPr>
          <w:p w:rsidR="008F7DF6" w:rsidRPr="00642C40" w:rsidRDefault="008F7DF6" w:rsidP="008F7DF6">
            <w:pPr>
              <w:spacing w:line="240" w:lineRule="auto"/>
              <w:jc w:val="center"/>
              <w:rPr>
                <w:rFonts w:cs="Arial"/>
                <w:color w:val="000000"/>
                <w:sz w:val="20"/>
                <w:lang w:val="en-GB"/>
              </w:rPr>
            </w:pPr>
            <w:r>
              <w:rPr>
                <w:rFonts w:cs="Arial"/>
                <w:color w:val="000000"/>
                <w:sz w:val="20"/>
                <w:lang w:val="en-GB"/>
              </w:rPr>
              <w:t>49.6 µM</w:t>
            </w:r>
          </w:p>
        </w:tc>
      </w:tr>
      <w:tr w:rsidR="008F7DF6" w:rsidRPr="00BD5572" w:rsidTr="00A25F35">
        <w:trPr>
          <w:trHeight w:val="68"/>
          <w:jc w:val="center"/>
        </w:trPr>
        <w:tc>
          <w:tcPr>
            <w:tcW w:w="6390" w:type="dxa"/>
            <w:gridSpan w:val="2"/>
            <w:tcBorders>
              <w:top w:val="single" w:sz="24" w:space="0" w:color="auto"/>
              <w:left w:val="nil"/>
              <w:bottom w:val="nil"/>
              <w:right w:val="nil"/>
            </w:tcBorders>
          </w:tcPr>
          <w:p w:rsidR="008F7DF6" w:rsidRPr="006B3ACD" w:rsidRDefault="006B3ACD" w:rsidP="006B3ACD">
            <w:pPr>
              <w:spacing w:line="240" w:lineRule="auto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*M</w:t>
            </w:r>
            <w:r w:rsidRPr="006B3ACD">
              <w:rPr>
                <w:sz w:val="20"/>
                <w:szCs w:val="20"/>
                <w:lang w:val="en-GB"/>
              </w:rPr>
              <w:t xml:space="preserve">easured </w:t>
            </w:r>
            <w:r>
              <w:rPr>
                <w:sz w:val="20"/>
                <w:szCs w:val="20"/>
                <w:lang w:val="en-GB"/>
              </w:rPr>
              <w:t xml:space="preserve">relative fluorescence value in </w:t>
            </w:r>
            <w:r w:rsidRPr="006B3ACD">
              <w:rPr>
                <w:sz w:val="20"/>
                <w:szCs w:val="20"/>
                <w:lang w:val="en-GB"/>
              </w:rPr>
              <w:t>assay</w:t>
            </w:r>
            <w:bookmarkStart w:id="0" w:name="_GoBack"/>
            <w:bookmarkEnd w:id="0"/>
            <w:r>
              <w:rPr>
                <w:sz w:val="20"/>
                <w:szCs w:val="20"/>
                <w:lang w:val="en-GB"/>
              </w:rPr>
              <w:t xml:space="preserve">, </w:t>
            </w:r>
            <w:r w:rsidRPr="006B3ACD">
              <w:rPr>
                <w:sz w:val="20"/>
                <w:szCs w:val="20"/>
                <w:lang w:val="en-GB"/>
              </w:rPr>
              <w:t>E</w:t>
            </w:r>
            <w:r w:rsidRPr="006B3ACD">
              <w:rPr>
                <w:sz w:val="20"/>
                <w:szCs w:val="20"/>
                <w:vertAlign w:val="subscript"/>
                <w:lang w:val="en-GB"/>
              </w:rPr>
              <w:t>0</w:t>
            </w:r>
            <w:r w:rsidRPr="006B3ACD">
              <w:rPr>
                <w:sz w:val="20"/>
                <w:szCs w:val="20"/>
                <w:lang w:val="en-GB"/>
              </w:rPr>
              <w:t xml:space="preserve"> </w:t>
            </w:r>
            <w:r w:rsidRPr="006B3ACD">
              <w:rPr>
                <w:sz w:val="20"/>
                <w:szCs w:val="20"/>
                <w:lang w:val="en-GB"/>
              </w:rPr>
              <w:t>–</w:t>
            </w:r>
            <w:r>
              <w:rPr>
                <w:sz w:val="20"/>
                <w:szCs w:val="20"/>
                <w:lang w:val="en-GB"/>
              </w:rPr>
              <w:t xml:space="preserve"> E</w:t>
            </w:r>
            <w:r w:rsidRPr="006B3ACD">
              <w:rPr>
                <w:sz w:val="20"/>
                <w:szCs w:val="20"/>
                <w:lang w:val="en-GB"/>
              </w:rPr>
              <w:t>ffect</w:t>
            </w:r>
            <w:r w:rsidRPr="006B3ACD">
              <w:rPr>
                <w:sz w:val="20"/>
                <w:szCs w:val="20"/>
                <w:lang w:val="en-GB"/>
              </w:rPr>
              <w:t xml:space="preserve"> at zero drug concentration</w:t>
            </w:r>
            <w:r>
              <w:rPr>
                <w:sz w:val="20"/>
                <w:szCs w:val="20"/>
                <w:lang w:val="en-GB"/>
              </w:rPr>
              <w:t>, IC</w:t>
            </w:r>
            <w:r w:rsidRPr="006B3ACD">
              <w:rPr>
                <w:sz w:val="20"/>
                <w:szCs w:val="20"/>
                <w:vertAlign w:val="subscript"/>
                <w:lang w:val="en-GB"/>
              </w:rPr>
              <w:t>50</w:t>
            </w:r>
            <w:r>
              <w:rPr>
                <w:sz w:val="20"/>
                <w:szCs w:val="20"/>
                <w:lang w:val="en-GB"/>
              </w:rPr>
              <w:t xml:space="preserve"> – </w:t>
            </w:r>
            <w:r w:rsidRPr="006B3ACD">
              <w:rPr>
                <w:sz w:val="20"/>
                <w:szCs w:val="20"/>
                <w:lang w:val="en-GB"/>
              </w:rPr>
              <w:t xml:space="preserve">50% inhibitory </w:t>
            </w:r>
            <w:r w:rsidR="008B74F6">
              <w:rPr>
                <w:sz w:val="20"/>
                <w:szCs w:val="20"/>
                <w:lang w:val="en-GB"/>
              </w:rPr>
              <w:t xml:space="preserve">drug </w:t>
            </w:r>
            <w:r w:rsidRPr="006B3ACD">
              <w:rPr>
                <w:sz w:val="20"/>
                <w:szCs w:val="20"/>
                <w:lang w:val="en-GB"/>
              </w:rPr>
              <w:t>concentration</w:t>
            </w:r>
          </w:p>
        </w:tc>
      </w:tr>
    </w:tbl>
    <w:p w:rsidR="00A81030" w:rsidRDefault="00A81030" w:rsidP="00320C83">
      <w:pPr>
        <w:spacing w:line="276" w:lineRule="auto"/>
        <w:jc w:val="both"/>
        <w:rPr>
          <w:sz w:val="22"/>
          <w:szCs w:val="22"/>
          <w:lang w:val="en-GB"/>
        </w:rPr>
      </w:pPr>
    </w:p>
    <w:p w:rsidR="0020710C" w:rsidRDefault="0020710C">
      <w:pPr>
        <w:spacing w:after="160" w:line="259" w:lineRule="auto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6"/>
        <w:gridCol w:w="2302"/>
        <w:gridCol w:w="2302"/>
        <w:gridCol w:w="2302"/>
      </w:tblGrid>
      <w:tr w:rsidR="0020710C" w:rsidRPr="00A81030" w:rsidTr="00E30153">
        <w:tc>
          <w:tcPr>
            <w:tcW w:w="0" w:type="auto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20710C" w:rsidRDefault="0020710C" w:rsidP="00E30153">
            <w:pPr>
              <w:spacing w:line="240" w:lineRule="auto"/>
              <w:jc w:val="center"/>
              <w:rPr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lastRenderedPageBreak/>
              <w:t>Table S</w:t>
            </w:r>
            <w:r w:rsidR="00A81030">
              <w:rPr>
                <w:b/>
                <w:sz w:val="20"/>
                <w:lang w:val="en-GB"/>
              </w:rPr>
              <w:t>I</w:t>
            </w:r>
            <w:r>
              <w:rPr>
                <w:b/>
                <w:sz w:val="20"/>
                <w:lang w:val="en-GB"/>
              </w:rPr>
              <w:t>I</w:t>
            </w:r>
            <w:r>
              <w:rPr>
                <w:sz w:val="20"/>
                <w:lang w:val="en-GB"/>
              </w:rPr>
              <w:t xml:space="preserve"> Pharmacodynamic model parameters used </w:t>
            </w:r>
          </w:p>
          <w:p w:rsidR="0020710C" w:rsidRPr="00481CEA" w:rsidRDefault="0020710C" w:rsidP="00E30153">
            <w:pPr>
              <w:spacing w:line="240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in the efficacy simulations of oral L-eflornithine</w:t>
            </w:r>
          </w:p>
        </w:tc>
      </w:tr>
      <w:tr w:rsidR="0020710C" w:rsidRPr="00402BD4" w:rsidTr="00E30153"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0710C" w:rsidRDefault="0020710C" w:rsidP="00E30153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  <w:p w:rsidR="0020710C" w:rsidRPr="00A77BE8" w:rsidRDefault="0020710C" w:rsidP="00E30153">
            <w:pPr>
              <w:spacing w:line="240" w:lineRule="auto"/>
              <w:rPr>
                <w:rFonts w:cs="Arial"/>
                <w:color w:val="000000"/>
                <w:sz w:val="20"/>
                <w:highlight w:val="yellow"/>
                <w:lang w:val="en-GB"/>
              </w:rPr>
            </w:pPr>
          </w:p>
        </w:tc>
        <w:tc>
          <w:tcPr>
            <w:tcW w:w="0" w:type="auto"/>
            <w:gridSpan w:val="3"/>
            <w:tcBorders>
              <w:top w:val="single" w:sz="1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0710C" w:rsidRPr="00CF30E0" w:rsidRDefault="0020710C" w:rsidP="00E30153">
            <w:pPr>
              <w:spacing w:line="240" w:lineRule="auto"/>
              <w:jc w:val="center"/>
              <w:rPr>
                <w:rFonts w:cs="Arial"/>
                <w:color w:val="000000"/>
                <w:sz w:val="20"/>
                <w:lang w:val="en-GB"/>
              </w:rPr>
            </w:pPr>
            <w:r w:rsidRPr="00CF30E0">
              <w:rPr>
                <w:rFonts w:cs="Arial"/>
                <w:color w:val="000000"/>
                <w:sz w:val="20"/>
                <w:lang w:val="en-GB"/>
              </w:rPr>
              <w:t>Assessed treatment</w:t>
            </w:r>
          </w:p>
        </w:tc>
      </w:tr>
      <w:tr w:rsidR="0020710C" w:rsidRPr="00E64BC4" w:rsidTr="00E30153">
        <w:trPr>
          <w:trHeight w:val="58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0710C" w:rsidRDefault="0020710C" w:rsidP="00E30153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cs="Arial"/>
                <w:color w:val="000000"/>
                <w:sz w:val="20"/>
                <w:szCs w:val="20"/>
                <w:lang w:val="en-GB"/>
              </w:rPr>
              <w:t>Parameter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0710C" w:rsidRPr="008143D3" w:rsidRDefault="0020710C" w:rsidP="00E30153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8143D3">
              <w:rPr>
                <w:rFonts w:cs="Arial"/>
                <w:color w:val="000000"/>
                <w:sz w:val="20"/>
                <w:szCs w:val="20"/>
                <w:lang w:val="en-GB"/>
              </w:rPr>
              <w:t>Oral L-eflornithine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0710C" w:rsidRPr="008143D3" w:rsidRDefault="0020710C" w:rsidP="00E30153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8143D3">
              <w:rPr>
                <w:rFonts w:cs="Arial"/>
                <w:color w:val="000000"/>
                <w:sz w:val="20"/>
                <w:szCs w:val="20"/>
                <w:lang w:val="en-GB"/>
              </w:rPr>
              <w:t>Oral L-eflornithine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0710C" w:rsidRPr="008143D3" w:rsidRDefault="0020710C" w:rsidP="00E30153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8143D3">
              <w:rPr>
                <w:rFonts w:cs="Arial"/>
                <w:color w:val="000000"/>
                <w:sz w:val="20"/>
                <w:szCs w:val="20"/>
                <w:lang w:val="en-GB"/>
              </w:rPr>
              <w:t>Oral L-eflornithine</w:t>
            </w:r>
          </w:p>
        </w:tc>
      </w:tr>
      <w:tr w:rsidR="0020710C" w:rsidRPr="00E64BC4" w:rsidTr="00E30153">
        <w:trPr>
          <w:trHeight w:val="58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0710C" w:rsidRDefault="0020710C" w:rsidP="00E30153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143D3">
              <w:rPr>
                <w:rFonts w:cs="Arial"/>
                <w:sz w:val="20"/>
                <w:szCs w:val="20"/>
              </w:rPr>
              <w:t xml:space="preserve">Dose </w:t>
            </w:r>
          </w:p>
          <w:p w:rsidR="0020710C" w:rsidRDefault="0020710C" w:rsidP="00E30153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143D3">
              <w:rPr>
                <w:rFonts w:cs="Arial"/>
                <w:sz w:val="20"/>
                <w:szCs w:val="20"/>
              </w:rPr>
              <w:t>L-eflornithine (g)</w:t>
            </w:r>
          </w:p>
          <w:p w:rsidR="0020710C" w:rsidRPr="008143D3" w:rsidRDefault="0020710C" w:rsidP="00E30153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0710C" w:rsidRPr="008143D3" w:rsidRDefault="0020710C" w:rsidP="00E30153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143D3">
              <w:rPr>
                <w:rFonts w:cs="Arial"/>
                <w:sz w:val="20"/>
                <w:szCs w:val="20"/>
              </w:rPr>
              <w:t>33</w:t>
            </w:r>
            <w:r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0710C" w:rsidRDefault="0020710C" w:rsidP="00E30153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0710C" w:rsidRDefault="0020710C" w:rsidP="00E30153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333</w:t>
            </w:r>
          </w:p>
        </w:tc>
      </w:tr>
      <w:tr w:rsidR="0020710C" w:rsidRPr="00E64BC4" w:rsidTr="00E30153">
        <w:trPr>
          <w:trHeight w:val="58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0710C" w:rsidRPr="00006E83" w:rsidRDefault="0020710C" w:rsidP="00E30153">
            <w:pPr>
              <w:spacing w:line="240" w:lineRule="auto"/>
              <w:jc w:val="center"/>
              <w:rPr>
                <w:rFonts w:cs="Arial"/>
                <w:color w:val="000000"/>
                <w:sz w:val="20"/>
                <w:lang w:val="en-GB"/>
              </w:rPr>
            </w:pPr>
            <w:r w:rsidRPr="00006E83">
              <w:rPr>
                <w:rFonts w:cs="Arial"/>
                <w:color w:val="000000"/>
                <w:sz w:val="20"/>
                <w:lang w:val="en-GB"/>
              </w:rPr>
              <w:t xml:space="preserve">BASE </w:t>
            </w:r>
          </w:p>
          <w:p w:rsidR="0020710C" w:rsidRPr="00006E83" w:rsidRDefault="0020710C" w:rsidP="00E30153">
            <w:pPr>
              <w:spacing w:line="240" w:lineRule="auto"/>
              <w:jc w:val="center"/>
              <w:rPr>
                <w:rFonts w:cs="Arial"/>
                <w:color w:val="000000"/>
                <w:sz w:val="20"/>
                <w:lang w:val="en-GB"/>
              </w:rPr>
            </w:pPr>
            <w:r>
              <w:rPr>
                <w:rFonts w:cs="Arial"/>
                <w:color w:val="000000"/>
                <w:sz w:val="20"/>
                <w:lang w:val="en-GB"/>
              </w:rPr>
              <w:t>(</w:t>
            </w:r>
            <w:r w:rsidRPr="00006E83">
              <w:rPr>
                <w:rFonts w:cs="Arial"/>
                <w:color w:val="000000"/>
                <w:sz w:val="20"/>
                <w:lang w:val="en-GB"/>
              </w:rPr>
              <w:t>month</w:t>
            </w:r>
            <w:r>
              <w:rPr>
                <w:rFonts w:cs="Arial"/>
                <w:color w:val="000000"/>
                <w:sz w:val="20"/>
                <w:vertAlign w:val="superscript"/>
                <w:lang w:val="en-GB"/>
              </w:rPr>
              <w:t>-1</w:t>
            </w:r>
            <w:r w:rsidRPr="00006E83">
              <w:rPr>
                <w:rFonts w:cs="Arial"/>
                <w:color w:val="000000"/>
                <w:sz w:val="20"/>
                <w:lang w:val="en-GB"/>
              </w:rPr>
              <w:t>)</w:t>
            </w:r>
          </w:p>
          <w:p w:rsidR="0020710C" w:rsidRPr="00006E83" w:rsidRDefault="0020710C" w:rsidP="00E30153">
            <w:pPr>
              <w:spacing w:line="240" w:lineRule="auto"/>
              <w:jc w:val="center"/>
              <w:rPr>
                <w:rFonts w:cs="Arial"/>
                <w:color w:val="000000"/>
                <w:sz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0710C" w:rsidRPr="00006E83" w:rsidRDefault="0020710C" w:rsidP="00E30153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006E83">
              <w:rPr>
                <w:rFonts w:cs="Arial"/>
                <w:color w:val="000000"/>
                <w:sz w:val="20"/>
                <w:lang w:val="en-GB"/>
              </w:rPr>
              <w:t>0.035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0710C" w:rsidRPr="00006E83" w:rsidRDefault="0020710C" w:rsidP="00E30153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06E83">
              <w:rPr>
                <w:rFonts w:cs="Arial"/>
                <w:color w:val="000000"/>
                <w:sz w:val="20"/>
                <w:lang w:val="en-GB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0710C" w:rsidRPr="00006E83" w:rsidRDefault="0020710C" w:rsidP="00E30153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06E83">
              <w:rPr>
                <w:rFonts w:cs="Arial"/>
                <w:sz w:val="20"/>
                <w:szCs w:val="20"/>
              </w:rPr>
              <w:t>0.0</w:t>
            </w:r>
            <w:r>
              <w:rPr>
                <w:rFonts w:cs="Arial"/>
                <w:sz w:val="20"/>
                <w:szCs w:val="20"/>
              </w:rPr>
              <w:t>77</w:t>
            </w:r>
          </w:p>
        </w:tc>
      </w:tr>
      <w:tr w:rsidR="0020710C" w:rsidRPr="00E64BC4" w:rsidTr="00E30153">
        <w:trPr>
          <w:trHeight w:val="58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0710C" w:rsidRPr="008143D3" w:rsidRDefault="0020710C" w:rsidP="00E30153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8143D3">
              <w:rPr>
                <w:rFonts w:cs="Arial"/>
                <w:color w:val="000000"/>
                <w:sz w:val="20"/>
                <w:szCs w:val="20"/>
                <w:lang w:val="en-GB"/>
              </w:rPr>
              <w:t>SHAPE</w:t>
            </w:r>
          </w:p>
          <w:p w:rsidR="0020710C" w:rsidRPr="008143D3" w:rsidRDefault="0020710C" w:rsidP="00E30153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0710C" w:rsidRPr="008143D3" w:rsidRDefault="0020710C" w:rsidP="00E30153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cs="Arial"/>
                <w:color w:val="000000"/>
                <w:sz w:val="20"/>
                <w:szCs w:val="20"/>
                <w:lang w:val="en-GB"/>
              </w:rPr>
              <w:t>2.53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0710C" w:rsidRPr="008143D3" w:rsidRDefault="0020710C" w:rsidP="00E30153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8143D3">
              <w:rPr>
                <w:rFonts w:cs="Arial"/>
                <w:color w:val="000000"/>
                <w:sz w:val="20"/>
                <w:szCs w:val="20"/>
                <w:lang w:val="en-GB"/>
              </w:rPr>
              <w:t>1.93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0710C" w:rsidRPr="008143D3" w:rsidRDefault="0020710C" w:rsidP="00E30153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143D3">
              <w:rPr>
                <w:rFonts w:cs="Arial"/>
                <w:sz w:val="20"/>
                <w:szCs w:val="20"/>
              </w:rPr>
              <w:t>1</w:t>
            </w:r>
          </w:p>
        </w:tc>
      </w:tr>
      <w:tr w:rsidR="0020710C" w:rsidRPr="00E64BC4" w:rsidTr="00E30153">
        <w:trPr>
          <w:trHeight w:val="58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0710C" w:rsidRDefault="0020710C" w:rsidP="00E30153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143D3">
              <w:rPr>
                <w:rFonts w:cs="Arial"/>
                <w:sz w:val="20"/>
                <w:szCs w:val="20"/>
              </w:rPr>
              <w:t>ID</w:t>
            </w:r>
            <w:r w:rsidRPr="005F31F3">
              <w:rPr>
                <w:rFonts w:cs="Arial"/>
                <w:sz w:val="20"/>
                <w:szCs w:val="20"/>
                <w:vertAlign w:val="subscript"/>
              </w:rPr>
              <w:t>50</w:t>
            </w:r>
          </w:p>
          <w:p w:rsidR="0020710C" w:rsidRPr="008143D3" w:rsidRDefault="0020710C" w:rsidP="00E30153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143D3">
              <w:rPr>
                <w:rFonts w:cs="Arial"/>
                <w:sz w:val="20"/>
                <w:szCs w:val="20"/>
              </w:rPr>
              <w:t>(g)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0710C" w:rsidRPr="008143D3" w:rsidRDefault="0020710C" w:rsidP="00E30153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0710C" w:rsidRPr="008143D3" w:rsidRDefault="0020710C" w:rsidP="00E30153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0710C" w:rsidRPr="008143D3" w:rsidRDefault="0020710C" w:rsidP="00E30153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118</w:t>
            </w:r>
          </w:p>
        </w:tc>
      </w:tr>
      <w:tr w:rsidR="0020710C" w:rsidRPr="00A81030" w:rsidTr="00E30153">
        <w:trPr>
          <w:trHeight w:val="221"/>
        </w:trPr>
        <w:tc>
          <w:tcPr>
            <w:tcW w:w="0" w:type="auto"/>
            <w:gridSpan w:val="4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20710C" w:rsidRPr="00CF30E0" w:rsidRDefault="0020710C" w:rsidP="00E30153">
            <w:pPr>
              <w:spacing w:line="240" w:lineRule="auto"/>
              <w:rPr>
                <w:rFonts w:cs="Arial"/>
                <w:color w:val="000000"/>
                <w:sz w:val="20"/>
                <w:lang w:val="en-GB"/>
              </w:rPr>
            </w:pPr>
            <w:r>
              <w:rPr>
                <w:sz w:val="20"/>
                <w:lang w:val="en-GB"/>
              </w:rPr>
              <w:t>Dose – Total dose administered, BASE – baseline hazard,</w:t>
            </w:r>
            <w:r w:rsidRPr="00481CEA">
              <w:rPr>
                <w:rFonts w:cs="Arial"/>
                <w:color w:val="000000"/>
                <w:sz w:val="20"/>
                <w:lang w:val="en-GB"/>
              </w:rPr>
              <w:t xml:space="preserve"> SHAPE</w:t>
            </w:r>
            <w:r>
              <w:rPr>
                <w:rFonts w:cs="Arial"/>
                <w:color w:val="000000"/>
                <w:sz w:val="20"/>
                <w:lang w:val="en-GB"/>
              </w:rPr>
              <w:t xml:space="preserve"> – </w:t>
            </w:r>
            <w:r w:rsidRPr="00481CEA">
              <w:rPr>
                <w:rFonts w:cs="Arial"/>
                <w:color w:val="000000"/>
                <w:sz w:val="20"/>
                <w:lang w:val="en-GB"/>
              </w:rPr>
              <w:t>Weibull shape</w:t>
            </w:r>
            <w:r>
              <w:rPr>
                <w:rFonts w:cs="Arial"/>
                <w:color w:val="000000"/>
                <w:sz w:val="20"/>
                <w:lang w:val="en-GB"/>
              </w:rPr>
              <w:t>, ID</w:t>
            </w:r>
            <w:r w:rsidRPr="00C4628E">
              <w:rPr>
                <w:rFonts w:cs="Arial"/>
                <w:color w:val="000000"/>
                <w:sz w:val="20"/>
                <w:vertAlign w:val="subscript"/>
                <w:lang w:val="en-GB"/>
              </w:rPr>
              <w:t>50</w:t>
            </w:r>
            <w:r>
              <w:rPr>
                <w:rFonts w:cs="Arial"/>
                <w:color w:val="000000"/>
                <w:sz w:val="20"/>
                <w:lang w:val="en-GB"/>
              </w:rPr>
              <w:t xml:space="preserve"> – total dose that reduce BASE by 50%</w:t>
            </w:r>
          </w:p>
          <w:p w:rsidR="0020710C" w:rsidRPr="00481CEA" w:rsidRDefault="0020710C" w:rsidP="00E30153">
            <w:pPr>
              <w:spacing w:line="240" w:lineRule="auto"/>
              <w:rPr>
                <w:rFonts w:cs="Arial"/>
                <w:color w:val="000000"/>
                <w:sz w:val="20"/>
                <w:lang w:val="en-GB"/>
              </w:rPr>
            </w:pPr>
          </w:p>
        </w:tc>
      </w:tr>
    </w:tbl>
    <w:p w:rsidR="000F45BC" w:rsidRPr="0020710C" w:rsidRDefault="000F45BC" w:rsidP="00320C83">
      <w:pPr>
        <w:spacing w:line="276" w:lineRule="auto"/>
        <w:jc w:val="both"/>
        <w:rPr>
          <w:rFonts w:cs="Arial"/>
          <w:lang w:val="en-GB"/>
        </w:rPr>
      </w:pPr>
    </w:p>
    <w:p w:rsidR="00E81FBF" w:rsidRPr="00E81FBF" w:rsidRDefault="00E81FBF">
      <w:pPr>
        <w:rPr>
          <w:lang w:val="en-US"/>
        </w:rPr>
      </w:pPr>
    </w:p>
    <w:sectPr w:rsidR="00E81FBF" w:rsidRPr="00E81FBF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47CD" w:rsidRDefault="005847CD" w:rsidP="00EF546A">
      <w:pPr>
        <w:spacing w:line="240" w:lineRule="auto"/>
      </w:pPr>
      <w:r>
        <w:separator/>
      </w:r>
    </w:p>
  </w:endnote>
  <w:endnote w:type="continuationSeparator" w:id="0">
    <w:p w:rsidR="005847CD" w:rsidRDefault="005847CD" w:rsidP="00EF54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47CD" w:rsidRDefault="005847CD" w:rsidP="00EF546A">
      <w:pPr>
        <w:spacing w:line="240" w:lineRule="auto"/>
      </w:pPr>
      <w:r>
        <w:separator/>
      </w:r>
    </w:p>
  </w:footnote>
  <w:footnote w:type="continuationSeparator" w:id="0">
    <w:p w:rsidR="005847CD" w:rsidRDefault="005847CD" w:rsidP="00EF546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FBF"/>
    <w:rsid w:val="000420E3"/>
    <w:rsid w:val="000F45BC"/>
    <w:rsid w:val="0015647B"/>
    <w:rsid w:val="00186571"/>
    <w:rsid w:val="0020710C"/>
    <w:rsid w:val="002A1D08"/>
    <w:rsid w:val="002C1584"/>
    <w:rsid w:val="002E16B7"/>
    <w:rsid w:val="003019B6"/>
    <w:rsid w:val="00313B4F"/>
    <w:rsid w:val="003205EA"/>
    <w:rsid w:val="00320C83"/>
    <w:rsid w:val="003353ED"/>
    <w:rsid w:val="003C7F20"/>
    <w:rsid w:val="005015F2"/>
    <w:rsid w:val="00527318"/>
    <w:rsid w:val="005847CD"/>
    <w:rsid w:val="005A7EDA"/>
    <w:rsid w:val="005F31F3"/>
    <w:rsid w:val="00622F8E"/>
    <w:rsid w:val="006A7828"/>
    <w:rsid w:val="006B3ACD"/>
    <w:rsid w:val="007843BE"/>
    <w:rsid w:val="00795558"/>
    <w:rsid w:val="00805B00"/>
    <w:rsid w:val="00861C51"/>
    <w:rsid w:val="008B74F6"/>
    <w:rsid w:val="008C7AD3"/>
    <w:rsid w:val="008E0BE3"/>
    <w:rsid w:val="008F7DF6"/>
    <w:rsid w:val="009839B9"/>
    <w:rsid w:val="009A143C"/>
    <w:rsid w:val="009A7805"/>
    <w:rsid w:val="009C4F8D"/>
    <w:rsid w:val="00A16F64"/>
    <w:rsid w:val="00A81030"/>
    <w:rsid w:val="00AB024D"/>
    <w:rsid w:val="00AC3EF1"/>
    <w:rsid w:val="00AE35CA"/>
    <w:rsid w:val="00B269FD"/>
    <w:rsid w:val="00B5097B"/>
    <w:rsid w:val="00B62690"/>
    <w:rsid w:val="00BD5572"/>
    <w:rsid w:val="00C40329"/>
    <w:rsid w:val="00CC449F"/>
    <w:rsid w:val="00CF7410"/>
    <w:rsid w:val="00D60FC9"/>
    <w:rsid w:val="00E81FBF"/>
    <w:rsid w:val="00EF546A"/>
    <w:rsid w:val="00F7372F"/>
    <w:rsid w:val="00F92854"/>
    <w:rsid w:val="00FA7D66"/>
    <w:rsid w:val="00FB5532"/>
    <w:rsid w:val="00FD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0D5F0"/>
  <w15:chartTrackingRefBased/>
  <w15:docId w15:val="{433B679E-BC49-4738-922B-953D1DF28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1FBF"/>
    <w:pPr>
      <w:spacing w:after="0" w:line="360" w:lineRule="auto"/>
    </w:pPr>
    <w:rPr>
      <w:rFonts w:ascii="Arial" w:hAnsi="Arial" w:cs="Times New Roman"/>
      <w:sz w:val="24"/>
      <w:szCs w:val="24"/>
      <w:lang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46A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546A"/>
    <w:rPr>
      <w:rFonts w:ascii="Arial" w:hAnsi="Arial" w:cs="Times New Roman"/>
      <w:sz w:val="24"/>
      <w:szCs w:val="24"/>
      <w:lang w:eastAsia="sv-SE"/>
    </w:rPr>
  </w:style>
  <w:style w:type="paragraph" w:styleId="Footer">
    <w:name w:val="footer"/>
    <w:basedOn w:val="Normal"/>
    <w:link w:val="FooterChar"/>
    <w:uiPriority w:val="99"/>
    <w:unhideWhenUsed/>
    <w:rsid w:val="00EF546A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546A"/>
    <w:rPr>
      <w:rFonts w:ascii="Arial" w:hAnsi="Arial" w:cs="Times New Roman"/>
      <w:sz w:val="24"/>
      <w:szCs w:val="24"/>
      <w:lang w:eastAsia="sv-SE"/>
    </w:rPr>
  </w:style>
  <w:style w:type="table" w:styleId="TableGrid">
    <w:name w:val="Table Grid"/>
    <w:basedOn w:val="TableNormal"/>
    <w:uiPriority w:val="39"/>
    <w:rsid w:val="0020710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D557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5572"/>
    <w:rPr>
      <w:rFonts w:ascii="Segoe UI" w:hAnsi="Segoe UI" w:cs="Segoe UI"/>
      <w:sz w:val="18"/>
      <w:szCs w:val="18"/>
      <w:lang w:eastAsia="sv-SE"/>
    </w:rPr>
  </w:style>
  <w:style w:type="paragraph" w:styleId="ListParagraph">
    <w:name w:val="List Paragraph"/>
    <w:basedOn w:val="Normal"/>
    <w:uiPriority w:val="34"/>
    <w:qFormat/>
    <w:rsid w:val="006B3A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322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 Boberg</dc:creator>
  <cp:keywords/>
  <dc:description/>
  <cp:lastModifiedBy>Mikael Boberg</cp:lastModifiedBy>
  <cp:revision>49</cp:revision>
  <dcterms:created xsi:type="dcterms:W3CDTF">2021-09-10T07:23:00Z</dcterms:created>
  <dcterms:modified xsi:type="dcterms:W3CDTF">2022-01-28T15:18:00Z</dcterms:modified>
</cp:coreProperties>
</file>