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4E5BB" w14:textId="2235C8D7" w:rsidR="00862098" w:rsidRPr="006E56E4" w:rsidRDefault="00862098" w:rsidP="00862098">
      <w:pPr>
        <w:pStyle w:val="Articletitle"/>
        <w:spacing w:after="0" w:line="480" w:lineRule="auto"/>
        <w:rPr>
          <w:sz w:val="24"/>
        </w:rPr>
      </w:pPr>
      <w:r w:rsidRPr="006E56E4">
        <w:rPr>
          <w:sz w:val="24"/>
        </w:rPr>
        <w:t>Nonclinical Pharmacokinetics, Pharmacodynamics, and Translational Model of RO7297089, A Novel Anti-BCMA/CD16A Bispecific Tetravalent Antibody for the Treatment of Multiple Myeloma</w:t>
      </w:r>
    </w:p>
    <w:p w14:paraId="228DF8A6" w14:textId="77777777" w:rsidR="00862098" w:rsidRPr="006E56E4" w:rsidRDefault="00862098" w:rsidP="00862098">
      <w:pPr>
        <w:spacing w:line="480" w:lineRule="auto"/>
        <w:rPr>
          <w:lang w:val="en-GB" w:eastAsia="en-GB"/>
        </w:rPr>
      </w:pPr>
    </w:p>
    <w:p w14:paraId="3B88B73F" w14:textId="77777777" w:rsidR="00862098" w:rsidRPr="006E56E4" w:rsidRDefault="00862098" w:rsidP="00862098">
      <w:pPr>
        <w:pStyle w:val="Authornames"/>
        <w:spacing w:before="0" w:line="480" w:lineRule="auto"/>
        <w:rPr>
          <w:sz w:val="24"/>
        </w:rPr>
      </w:pPr>
      <w:r w:rsidRPr="006E56E4">
        <w:rPr>
          <w:sz w:val="24"/>
        </w:rPr>
        <w:t>Hao Cai</w:t>
      </w:r>
      <w:r w:rsidRPr="006E56E4">
        <w:rPr>
          <w:sz w:val="24"/>
          <w:vertAlign w:val="superscript"/>
        </w:rPr>
        <w:t>1*</w:t>
      </w:r>
      <w:r w:rsidRPr="006E56E4">
        <w:rPr>
          <w:sz w:val="24"/>
        </w:rPr>
        <w:t>, Satoko Kakiuchi-Kiyota</w:t>
      </w:r>
      <w:r w:rsidRPr="006E56E4">
        <w:rPr>
          <w:sz w:val="24"/>
          <w:vertAlign w:val="superscript"/>
        </w:rPr>
        <w:t>2</w:t>
      </w:r>
      <w:r w:rsidRPr="006E56E4">
        <w:rPr>
          <w:sz w:val="24"/>
        </w:rPr>
        <w:t>, Robert Hendricks</w:t>
      </w:r>
      <w:r w:rsidRPr="006E56E4">
        <w:rPr>
          <w:sz w:val="24"/>
          <w:vertAlign w:val="superscript"/>
        </w:rPr>
        <w:t>3</w:t>
      </w:r>
      <w:r w:rsidRPr="006E56E4">
        <w:rPr>
          <w:sz w:val="24"/>
        </w:rPr>
        <w:t>, Shelly Zhong</w:t>
      </w:r>
      <w:r w:rsidRPr="006E56E4">
        <w:rPr>
          <w:sz w:val="24"/>
          <w:vertAlign w:val="superscript"/>
        </w:rPr>
        <w:t>2</w:t>
      </w:r>
      <w:r w:rsidRPr="006E56E4">
        <w:rPr>
          <w:sz w:val="24"/>
        </w:rPr>
        <w:t>, Luna Liu</w:t>
      </w:r>
      <w:r w:rsidRPr="006E56E4">
        <w:rPr>
          <w:sz w:val="24"/>
          <w:vertAlign w:val="superscript"/>
        </w:rPr>
        <w:t>3</w:t>
      </w:r>
      <w:r w:rsidRPr="006E56E4">
        <w:rPr>
          <w:sz w:val="24"/>
        </w:rPr>
        <w:t>, Adeyemi O. Adedeji</w:t>
      </w:r>
      <w:r w:rsidRPr="006E56E4">
        <w:rPr>
          <w:sz w:val="24"/>
          <w:vertAlign w:val="superscript"/>
        </w:rPr>
        <w:t>2</w:t>
      </w:r>
      <w:r w:rsidRPr="006E56E4">
        <w:rPr>
          <w:sz w:val="24"/>
        </w:rPr>
        <w:t>, Pamela Chan</w:t>
      </w:r>
      <w:r w:rsidRPr="006E56E4">
        <w:rPr>
          <w:sz w:val="24"/>
          <w:vertAlign w:val="superscript"/>
        </w:rPr>
        <w:t>4</w:t>
      </w:r>
      <w:r w:rsidRPr="006E56E4">
        <w:rPr>
          <w:sz w:val="24"/>
        </w:rPr>
        <w:t>, Melissa M. Schutten</w:t>
      </w:r>
      <w:r w:rsidRPr="006E56E4">
        <w:rPr>
          <w:sz w:val="24"/>
          <w:vertAlign w:val="superscript"/>
        </w:rPr>
        <w:t>2</w:t>
      </w:r>
      <w:r w:rsidRPr="006E56E4">
        <w:rPr>
          <w:sz w:val="24"/>
        </w:rPr>
        <w:t>, Amrita V. Kamath</w:t>
      </w:r>
      <w:r w:rsidRPr="006E56E4">
        <w:rPr>
          <w:sz w:val="24"/>
          <w:vertAlign w:val="superscript"/>
        </w:rPr>
        <w:t>1</w:t>
      </w:r>
      <w:r w:rsidRPr="006E56E4">
        <w:rPr>
          <w:sz w:val="24"/>
        </w:rPr>
        <w:t xml:space="preserve">, </w:t>
      </w:r>
      <w:proofErr w:type="spellStart"/>
      <w:r w:rsidRPr="006E56E4">
        <w:rPr>
          <w:sz w:val="24"/>
        </w:rPr>
        <w:t>Meric</w:t>
      </w:r>
      <w:proofErr w:type="spellEnd"/>
      <w:r w:rsidRPr="006E56E4">
        <w:rPr>
          <w:sz w:val="24"/>
        </w:rPr>
        <w:t xml:space="preserve"> A. Ovacik</w:t>
      </w:r>
      <w:r w:rsidRPr="006E56E4">
        <w:rPr>
          <w:sz w:val="24"/>
          <w:vertAlign w:val="superscript"/>
        </w:rPr>
        <w:t>1*</w:t>
      </w:r>
      <w:r w:rsidRPr="006E56E4">
        <w:rPr>
          <w:sz w:val="24"/>
        </w:rPr>
        <w:t xml:space="preserve"> </w:t>
      </w:r>
    </w:p>
    <w:p w14:paraId="06EAC3EE" w14:textId="77777777" w:rsidR="00862098" w:rsidRPr="006E56E4" w:rsidRDefault="00862098" w:rsidP="00862098">
      <w:pPr>
        <w:spacing w:line="480" w:lineRule="auto"/>
        <w:rPr>
          <w:lang w:val="en-GB" w:eastAsia="en-GB"/>
        </w:rPr>
      </w:pPr>
    </w:p>
    <w:p w14:paraId="776B4558" w14:textId="77777777" w:rsidR="00862098" w:rsidRPr="006E56E4" w:rsidRDefault="00862098" w:rsidP="00862098">
      <w:pPr>
        <w:pStyle w:val="Affiliation"/>
        <w:spacing w:before="0" w:line="480" w:lineRule="auto"/>
      </w:pPr>
      <w:r w:rsidRPr="006E56E4">
        <w:rPr>
          <w:vertAlign w:val="superscript"/>
        </w:rPr>
        <w:t>1</w:t>
      </w:r>
      <w:r w:rsidRPr="006E56E4">
        <w:t xml:space="preserve">Preclinical and Translational Pharmacokinetics and Pharmacodynamics, Genentech Inc., 1 DNA Way, South San Francisco, CA 94080 </w:t>
      </w:r>
    </w:p>
    <w:p w14:paraId="69503089" w14:textId="77777777" w:rsidR="00862098" w:rsidRPr="006E56E4" w:rsidRDefault="00862098" w:rsidP="00862098">
      <w:pPr>
        <w:pStyle w:val="Affiliation"/>
        <w:spacing w:before="0" w:line="480" w:lineRule="auto"/>
      </w:pPr>
      <w:r w:rsidRPr="006E56E4">
        <w:rPr>
          <w:vertAlign w:val="superscript"/>
        </w:rPr>
        <w:t>2</w:t>
      </w:r>
      <w:r w:rsidRPr="006E56E4">
        <w:t>Safety Assessment, Genentech Inc., 1 DNA Way, South San Francisco, CA 94080</w:t>
      </w:r>
    </w:p>
    <w:p w14:paraId="4462E371" w14:textId="77777777" w:rsidR="00862098" w:rsidRPr="006E56E4" w:rsidRDefault="00862098" w:rsidP="00862098">
      <w:pPr>
        <w:pStyle w:val="Affiliation"/>
        <w:spacing w:before="0" w:line="480" w:lineRule="auto"/>
      </w:pPr>
      <w:r w:rsidRPr="006E56E4">
        <w:rPr>
          <w:vertAlign w:val="superscript"/>
        </w:rPr>
        <w:t>3</w:t>
      </w:r>
      <w:r w:rsidRPr="006E56E4">
        <w:t>BioAnalytical Sciences, Genentech Inc., 1 DNA Way, South San Francisco, CA 94080</w:t>
      </w:r>
    </w:p>
    <w:p w14:paraId="20BC4091" w14:textId="77777777" w:rsidR="00862098" w:rsidRPr="006E56E4" w:rsidRDefault="00862098" w:rsidP="00862098">
      <w:pPr>
        <w:pStyle w:val="Affiliation"/>
        <w:spacing w:before="0" w:line="480" w:lineRule="auto"/>
      </w:pPr>
      <w:r w:rsidRPr="006E56E4">
        <w:rPr>
          <w:vertAlign w:val="superscript"/>
        </w:rPr>
        <w:t>4</w:t>
      </w:r>
      <w:r w:rsidRPr="006E56E4">
        <w:t>Biochemical Cellular Pharmacology, Genentech Inc., 1 DNA Way, South San Francisco, CA 94080</w:t>
      </w:r>
    </w:p>
    <w:p w14:paraId="7105BE55" w14:textId="77777777" w:rsidR="00862098" w:rsidRPr="006E56E4" w:rsidRDefault="00862098" w:rsidP="00862098">
      <w:pPr>
        <w:pStyle w:val="Affiliation"/>
        <w:spacing w:before="0" w:line="480" w:lineRule="auto"/>
      </w:pPr>
    </w:p>
    <w:p w14:paraId="0463C3E9" w14:textId="77777777" w:rsidR="00862098" w:rsidRPr="006E56E4" w:rsidRDefault="00862098" w:rsidP="00862098">
      <w:pPr>
        <w:pStyle w:val="Affiliation"/>
        <w:spacing w:before="0" w:line="480" w:lineRule="auto"/>
      </w:pPr>
      <w:r w:rsidRPr="006E56E4">
        <w:t>* Corresponding authors</w:t>
      </w:r>
    </w:p>
    <w:p w14:paraId="025F6D08" w14:textId="77777777" w:rsidR="00862098" w:rsidRPr="006E56E4" w:rsidRDefault="00862098" w:rsidP="00862098">
      <w:pPr>
        <w:pStyle w:val="Affiliation"/>
        <w:spacing w:before="0" w:line="480" w:lineRule="auto"/>
        <w:rPr>
          <w:i w:val="0"/>
          <w:iCs/>
        </w:rPr>
      </w:pPr>
      <w:proofErr w:type="spellStart"/>
      <w:r w:rsidRPr="006E56E4">
        <w:rPr>
          <w:i w:val="0"/>
          <w:iCs/>
        </w:rPr>
        <w:t>Meric</w:t>
      </w:r>
      <w:proofErr w:type="spellEnd"/>
      <w:r w:rsidRPr="006E56E4">
        <w:rPr>
          <w:i w:val="0"/>
          <w:iCs/>
        </w:rPr>
        <w:t xml:space="preserve"> A. </w:t>
      </w:r>
      <w:proofErr w:type="spellStart"/>
      <w:r w:rsidRPr="006E56E4">
        <w:rPr>
          <w:i w:val="0"/>
          <w:iCs/>
        </w:rPr>
        <w:t>Ovacik</w:t>
      </w:r>
      <w:proofErr w:type="spellEnd"/>
      <w:r w:rsidRPr="006E56E4">
        <w:rPr>
          <w:i w:val="0"/>
          <w:iCs/>
        </w:rPr>
        <w:t>, PhD - 1 DNA Way, South San Francisco, CA 94080; Phone: 732-406-7747, Fax: 650-742-5217</w:t>
      </w:r>
      <w:r w:rsidRPr="006E56E4">
        <w:rPr>
          <w:rFonts w:eastAsia="SimSun"/>
          <w:i w:val="0"/>
          <w:iCs/>
          <w:lang w:eastAsia="zh-CN"/>
        </w:rPr>
        <w:t xml:space="preserve">, </w:t>
      </w:r>
      <w:r w:rsidRPr="006E56E4">
        <w:rPr>
          <w:i w:val="0"/>
          <w:iCs/>
        </w:rPr>
        <w:t xml:space="preserve">Email: </w:t>
      </w:r>
      <w:hyperlink r:id="rId6">
        <w:r w:rsidRPr="006E56E4">
          <w:rPr>
            <w:i w:val="0"/>
            <w:iCs/>
          </w:rPr>
          <w:t>ovacik.ayse_meric@gene.com</w:t>
        </w:r>
      </w:hyperlink>
    </w:p>
    <w:p w14:paraId="00DD8F56" w14:textId="375C2C05" w:rsidR="00862098" w:rsidRPr="006E56E4" w:rsidRDefault="00862098" w:rsidP="00862098">
      <w:pPr>
        <w:pStyle w:val="Correspondencedetails"/>
        <w:spacing w:before="0" w:line="480" w:lineRule="auto"/>
        <w:rPr>
          <w:lang w:val="en-US" w:eastAsia="zh-CN"/>
        </w:rPr>
      </w:pPr>
      <w:r w:rsidRPr="006E56E4">
        <w:rPr>
          <w:iCs/>
        </w:rPr>
        <w:t xml:space="preserve">Hao Cai, PhD - 1 DNA Way, South San Francisco, CA 94080; Phone: 650-438-7723, Fax: 650-742-5217, Email: </w:t>
      </w:r>
      <w:hyperlink r:id="rId7">
        <w:r w:rsidRPr="006E56E4">
          <w:rPr>
            <w:iCs/>
          </w:rPr>
          <w:t>cai.hao@gene.com</w:t>
        </w:r>
      </w:hyperlink>
      <w:r w:rsidRPr="006E56E4">
        <w:br w:type="page"/>
      </w:r>
    </w:p>
    <w:p w14:paraId="1C51E9D4" w14:textId="27811F59" w:rsidR="00DD4A56" w:rsidRPr="00D57283" w:rsidRDefault="00DD4A56" w:rsidP="00DD4A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highlight w:val="yellow"/>
        </w:rPr>
      </w:pPr>
      <w:r w:rsidRPr="00D57283">
        <w:rPr>
          <w:b/>
          <w:bCs/>
          <w:highlight w:val="yellow"/>
        </w:rPr>
        <w:lastRenderedPageBreak/>
        <w:t>Supplementary Table 1.</w:t>
      </w:r>
      <w:r w:rsidRPr="00D57283">
        <w:rPr>
          <w:highlight w:val="yellow"/>
        </w:rPr>
        <w:t xml:space="preserve"> </w:t>
      </w:r>
      <w:r w:rsidRPr="00D57283">
        <w:rPr>
          <w:color w:val="000000"/>
          <w:highlight w:val="yellow"/>
        </w:rPr>
        <w:t xml:space="preserve">Summary of PK Parameters from Male and Female Animals in the Repeat-dose Cynomolgus Monkey Study (data are represented as </w:t>
      </w:r>
      <w:proofErr w:type="spellStart"/>
      <w:r w:rsidRPr="00D57283">
        <w:rPr>
          <w:color w:val="000000"/>
          <w:highlight w:val="yellow"/>
        </w:rPr>
        <w:t>mean±SD</w:t>
      </w:r>
      <w:proofErr w:type="spellEnd"/>
      <w:r w:rsidRPr="00D57283">
        <w:rPr>
          <w:color w:val="000000"/>
          <w:highlight w:val="yellow"/>
        </w:rPr>
        <w:t>)</w:t>
      </w:r>
    </w:p>
    <w:tbl>
      <w:tblPr>
        <w:tblW w:w="93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647"/>
        <w:gridCol w:w="1231"/>
        <w:gridCol w:w="1363"/>
        <w:gridCol w:w="1494"/>
        <w:gridCol w:w="1494"/>
        <w:gridCol w:w="1758"/>
        <w:gridCol w:w="494"/>
      </w:tblGrid>
      <w:tr w:rsidR="00DD4A56" w:rsidRPr="00D57283" w14:paraId="340BEA12" w14:textId="77777777" w:rsidTr="00DD4A56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1893F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Dose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B0E9A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Sex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C0630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C</w:t>
            </w:r>
            <w:r w:rsidRPr="00D57283">
              <w:rPr>
                <w:rFonts w:ascii="Times" w:hAnsi="Times"/>
                <w:color w:val="000000" w:themeColor="text1"/>
                <w:highlight w:val="yellow"/>
                <w:vertAlign w:val="subscript"/>
              </w:rPr>
              <w:t>max Day 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6038E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C</w:t>
            </w:r>
            <w:r w:rsidRPr="00D57283">
              <w:rPr>
                <w:rFonts w:ascii="Times" w:hAnsi="Times"/>
                <w:color w:val="000000" w:themeColor="text1"/>
                <w:highlight w:val="yellow"/>
                <w:vertAlign w:val="subscript"/>
              </w:rPr>
              <w:t>max Day 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32732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AUC</w:t>
            </w:r>
            <w:r w:rsidRPr="00D57283">
              <w:rPr>
                <w:rFonts w:ascii="Times" w:hAnsi="Times"/>
                <w:color w:val="000000" w:themeColor="text1"/>
                <w:highlight w:val="yellow"/>
                <w:vertAlign w:val="subscript"/>
              </w:rPr>
              <w:t>0-7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37405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AUC</w:t>
            </w:r>
            <w:r w:rsidRPr="00D57283">
              <w:rPr>
                <w:rFonts w:ascii="Times" w:hAnsi="Times"/>
                <w:color w:val="000000" w:themeColor="text1"/>
                <w:highlight w:val="yellow"/>
                <w:vertAlign w:val="subscript"/>
              </w:rPr>
              <w:t>21-28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6A8E8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AUC</w:t>
            </w:r>
            <w:r w:rsidRPr="00D57283">
              <w:rPr>
                <w:rFonts w:ascii="Times" w:hAnsi="Times"/>
                <w:color w:val="000000" w:themeColor="text1"/>
                <w:highlight w:val="yellow"/>
                <w:vertAlign w:val="subscript"/>
              </w:rPr>
              <w:t>0-last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single" w:sz="24" w:space="0" w:color="FFFFFF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A6B87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AR</w:t>
            </w:r>
          </w:p>
        </w:tc>
      </w:tr>
      <w:tr w:rsidR="00DD4A56" w:rsidRPr="00D57283" w14:paraId="44E68BAF" w14:textId="77777777" w:rsidTr="00DD4A56">
        <w:trPr>
          <w:trHeight w:val="24"/>
        </w:trPr>
        <w:tc>
          <w:tcPr>
            <w:tcW w:w="0" w:type="auto"/>
            <w:tcBorders>
              <w:top w:val="single" w:sz="24" w:space="0" w:color="FFFFFF"/>
              <w:left w:val="single" w:sz="8" w:space="0" w:color="auto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F7EB8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(mg/kg)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D2BF0" w14:textId="77777777" w:rsidR="00DD4A56" w:rsidRPr="00D57283" w:rsidRDefault="00DD4A56" w:rsidP="00DD4A56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B80E2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(</w:t>
            </w:r>
            <w:proofErr w:type="spellStart"/>
            <w:r w:rsidRPr="00D57283">
              <w:rPr>
                <w:rFonts w:ascii="Times" w:hAnsi="Times"/>
                <w:color w:val="000000" w:themeColor="text1"/>
                <w:highlight w:val="yellow"/>
              </w:rPr>
              <w:t>nM</w:t>
            </w:r>
            <w:proofErr w:type="spellEnd"/>
            <w:r w:rsidRPr="00D57283">
              <w:rPr>
                <w:rFonts w:ascii="Times" w:hAnsi="Times"/>
                <w:color w:val="000000" w:themeColor="text1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C511E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(</w:t>
            </w:r>
            <w:proofErr w:type="spellStart"/>
            <w:r w:rsidRPr="00D57283">
              <w:rPr>
                <w:rFonts w:ascii="Times" w:hAnsi="Times"/>
                <w:color w:val="000000" w:themeColor="text1"/>
                <w:highlight w:val="yellow"/>
              </w:rPr>
              <w:t>nM</w:t>
            </w:r>
            <w:proofErr w:type="spellEnd"/>
            <w:r w:rsidRPr="00D57283">
              <w:rPr>
                <w:rFonts w:ascii="Times" w:hAnsi="Times"/>
                <w:color w:val="000000" w:themeColor="text1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0BEC4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(</w:t>
            </w:r>
            <w:proofErr w:type="spellStart"/>
            <w:r w:rsidRPr="00D57283">
              <w:rPr>
                <w:rFonts w:ascii="Times" w:hAnsi="Times"/>
                <w:color w:val="000000" w:themeColor="text1"/>
                <w:highlight w:val="yellow"/>
              </w:rPr>
              <w:t>day·nM</w:t>
            </w:r>
            <w:proofErr w:type="spellEnd"/>
            <w:r w:rsidRPr="00D57283">
              <w:rPr>
                <w:rFonts w:ascii="Times" w:hAnsi="Times"/>
                <w:color w:val="000000" w:themeColor="text1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3615D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(</w:t>
            </w:r>
            <w:proofErr w:type="spellStart"/>
            <w:r w:rsidRPr="00D57283">
              <w:rPr>
                <w:rFonts w:ascii="Times" w:hAnsi="Times"/>
                <w:color w:val="000000" w:themeColor="text1"/>
                <w:highlight w:val="yellow"/>
              </w:rPr>
              <w:t>day·nM</w:t>
            </w:r>
            <w:proofErr w:type="spellEnd"/>
            <w:r w:rsidRPr="00D57283">
              <w:rPr>
                <w:rFonts w:ascii="Times" w:hAnsi="Times"/>
                <w:color w:val="000000" w:themeColor="text1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ADF70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(</w:t>
            </w:r>
            <w:proofErr w:type="spellStart"/>
            <w:r w:rsidRPr="00D57283">
              <w:rPr>
                <w:rFonts w:ascii="Times" w:hAnsi="Times"/>
                <w:color w:val="000000" w:themeColor="text1"/>
                <w:highlight w:val="yellow"/>
              </w:rPr>
              <w:t>day·nM</w:t>
            </w:r>
            <w:proofErr w:type="spellEnd"/>
            <w:r w:rsidRPr="00D57283">
              <w:rPr>
                <w:rFonts w:ascii="Times" w:hAnsi="Times"/>
                <w:color w:val="000000" w:themeColor="text1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A9D6E" w14:textId="77777777" w:rsidR="00DD4A56" w:rsidRPr="00D57283" w:rsidRDefault="00DD4A56" w:rsidP="00DD4A56">
            <w:pPr>
              <w:rPr>
                <w:color w:val="000000" w:themeColor="text1"/>
                <w:highlight w:val="yellow"/>
              </w:rPr>
            </w:pPr>
          </w:p>
        </w:tc>
      </w:tr>
      <w:tr w:rsidR="00DD4A56" w:rsidRPr="00D57283" w14:paraId="04789325" w14:textId="77777777" w:rsidTr="00DD4A56">
        <w:trPr>
          <w:trHeight w:val="393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82D4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CD914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M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0BAD7" w14:textId="7760C84B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1600 ± 2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80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CBD80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2010 ± 800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E807C" w14:textId="6672ABA4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5650 ± 3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40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FC99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7100 ± 4960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E5478" w14:textId="38019ECE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34700 ± 58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661A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1.24</w:t>
            </w:r>
          </w:p>
        </w:tc>
      </w:tr>
      <w:tr w:rsidR="00DD4A56" w:rsidRPr="00D57283" w14:paraId="2436F8BF" w14:textId="77777777" w:rsidTr="00DD4A56">
        <w:trPr>
          <w:trHeight w:val="393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0B19F8E" w14:textId="77777777" w:rsidR="00DD4A56" w:rsidRPr="00D57283" w:rsidRDefault="00DD4A56" w:rsidP="00DD4A56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2BC07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F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44500" w14:textId="1F0622CC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3300 ± 2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40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7FB1A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2660 ± 1040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8CFB8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5300 ± 1200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56CF5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10800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1C5CD" w14:textId="6C642CBD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39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20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E184B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2.52</w:t>
            </w:r>
          </w:p>
        </w:tc>
      </w:tr>
      <w:tr w:rsidR="00DD4A56" w:rsidRPr="00D57283" w14:paraId="7431E0B9" w14:textId="77777777" w:rsidTr="00DD4A56">
        <w:trPr>
          <w:trHeight w:val="393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188D5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B3E3A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M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F11CF" w14:textId="244308D0" w:rsidR="00DD4A56" w:rsidRPr="00D57283" w:rsidRDefault="00DD4A56" w:rsidP="00DD4A56">
            <w:pPr>
              <w:spacing w:after="120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400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 xml:space="preserve"> ± 96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B0AC4" w14:textId="3F6C0EA1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8650 ± 5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8CF81" w14:textId="1753838C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15600 ± 18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D5A95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37500 ± 4800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8F459" w14:textId="6926A5F8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134000 ± 14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00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2DBAA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2.41</w:t>
            </w:r>
          </w:p>
        </w:tc>
      </w:tr>
      <w:tr w:rsidR="00DD4A56" w:rsidRPr="00D57283" w14:paraId="13F0866C" w14:textId="77777777" w:rsidTr="00DD4A56">
        <w:trPr>
          <w:trHeight w:val="4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886FC7D" w14:textId="77777777" w:rsidR="00DD4A56" w:rsidRPr="00D57283" w:rsidRDefault="00DD4A56" w:rsidP="00DD4A56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114D0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F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83B64" w14:textId="77777777" w:rsidR="00DD4A56" w:rsidRPr="00D57283" w:rsidRDefault="00DD4A56" w:rsidP="00DD4A56">
            <w:pPr>
              <w:spacing w:after="120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3650 ± 660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3E46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9450 ± 450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0E030" w14:textId="062D652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17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 ± 18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58CB2" w14:textId="665816EC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37600 ± 59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35ACA" w14:textId="050A1D8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149000 ± 1</w:t>
            </w:r>
            <w:r w:rsidR="00F80AA7" w:rsidRPr="00D57283">
              <w:rPr>
                <w:rFonts w:ascii="Times" w:hAnsi="Times"/>
                <w:color w:val="000000" w:themeColor="text1"/>
                <w:highlight w:val="yellow"/>
              </w:rPr>
              <w:t>40</w:t>
            </w:r>
            <w:r w:rsidRPr="00D57283">
              <w:rPr>
                <w:rFonts w:ascii="Times" w:hAnsi="Times"/>
                <w:color w:val="000000" w:themeColor="text1"/>
                <w:highlight w:val="yellow"/>
              </w:rPr>
              <w:t>00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EADDC" w14:textId="77777777" w:rsidR="00DD4A56" w:rsidRPr="00D57283" w:rsidRDefault="00DD4A56" w:rsidP="00DD4A56">
            <w:pPr>
              <w:spacing w:after="120"/>
              <w:jc w:val="center"/>
              <w:rPr>
                <w:color w:val="000000" w:themeColor="text1"/>
                <w:highlight w:val="yellow"/>
              </w:rPr>
            </w:pPr>
            <w:r w:rsidRPr="00D57283">
              <w:rPr>
                <w:rFonts w:ascii="Times" w:hAnsi="Times"/>
                <w:color w:val="000000" w:themeColor="text1"/>
                <w:highlight w:val="yellow"/>
              </w:rPr>
              <w:t>2.08</w:t>
            </w:r>
          </w:p>
        </w:tc>
      </w:tr>
    </w:tbl>
    <w:p w14:paraId="0BF030BA" w14:textId="5C83CFB1" w:rsidR="00115868" w:rsidRDefault="00115868" w:rsidP="00115868">
      <w:pPr>
        <w:spacing w:line="480" w:lineRule="auto"/>
        <w:rPr>
          <w:b/>
          <w:bCs/>
        </w:rPr>
      </w:pPr>
      <w:r w:rsidRPr="00D57283">
        <w:rPr>
          <w:color w:val="000000"/>
          <w:highlight w:val="yellow"/>
        </w:rPr>
        <w:t>C</w:t>
      </w:r>
      <w:r w:rsidRPr="00D57283">
        <w:rPr>
          <w:color w:val="000000"/>
          <w:highlight w:val="yellow"/>
          <w:vertAlign w:val="subscript"/>
        </w:rPr>
        <w:t>max Day 0</w:t>
      </w:r>
      <w:r w:rsidRPr="00D57283">
        <w:rPr>
          <w:color w:val="000000"/>
          <w:highlight w:val="yellow"/>
        </w:rPr>
        <w:t>, maximum observed concentration after first drug administration; C</w:t>
      </w:r>
      <w:r w:rsidRPr="00D57283">
        <w:rPr>
          <w:color w:val="000000"/>
          <w:highlight w:val="yellow"/>
          <w:vertAlign w:val="subscript"/>
        </w:rPr>
        <w:t>max Day 21</w:t>
      </w:r>
      <w:r w:rsidRPr="00D57283">
        <w:rPr>
          <w:color w:val="000000"/>
          <w:highlight w:val="yellow"/>
        </w:rPr>
        <w:t>, maximum observed concentration after forth drug administration, AUC</w:t>
      </w:r>
      <w:r w:rsidRPr="00D57283">
        <w:rPr>
          <w:color w:val="000000"/>
          <w:highlight w:val="yellow"/>
          <w:vertAlign w:val="subscript"/>
        </w:rPr>
        <w:t>0-7</w:t>
      </w:r>
      <w:r w:rsidRPr="00D57283">
        <w:rPr>
          <w:color w:val="000000"/>
          <w:highlight w:val="yellow"/>
        </w:rPr>
        <w:t>, area under the plasma concentration-time curve in the first dosing interval; AUC</w:t>
      </w:r>
      <w:r w:rsidRPr="00D57283">
        <w:rPr>
          <w:color w:val="000000"/>
          <w:highlight w:val="yellow"/>
          <w:vertAlign w:val="subscript"/>
        </w:rPr>
        <w:t>21-28</w:t>
      </w:r>
      <w:r w:rsidRPr="00D57283">
        <w:rPr>
          <w:color w:val="000000"/>
          <w:highlight w:val="yellow"/>
        </w:rPr>
        <w:t>, area under the plasma concentration-time curve in the fourth dosing interval; AUC</w:t>
      </w:r>
      <w:r w:rsidRPr="00D57283">
        <w:rPr>
          <w:color w:val="000000"/>
          <w:highlight w:val="yellow"/>
          <w:vertAlign w:val="subscript"/>
        </w:rPr>
        <w:t>0-last</w:t>
      </w:r>
      <w:r w:rsidRPr="00D57283">
        <w:rPr>
          <w:color w:val="000000"/>
          <w:highlight w:val="yellow"/>
        </w:rPr>
        <w:t>, area under the plasma concentration-time curve from end of infusion to the last measurable time point. AR, accumulation ratio, calculated by AUC</w:t>
      </w:r>
      <w:r w:rsidRPr="00D57283">
        <w:rPr>
          <w:color w:val="000000"/>
          <w:highlight w:val="yellow"/>
          <w:vertAlign w:val="subscript"/>
        </w:rPr>
        <w:t>21-28</w:t>
      </w:r>
      <w:r w:rsidRPr="00D57283">
        <w:rPr>
          <w:color w:val="000000"/>
          <w:highlight w:val="yellow"/>
        </w:rPr>
        <w:t xml:space="preserve"> divided by AUC</w:t>
      </w:r>
      <w:r w:rsidRPr="00D57283">
        <w:rPr>
          <w:color w:val="000000"/>
          <w:highlight w:val="yellow"/>
          <w:vertAlign w:val="subscript"/>
        </w:rPr>
        <w:t>0-7</w:t>
      </w:r>
      <w:r w:rsidRPr="00D57283">
        <w:rPr>
          <w:color w:val="000000"/>
          <w:highlight w:val="yellow"/>
        </w:rPr>
        <w:t>. Data from all animals were included for PK parameter calculation.</w:t>
      </w:r>
      <w:r>
        <w:rPr>
          <w:b/>
          <w:bCs/>
        </w:rPr>
        <w:br w:type="page"/>
      </w:r>
    </w:p>
    <w:p w14:paraId="43921C2A" w14:textId="1CED6596" w:rsidR="00862098" w:rsidRPr="006E56E4" w:rsidRDefault="00862098" w:rsidP="00862098">
      <w:pPr>
        <w:spacing w:line="480" w:lineRule="auto"/>
        <w:rPr>
          <w:b/>
          <w:bCs/>
          <w:lang w:eastAsia="en-GB"/>
        </w:rPr>
      </w:pPr>
      <w:r w:rsidRPr="006E56E4">
        <w:rPr>
          <w:b/>
          <w:bCs/>
        </w:rPr>
        <w:lastRenderedPageBreak/>
        <w:t xml:space="preserve">Supplementary Table </w:t>
      </w:r>
      <w:r w:rsidR="00DD4A56">
        <w:rPr>
          <w:b/>
          <w:bCs/>
        </w:rPr>
        <w:t>2</w:t>
      </w:r>
      <w:r w:rsidRPr="006E56E4">
        <w:rPr>
          <w:b/>
          <w:bCs/>
        </w:rPr>
        <w:t>.</w:t>
      </w:r>
      <w:r w:rsidRPr="006E56E4">
        <w:t xml:space="preserve"> Summary of Adjusted Parameters for Target Engagement Prediction in MM Patients </w:t>
      </w:r>
    </w:p>
    <w:tbl>
      <w:tblPr>
        <w:tblW w:w="93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0"/>
        <w:gridCol w:w="3260"/>
        <w:gridCol w:w="1170"/>
        <w:gridCol w:w="2160"/>
        <w:gridCol w:w="1440"/>
      </w:tblGrid>
      <w:tr w:rsidR="00862098" w:rsidRPr="006E56E4" w14:paraId="728EC51C" w14:textId="77777777" w:rsidTr="006E56E4">
        <w:trPr>
          <w:trHeight w:val="87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F4E53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b/>
                <w:bCs/>
                <w:lang w:eastAsia="en-GB"/>
              </w:rPr>
              <w:t>Parameter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CA28B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b/>
                <w:bCs/>
                <w:lang w:eastAsia="en-GB"/>
              </w:rPr>
              <w:t>Description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4608D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b/>
                <w:bCs/>
                <w:lang w:eastAsia="en-GB"/>
              </w:rPr>
              <w:t>Unit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8C197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b/>
                <w:bCs/>
                <w:lang w:eastAsia="en-GB"/>
              </w:rPr>
              <w:t>Cynomolgus Monkey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77274" w14:textId="2BF95971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b/>
                <w:bCs/>
                <w:lang w:eastAsia="en-GB"/>
              </w:rPr>
              <w:t>MM Patients</w:t>
            </w:r>
          </w:p>
        </w:tc>
      </w:tr>
      <w:tr w:rsidR="00862098" w:rsidRPr="006E56E4" w14:paraId="6A652F63" w14:textId="77777777" w:rsidTr="006E56E4">
        <w:trPr>
          <w:trHeight w:val="578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A2CBA28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V</w:t>
            </w:r>
            <w:r w:rsidRPr="006E56E4">
              <w:rPr>
                <w:vertAlign w:val="subscript"/>
                <w:lang w:eastAsia="en-GB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E7B74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Central volume of distribution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2F2B2" w14:textId="35E18CB6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L/kg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58389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0.0469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E33F5B0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0.0469 </w:t>
            </w:r>
            <w:r w:rsidRPr="006E56E4">
              <w:rPr>
                <w:vertAlign w:val="superscript"/>
                <w:lang w:eastAsia="en-GB"/>
              </w:rPr>
              <w:t>a</w:t>
            </w:r>
          </w:p>
        </w:tc>
      </w:tr>
      <w:tr w:rsidR="00862098" w:rsidRPr="006E56E4" w14:paraId="58885E33" w14:textId="77777777" w:rsidTr="006E56E4">
        <w:trPr>
          <w:trHeight w:val="578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46D7C99F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V</w:t>
            </w:r>
            <w:r w:rsidRPr="006E56E4">
              <w:rPr>
                <w:vertAlign w:val="subscript"/>
                <w:lang w:eastAsia="en-GB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EBEBD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Peripheral volume of distribution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83AAA" w14:textId="28DFE421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L/kg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F7C14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0.0221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1C7C975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0.0221 </w:t>
            </w:r>
            <w:r w:rsidRPr="006E56E4">
              <w:rPr>
                <w:vertAlign w:val="superscript"/>
                <w:lang w:eastAsia="en-GB"/>
              </w:rPr>
              <w:t>a</w:t>
            </w:r>
          </w:p>
        </w:tc>
      </w:tr>
      <w:tr w:rsidR="00862098" w:rsidRPr="006E56E4" w14:paraId="0C620982" w14:textId="77777777" w:rsidTr="006E56E4">
        <w:trPr>
          <w:trHeight w:val="567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292BC6C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CL</w:t>
            </w:r>
            <w:r w:rsidRPr="006E56E4">
              <w:rPr>
                <w:vertAlign w:val="subscript"/>
                <w:lang w:eastAsia="en-GB"/>
              </w:rPr>
              <w:t>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3324E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Intercompartmental clearance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DC795" w14:textId="303FA0CD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L/kg/day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E8986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0.00624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180ED730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0.00381 </w:t>
            </w:r>
            <w:r w:rsidRPr="006E56E4">
              <w:rPr>
                <w:vertAlign w:val="superscript"/>
                <w:lang w:eastAsia="en-GB"/>
              </w:rPr>
              <w:t>a</w:t>
            </w:r>
          </w:p>
        </w:tc>
      </w:tr>
      <w:tr w:rsidR="00862098" w:rsidRPr="006E56E4" w14:paraId="784539DD" w14:textId="77777777" w:rsidTr="006E56E4">
        <w:trPr>
          <w:trHeight w:val="567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28137521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CL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12F9C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Nonspecific clearance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C2520" w14:textId="1408B802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L/kg/day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911F8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0.00597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5A332CA9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0.00277 </w:t>
            </w:r>
            <w:r w:rsidRPr="006E56E4">
              <w:rPr>
                <w:vertAlign w:val="superscript"/>
                <w:lang w:eastAsia="en-GB"/>
              </w:rPr>
              <w:t>a</w:t>
            </w:r>
          </w:p>
        </w:tc>
      </w:tr>
      <w:tr w:rsidR="00862098" w:rsidRPr="006E56E4" w14:paraId="143F7166" w14:textId="77777777" w:rsidTr="006E56E4">
        <w:trPr>
          <w:trHeight w:val="488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9D7C3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C </w:t>
            </w:r>
            <w:r w:rsidRPr="006E56E4">
              <w:rPr>
                <w:vertAlign w:val="subscript"/>
                <w:lang w:eastAsia="en-GB"/>
              </w:rPr>
              <w:t>sBCMA</w:t>
            </w:r>
            <w:r w:rsidRPr="006E56E4">
              <w:rPr>
                <w:lang w:eastAsia="en-GB"/>
              </w:rPr>
              <w:t xml:space="preserve">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70CB5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sBCMA baseline level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76C9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nM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CE099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0.357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36C9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25.4 </w:t>
            </w:r>
            <w:r w:rsidRPr="006E56E4">
              <w:rPr>
                <w:vertAlign w:val="superscript"/>
                <w:lang w:eastAsia="en-GB"/>
              </w:rPr>
              <w:t>b</w:t>
            </w:r>
          </w:p>
        </w:tc>
      </w:tr>
      <w:tr w:rsidR="00862098" w:rsidRPr="006E56E4" w14:paraId="1C603681" w14:textId="77777777" w:rsidTr="006E56E4">
        <w:trPr>
          <w:trHeight w:val="567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0EE0841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C </w:t>
            </w:r>
            <w:r w:rsidRPr="006E56E4">
              <w:rPr>
                <w:vertAlign w:val="subscript"/>
                <w:lang w:eastAsia="en-GB"/>
              </w:rPr>
              <w:t>mBCMA</w:t>
            </w:r>
            <w:r w:rsidRPr="006E56E4">
              <w:rPr>
                <w:lang w:eastAsia="en-GB"/>
              </w:rPr>
              <w:t xml:space="preserve">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9A47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mBCMA baseline level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E6884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nM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C57CF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0.934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4CD18175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39.5</w:t>
            </w:r>
            <w:r w:rsidRPr="006E56E4">
              <w:t>±11.8</w:t>
            </w:r>
            <w:r w:rsidRPr="006E56E4">
              <w:rPr>
                <w:lang w:eastAsia="en-GB"/>
              </w:rPr>
              <w:t xml:space="preserve"> </w:t>
            </w:r>
            <w:r w:rsidRPr="006E56E4">
              <w:rPr>
                <w:vertAlign w:val="superscript"/>
                <w:lang w:eastAsia="en-GB"/>
              </w:rPr>
              <w:t>c</w:t>
            </w:r>
          </w:p>
        </w:tc>
      </w:tr>
      <w:tr w:rsidR="00862098" w:rsidRPr="006E56E4" w14:paraId="71D8259C" w14:textId="77777777" w:rsidTr="006E56E4">
        <w:trPr>
          <w:trHeight w:val="567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217B3E7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k</w:t>
            </w:r>
            <w:r w:rsidRPr="006E56E4">
              <w:rPr>
                <w:vertAlign w:val="subscript"/>
                <w:lang w:eastAsia="en-GB"/>
              </w:rPr>
              <w:t>D</w:t>
            </w:r>
            <w:proofErr w:type="spellEnd"/>
            <w:r w:rsidRPr="006E56E4">
              <w:rPr>
                <w:vertAlign w:val="subscript"/>
                <w:lang w:eastAsia="en-GB"/>
              </w:rPr>
              <w:t xml:space="preserve"> BCMA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D71DE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BCMA dissociation constant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64064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nM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12800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86283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2.00 </w:t>
            </w:r>
            <w:r w:rsidRPr="006E56E4">
              <w:rPr>
                <w:vertAlign w:val="superscript"/>
                <w:lang w:eastAsia="en-GB"/>
              </w:rPr>
              <w:t>d</w:t>
            </w:r>
          </w:p>
        </w:tc>
      </w:tr>
      <w:tr w:rsidR="00862098" w:rsidRPr="006E56E4" w14:paraId="68D003BD" w14:textId="77777777" w:rsidTr="006E56E4">
        <w:trPr>
          <w:trHeight w:val="488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7D2B4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C </w:t>
            </w:r>
            <w:r w:rsidRPr="006E56E4">
              <w:rPr>
                <w:vertAlign w:val="subscript"/>
                <w:lang w:eastAsia="en-GB"/>
              </w:rPr>
              <w:t>sCD16</w:t>
            </w:r>
            <w:r w:rsidRPr="006E56E4">
              <w:rPr>
                <w:lang w:eastAsia="en-GB"/>
              </w:rPr>
              <w:t xml:space="preserve">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AEEC6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sBCMA baseline level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70249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nM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F9B23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F67DB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10.9 </w:t>
            </w:r>
            <w:r w:rsidRPr="006E56E4">
              <w:rPr>
                <w:vertAlign w:val="superscript"/>
                <w:lang w:eastAsia="en-GB"/>
              </w:rPr>
              <w:t>e</w:t>
            </w:r>
          </w:p>
        </w:tc>
      </w:tr>
      <w:tr w:rsidR="00862098" w:rsidRPr="006E56E4" w14:paraId="2E2CF17D" w14:textId="77777777" w:rsidTr="006E56E4">
        <w:trPr>
          <w:trHeight w:val="567"/>
        </w:trPr>
        <w:tc>
          <w:tcPr>
            <w:tcW w:w="13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F2C58EF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C </w:t>
            </w:r>
            <w:r w:rsidRPr="006E56E4">
              <w:rPr>
                <w:vertAlign w:val="subscript"/>
                <w:lang w:eastAsia="en-GB"/>
              </w:rPr>
              <w:t>mCD16</w:t>
            </w:r>
            <w:r w:rsidRPr="006E56E4">
              <w:rPr>
                <w:lang w:eastAsia="en-GB"/>
              </w:rPr>
              <w:t xml:space="preserve">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C7230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mBCMA baseline level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5591A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nM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82718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10.2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A5085E1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3.89</w:t>
            </w:r>
            <w:r w:rsidRPr="006E56E4">
              <w:t>±1.16</w:t>
            </w:r>
            <w:r w:rsidRPr="006E56E4">
              <w:rPr>
                <w:lang w:eastAsia="en-GB"/>
              </w:rPr>
              <w:t xml:space="preserve"> </w:t>
            </w:r>
            <w:r w:rsidRPr="006E56E4">
              <w:rPr>
                <w:vertAlign w:val="superscript"/>
                <w:lang w:eastAsia="en-GB"/>
              </w:rPr>
              <w:t>f</w:t>
            </w:r>
          </w:p>
        </w:tc>
      </w:tr>
      <w:tr w:rsidR="00862098" w:rsidRPr="006E56E4" w14:paraId="7A52C76F" w14:textId="77777777" w:rsidTr="006E56E4">
        <w:trPr>
          <w:trHeight w:val="567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D391FB4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k</w:t>
            </w:r>
            <w:r w:rsidRPr="006E56E4">
              <w:rPr>
                <w:vertAlign w:val="subscript"/>
                <w:lang w:eastAsia="en-GB"/>
              </w:rPr>
              <w:t>D</w:t>
            </w:r>
            <w:proofErr w:type="spellEnd"/>
            <w:r w:rsidRPr="006E56E4">
              <w:rPr>
                <w:lang w:eastAsia="en-GB"/>
              </w:rPr>
              <w:t xml:space="preserve"> </w:t>
            </w:r>
            <w:r w:rsidRPr="006E56E4">
              <w:rPr>
                <w:vertAlign w:val="subscript"/>
                <w:lang w:eastAsia="en-GB"/>
              </w:rPr>
              <w:t>CD16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20751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CD16A dissociation constant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FA0D8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proofErr w:type="spellStart"/>
            <w:r w:rsidRPr="006E56E4">
              <w:rPr>
                <w:lang w:eastAsia="en-GB"/>
              </w:rPr>
              <w:t>nM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A3FF6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>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46A66" w14:textId="77777777" w:rsidR="00862098" w:rsidRPr="006E56E4" w:rsidRDefault="00862098" w:rsidP="00E40E9E">
            <w:pPr>
              <w:spacing w:line="480" w:lineRule="auto"/>
              <w:rPr>
                <w:lang w:eastAsia="en-GB"/>
              </w:rPr>
            </w:pPr>
            <w:r w:rsidRPr="006E56E4">
              <w:rPr>
                <w:lang w:eastAsia="en-GB"/>
              </w:rPr>
              <w:t xml:space="preserve">16.0 </w:t>
            </w:r>
            <w:r w:rsidRPr="006E56E4">
              <w:rPr>
                <w:vertAlign w:val="superscript"/>
                <w:lang w:eastAsia="en-GB"/>
              </w:rPr>
              <w:t>d</w:t>
            </w:r>
          </w:p>
        </w:tc>
      </w:tr>
    </w:tbl>
    <w:p w14:paraId="54B9DB3E" w14:textId="50930E6D" w:rsidR="00862098" w:rsidRPr="006E56E4" w:rsidRDefault="00862098" w:rsidP="00862098">
      <w:pPr>
        <w:pStyle w:val="Tabletitle"/>
        <w:spacing w:before="0" w:line="480" w:lineRule="auto"/>
      </w:pPr>
      <w:r w:rsidRPr="006E56E4">
        <w:t>a. Human PK parameters were predicted from cynomolgus monkey PK parameters with an allometric scaling method described by Deng, et al. (assuming human body weight of 70 kg; for volume and clearance, the exponents of 1 and 0.85 were used, respectively).</w:t>
      </w:r>
      <w:r w:rsidRPr="006E56E4">
        <w:rPr>
          <w:vertAlign w:val="superscript"/>
        </w:rPr>
        <w:t>2</w:t>
      </w:r>
      <w:r w:rsidR="006E56E4" w:rsidRPr="006E56E4">
        <w:rPr>
          <w:vertAlign w:val="superscript"/>
        </w:rPr>
        <w:t>0</w:t>
      </w:r>
      <w:r w:rsidRPr="006E56E4">
        <w:t xml:space="preserve"> b. Reported median sBCMA level in RRMM patients prior any treatments.</w:t>
      </w:r>
      <w:r w:rsidRPr="006E56E4">
        <w:rPr>
          <w:vertAlign w:val="superscript"/>
        </w:rPr>
        <w:t>1</w:t>
      </w:r>
      <w:r w:rsidR="006E56E4" w:rsidRPr="006E56E4">
        <w:rPr>
          <w:vertAlign w:val="superscript"/>
        </w:rPr>
        <w:t>3</w:t>
      </w:r>
      <w:r w:rsidRPr="006E56E4">
        <w:t xml:space="preserve"> c. Assumes both mBCMA and sBCMA have the same fold of increase in MM patients compared to healthy cynomolgus monkeys. </w:t>
      </w:r>
      <w:r w:rsidRPr="006E56E4">
        <w:rPr>
          <w:lang w:eastAsia="zh-CN"/>
        </w:rPr>
        <w:t xml:space="preserve">A variation of </w:t>
      </w:r>
      <w:r w:rsidRPr="006E56E4">
        <w:t xml:space="preserve">±30% was applied. D. Based on </w:t>
      </w:r>
      <w:r w:rsidRPr="006E56E4">
        <w:rPr>
          <w:i/>
          <w:iCs/>
        </w:rPr>
        <w:t xml:space="preserve">in vitro </w:t>
      </w:r>
      <w:r w:rsidRPr="006E56E4">
        <w:t xml:space="preserve">binding affinity data (data not shown). </w:t>
      </w:r>
      <w:r w:rsidR="006E56E4" w:rsidRPr="006E56E4">
        <w:rPr>
          <w:rFonts w:hint="eastAsia"/>
          <w:lang w:eastAsia="zh-CN"/>
        </w:rPr>
        <w:t>e</w:t>
      </w:r>
      <w:r w:rsidRPr="006E56E4">
        <w:t>. Measured median sCD16A level in MM patients (</w:t>
      </w:r>
      <w:r w:rsidRPr="006E56E4">
        <w:rPr>
          <w:b/>
          <w:bCs/>
        </w:rPr>
        <w:t>Fig 6</w:t>
      </w:r>
      <w:r w:rsidRPr="006E56E4">
        <w:t>)</w:t>
      </w:r>
      <w:r w:rsidRPr="006E56E4">
        <w:rPr>
          <w:rFonts w:hint="eastAsia"/>
          <w:lang w:eastAsia="zh-CN"/>
        </w:rPr>
        <w:t>.</w:t>
      </w:r>
      <w:r w:rsidRPr="006E56E4">
        <w:t xml:space="preserve"> </w:t>
      </w:r>
      <w:r w:rsidR="006E56E4" w:rsidRPr="006E56E4">
        <w:t>f</w:t>
      </w:r>
      <w:r w:rsidRPr="006E56E4">
        <w:t xml:space="preserve">. Assumes both mCD16A </w:t>
      </w:r>
      <w:r w:rsidRPr="006E56E4">
        <w:lastRenderedPageBreak/>
        <w:t xml:space="preserve">and sCD16A have the same fold of change in MM patients compared to healthy cynomolgus monkeys. </w:t>
      </w:r>
      <w:r w:rsidRPr="006E56E4">
        <w:rPr>
          <w:lang w:eastAsia="zh-CN"/>
        </w:rPr>
        <w:t xml:space="preserve">A variation of </w:t>
      </w:r>
      <w:r w:rsidRPr="006E56E4">
        <w:t xml:space="preserve">±30% was applied. </w:t>
      </w:r>
      <w:r w:rsidRPr="006E56E4">
        <w:rPr>
          <w:b/>
          <w:bCs/>
        </w:rPr>
        <w:br w:type="page"/>
      </w:r>
    </w:p>
    <w:p w14:paraId="791CC558" w14:textId="6B435D10" w:rsidR="00862098" w:rsidRDefault="006E56E4" w:rsidP="00862098">
      <w:pPr>
        <w:spacing w:line="480" w:lineRule="auto"/>
        <w:jc w:val="center"/>
        <w:rPr>
          <w:b/>
          <w:bCs/>
          <w:lang w:eastAsia="en-GB"/>
        </w:rPr>
      </w:pPr>
      <w:r w:rsidRPr="006E56E4">
        <w:rPr>
          <w:b/>
          <w:bCs/>
          <w:noProof/>
          <w:lang w:eastAsia="en-GB"/>
        </w:rPr>
        <w:lastRenderedPageBreak/>
        <w:drawing>
          <wp:inline distT="0" distB="0" distL="0" distR="0" wp14:anchorId="12562547" wp14:editId="185B31E5">
            <wp:extent cx="4187729" cy="502348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4995" cy="503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A96B" w14:textId="77777777" w:rsidR="00862098" w:rsidRDefault="00862098" w:rsidP="00862098">
      <w:pPr>
        <w:spacing w:line="480" w:lineRule="auto"/>
        <w:rPr>
          <w:rFonts w:eastAsia="Times"/>
        </w:rPr>
      </w:pPr>
      <w:r w:rsidRPr="00335325">
        <w:rPr>
          <w:rFonts w:eastAsia="Times"/>
          <w:b/>
        </w:rPr>
        <w:t>Supplementary Figure 1.</w:t>
      </w:r>
      <w:r w:rsidRPr="00335325">
        <w:rPr>
          <w:rFonts w:eastAsia="Times"/>
        </w:rPr>
        <w:t xml:space="preserve"> Design</w:t>
      </w:r>
      <w:r w:rsidRPr="00335325">
        <w:t xml:space="preserve"> of A) single-dose and B) rep</w:t>
      </w:r>
      <w:r w:rsidRPr="00335325">
        <w:rPr>
          <w:rFonts w:eastAsia="Times"/>
        </w:rPr>
        <w:t>eat-dose cynomolgus monkey study. Time points of drug administration, serum PK, ADA, and total sBCMA level measurements were provided.</w:t>
      </w:r>
      <w:r>
        <w:rPr>
          <w:rFonts w:eastAsia="Times"/>
        </w:rPr>
        <w:br w:type="page"/>
      </w:r>
    </w:p>
    <w:p w14:paraId="232F4FCE" w14:textId="1DD1C16C" w:rsidR="00862098" w:rsidRPr="00F80AA7" w:rsidRDefault="0084131A" w:rsidP="00862098">
      <w:pPr>
        <w:spacing w:line="480" w:lineRule="auto"/>
        <w:jc w:val="center"/>
        <w:rPr>
          <w:rFonts w:eastAsia="Times"/>
          <w:b/>
          <w:highlight w:val="yellow"/>
        </w:rPr>
      </w:pPr>
      <w:r w:rsidRPr="00F80AA7">
        <w:rPr>
          <w:rFonts w:eastAsia="Times"/>
          <w:b/>
          <w:noProof/>
          <w:highlight w:val="yellow"/>
        </w:rPr>
        <w:lastRenderedPageBreak/>
        <w:drawing>
          <wp:inline distT="0" distB="0" distL="0" distR="0" wp14:anchorId="12F60F60" wp14:editId="6110E488">
            <wp:extent cx="5943600" cy="43713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554D2" w14:textId="77777777" w:rsidR="00862098" w:rsidRDefault="00862098" w:rsidP="00862098">
      <w:pPr>
        <w:spacing w:line="480" w:lineRule="auto"/>
        <w:rPr>
          <w:rFonts w:eastAsia="Times"/>
        </w:rPr>
      </w:pPr>
      <w:r w:rsidRPr="00F80AA7">
        <w:rPr>
          <w:rFonts w:eastAsia="Times"/>
          <w:b/>
          <w:highlight w:val="yellow"/>
        </w:rPr>
        <w:t>Supplementary Figure 2.</w:t>
      </w:r>
      <w:r w:rsidRPr="00F80AA7">
        <w:rPr>
          <w:rFonts w:eastAsia="Times"/>
          <w:highlight w:val="yellow"/>
        </w:rPr>
        <w:t xml:space="preserve"> Standard model diagnostic plots for TMDD model. </w:t>
      </w:r>
      <w:r w:rsidRPr="00F80AA7">
        <w:rPr>
          <w:rFonts w:eastAsia="Times"/>
          <w:b/>
          <w:highlight w:val="yellow"/>
        </w:rPr>
        <w:t>A)</w:t>
      </w:r>
      <w:r w:rsidRPr="00F80AA7">
        <w:rPr>
          <w:rFonts w:eastAsia="Times"/>
          <w:highlight w:val="yellow"/>
        </w:rPr>
        <w:t xml:space="preserve"> Comparison of model predictions </w:t>
      </w:r>
      <w:r w:rsidRPr="00F80AA7">
        <w:rPr>
          <w:rFonts w:eastAsia="Times"/>
          <w:i/>
          <w:highlight w:val="yellow"/>
        </w:rPr>
        <w:t>vs.</w:t>
      </w:r>
      <w:r w:rsidRPr="00F80AA7">
        <w:rPr>
          <w:rFonts w:eastAsia="Times"/>
          <w:highlight w:val="yellow"/>
        </w:rPr>
        <w:t xml:space="preserve"> observed individual values for total and free drug concentrations, and total sBCMA concentrations. </w:t>
      </w:r>
      <w:r w:rsidRPr="00F80AA7">
        <w:rPr>
          <w:rFonts w:eastAsia="Times"/>
          <w:b/>
          <w:highlight w:val="yellow"/>
        </w:rPr>
        <w:t>B)</w:t>
      </w:r>
      <w:r w:rsidRPr="00F80AA7">
        <w:rPr>
          <w:rFonts w:eastAsia="Times"/>
          <w:highlight w:val="yellow"/>
        </w:rPr>
        <w:t xml:space="preserve"> Residual-time profiles for total and free drug concentrations, and total sBCMA concentrations.</w:t>
      </w:r>
      <w:r>
        <w:rPr>
          <w:rFonts w:eastAsia="Times"/>
        </w:rPr>
        <w:br w:type="page"/>
      </w:r>
    </w:p>
    <w:p w14:paraId="7263E4F6" w14:textId="77777777" w:rsidR="00862098" w:rsidRDefault="00862098" w:rsidP="00862098">
      <w:pPr>
        <w:spacing w:line="480" w:lineRule="auto"/>
        <w:rPr>
          <w:rFonts w:eastAsia="Times"/>
          <w:b/>
        </w:rPr>
      </w:pPr>
      <w:r w:rsidRPr="008A7CDE">
        <w:rPr>
          <w:rFonts w:eastAsia="Times"/>
          <w:b/>
          <w:noProof/>
        </w:rPr>
        <w:lastRenderedPageBreak/>
        <w:drawing>
          <wp:inline distT="0" distB="0" distL="0" distR="0" wp14:anchorId="2C39460E" wp14:editId="2C41613A">
            <wp:extent cx="5943600" cy="18637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3A80D" w14:textId="77777777" w:rsidR="00862098" w:rsidRDefault="00862098" w:rsidP="00862098">
      <w:pPr>
        <w:spacing w:line="480" w:lineRule="auto"/>
        <w:rPr>
          <w:rFonts w:eastAsia="Times"/>
        </w:rPr>
      </w:pPr>
      <w:r w:rsidRPr="00335325">
        <w:rPr>
          <w:rFonts w:eastAsia="Times"/>
          <w:b/>
        </w:rPr>
        <w:t xml:space="preserve">Supplementary Figure </w:t>
      </w:r>
      <w:r>
        <w:rPr>
          <w:rFonts w:eastAsia="Times"/>
          <w:b/>
        </w:rPr>
        <w:t>3</w:t>
      </w:r>
      <w:r w:rsidRPr="00335325">
        <w:rPr>
          <w:rFonts w:eastAsia="Times"/>
          <w:b/>
        </w:rPr>
        <w:t>.</w:t>
      </w:r>
      <w:r w:rsidRPr="00335325">
        <w:rPr>
          <w:rFonts w:eastAsia="Times"/>
        </w:rPr>
        <w:t xml:space="preserve"> Projected unbound RO729708 at different dose levels and dose frequency in </w:t>
      </w:r>
      <w:r w:rsidRPr="00335325">
        <w:rPr>
          <w:rFonts w:eastAsia="Times"/>
          <w:b/>
        </w:rPr>
        <w:t>A)</w:t>
      </w:r>
      <w:r w:rsidRPr="00335325">
        <w:rPr>
          <w:rFonts w:eastAsia="Times"/>
        </w:rPr>
        <w:t xml:space="preserve"> healthy cynomolgus monkeys and </w:t>
      </w:r>
      <w:r w:rsidRPr="00335325">
        <w:rPr>
          <w:rFonts w:eastAsia="Times"/>
          <w:b/>
        </w:rPr>
        <w:t>B-C)</w:t>
      </w:r>
      <w:r w:rsidRPr="00335325">
        <w:rPr>
          <w:rFonts w:eastAsia="Times"/>
        </w:rPr>
        <w:t xml:space="preserve"> MM patients using the TMDD model.</w:t>
      </w:r>
      <w:r>
        <w:rPr>
          <w:rFonts w:eastAsia="Times"/>
        </w:rPr>
        <w:t xml:space="preserve"> </w:t>
      </w:r>
      <w:r w:rsidRPr="00B756C6">
        <w:rPr>
          <w:rFonts w:eastAsia="Times"/>
        </w:rPr>
        <w:t xml:space="preserve">For the simulation in MM patients, an </w:t>
      </w:r>
      <w:r w:rsidRPr="001B5F7A">
        <w:t>±30% variation was added to the estimated mBCMA and mCD16A levels.</w:t>
      </w:r>
      <w:r>
        <w:rPr>
          <w:sz w:val="22"/>
          <w:szCs w:val="22"/>
        </w:rPr>
        <w:t xml:space="preserve"> </w:t>
      </w:r>
      <w:r>
        <w:rPr>
          <w:rFonts w:eastAsia="Times"/>
        </w:rPr>
        <w:br w:type="page"/>
      </w:r>
    </w:p>
    <w:p w14:paraId="0D62F024" w14:textId="242A2CAD" w:rsidR="00862098" w:rsidRDefault="00FD353F" w:rsidP="00862098">
      <w:pPr>
        <w:spacing w:line="480" w:lineRule="auto"/>
        <w:rPr>
          <w:rFonts w:eastAsia="Times"/>
          <w:b/>
        </w:rPr>
      </w:pPr>
      <w:r w:rsidRPr="00FD353F">
        <w:rPr>
          <w:rFonts w:eastAsia="Times"/>
          <w:b/>
        </w:rPr>
        <w:lastRenderedPageBreak/>
        <w:drawing>
          <wp:inline distT="0" distB="0" distL="0" distR="0" wp14:anchorId="0100A385" wp14:editId="2AA35309">
            <wp:extent cx="5943600" cy="1858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D5703" w14:textId="22516F67" w:rsidR="00862098" w:rsidRPr="00862098" w:rsidRDefault="00862098" w:rsidP="00862098">
      <w:pPr>
        <w:spacing w:line="480" w:lineRule="auto"/>
        <w:rPr>
          <w:b/>
          <w:bCs/>
          <w:lang w:eastAsia="en-GB"/>
        </w:rPr>
      </w:pPr>
      <w:r w:rsidRPr="00335325">
        <w:rPr>
          <w:rFonts w:eastAsia="Times"/>
          <w:b/>
        </w:rPr>
        <w:t xml:space="preserve">Supplementary Figure </w:t>
      </w:r>
      <w:r>
        <w:rPr>
          <w:rFonts w:eastAsia="Times"/>
          <w:b/>
        </w:rPr>
        <w:t>4</w:t>
      </w:r>
      <w:r w:rsidRPr="00335325">
        <w:rPr>
          <w:rFonts w:eastAsia="Times"/>
          <w:b/>
        </w:rPr>
        <w:t>.</w:t>
      </w:r>
      <w:r w:rsidRPr="00335325">
        <w:rPr>
          <w:rFonts w:eastAsia="Times"/>
        </w:rPr>
        <w:t xml:space="preserve"> Projected RO729708</w:t>
      </w:r>
      <w:r>
        <w:rPr>
          <w:rFonts w:eastAsia="Times"/>
        </w:rPr>
        <w:t>-mBCMA-mCD16A concentrations</w:t>
      </w:r>
      <w:r w:rsidRPr="00335325">
        <w:rPr>
          <w:rFonts w:eastAsia="Times"/>
        </w:rPr>
        <w:t xml:space="preserve"> at different dose levels and </w:t>
      </w:r>
      <w:r w:rsidRPr="00B756C6">
        <w:rPr>
          <w:rFonts w:eastAsia="Times"/>
        </w:rPr>
        <w:t xml:space="preserve">dose frequency in </w:t>
      </w:r>
      <w:r w:rsidRPr="00B756C6">
        <w:rPr>
          <w:rFonts w:eastAsia="Times"/>
          <w:b/>
        </w:rPr>
        <w:t>A)</w:t>
      </w:r>
      <w:r w:rsidRPr="00B756C6">
        <w:rPr>
          <w:rFonts w:eastAsia="Times"/>
        </w:rPr>
        <w:t xml:space="preserve"> healthy cynomolgus monkeys and </w:t>
      </w:r>
      <w:r w:rsidRPr="00B756C6">
        <w:rPr>
          <w:rFonts w:eastAsia="Times"/>
          <w:b/>
        </w:rPr>
        <w:t>B-C)</w:t>
      </w:r>
      <w:r w:rsidRPr="00B756C6">
        <w:rPr>
          <w:rFonts w:eastAsia="Times"/>
        </w:rPr>
        <w:t xml:space="preserve"> MM patients using the TMDD model</w:t>
      </w:r>
      <w:r w:rsidRPr="001B5F7A">
        <w:t>.</w:t>
      </w:r>
      <w:r>
        <w:rPr>
          <w:sz w:val="22"/>
          <w:szCs w:val="22"/>
        </w:rPr>
        <w:t xml:space="preserve"> </w:t>
      </w:r>
    </w:p>
    <w:sectPr w:rsidR="00862098" w:rsidRPr="00862098" w:rsidSect="00D7329D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B6DBA" w14:textId="77777777" w:rsidR="00853D8D" w:rsidRDefault="00853D8D">
      <w:r>
        <w:separator/>
      </w:r>
    </w:p>
  </w:endnote>
  <w:endnote w:type="continuationSeparator" w:id="0">
    <w:p w14:paraId="29ECB243" w14:textId="77777777" w:rsidR="00853D8D" w:rsidRDefault="0085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890A" w14:textId="77777777" w:rsidR="005F7E2B" w:rsidRDefault="008620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65728A9" w14:textId="77777777" w:rsidR="005F7E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1028" w14:textId="77777777" w:rsidR="005F7E2B" w:rsidRDefault="008620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26</w:t>
    </w:r>
    <w:r>
      <w:rPr>
        <w:color w:val="000000"/>
      </w:rPr>
      <w:fldChar w:fldCharType="end"/>
    </w:r>
  </w:p>
  <w:p w14:paraId="3FFAB748" w14:textId="77777777" w:rsidR="005F7E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38DE" w14:textId="77777777" w:rsidR="00853D8D" w:rsidRDefault="00853D8D">
      <w:r>
        <w:separator/>
      </w:r>
    </w:p>
  </w:footnote>
  <w:footnote w:type="continuationSeparator" w:id="0">
    <w:p w14:paraId="7924CCA2" w14:textId="77777777" w:rsidR="00853D8D" w:rsidRDefault="00853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98"/>
    <w:rsid w:val="000C2040"/>
    <w:rsid w:val="00115868"/>
    <w:rsid w:val="00141981"/>
    <w:rsid w:val="00217E01"/>
    <w:rsid w:val="002A6D2F"/>
    <w:rsid w:val="00372D64"/>
    <w:rsid w:val="006E56E4"/>
    <w:rsid w:val="0080381B"/>
    <w:rsid w:val="0084131A"/>
    <w:rsid w:val="00853D8D"/>
    <w:rsid w:val="00862098"/>
    <w:rsid w:val="008D295D"/>
    <w:rsid w:val="0099487F"/>
    <w:rsid w:val="009C4BDF"/>
    <w:rsid w:val="00AA304E"/>
    <w:rsid w:val="00C0161B"/>
    <w:rsid w:val="00CE27F3"/>
    <w:rsid w:val="00D57283"/>
    <w:rsid w:val="00DD4A56"/>
    <w:rsid w:val="00ED66AC"/>
    <w:rsid w:val="00EF7952"/>
    <w:rsid w:val="00F60E5F"/>
    <w:rsid w:val="00F80AA7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1D91D"/>
  <w15:chartTrackingRefBased/>
  <w15:docId w15:val="{4E1FBDA9-E002-6D47-AE8F-489A3AF3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09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862098"/>
    <w:pPr>
      <w:spacing w:before="240" w:line="360" w:lineRule="auto"/>
    </w:pPr>
    <w:rPr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862098"/>
  </w:style>
  <w:style w:type="paragraph" w:customStyle="1" w:styleId="Articletitle">
    <w:name w:val="Article title"/>
    <w:basedOn w:val="Normal"/>
    <w:next w:val="Normal"/>
    <w:qFormat/>
    <w:rsid w:val="00862098"/>
    <w:pPr>
      <w:spacing w:after="120" w:line="360" w:lineRule="auto"/>
    </w:pPr>
    <w:rPr>
      <w:b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862098"/>
    <w:pPr>
      <w:spacing w:before="240" w:line="360" w:lineRule="auto"/>
    </w:pPr>
    <w:rPr>
      <w:sz w:val="28"/>
      <w:lang w:val="en-GB" w:eastAsia="en-GB"/>
    </w:rPr>
  </w:style>
  <w:style w:type="paragraph" w:customStyle="1" w:styleId="Affiliation">
    <w:name w:val="Affiliation"/>
    <w:basedOn w:val="Normal"/>
    <w:qFormat/>
    <w:rsid w:val="00862098"/>
    <w:pPr>
      <w:spacing w:before="240" w:line="360" w:lineRule="auto"/>
    </w:pPr>
    <w:rPr>
      <w:i/>
      <w:lang w:val="en-GB" w:eastAsia="en-GB"/>
    </w:rPr>
  </w:style>
  <w:style w:type="paragraph" w:customStyle="1" w:styleId="Correspondencedetails">
    <w:name w:val="Correspondence details"/>
    <w:basedOn w:val="Normal"/>
    <w:qFormat/>
    <w:rsid w:val="00862098"/>
    <w:pPr>
      <w:spacing w:before="240" w:line="360" w:lineRule="auto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DD4A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071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110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346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cai.hao@gene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vacik.ayse_meric@gene.com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Hao</dc:creator>
  <cp:keywords/>
  <dc:description/>
  <cp:lastModifiedBy>Cai Hao</cp:lastModifiedBy>
  <cp:revision>10</cp:revision>
  <dcterms:created xsi:type="dcterms:W3CDTF">2022-07-05T23:50:00Z</dcterms:created>
  <dcterms:modified xsi:type="dcterms:W3CDTF">2022-07-27T09:09:00Z</dcterms:modified>
</cp:coreProperties>
</file>