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37112" w14:textId="26A839E8" w:rsidR="00776161" w:rsidRPr="003C35A0" w:rsidRDefault="00776161" w:rsidP="00776161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Liposomal Formulations of </w:t>
      </w:r>
      <w:hyperlink r:id="rId4" w:history="1">
        <w:r w:rsidRPr="00776161">
          <w:rPr>
            <w:rStyle w:val="Emphasis"/>
            <w:rFonts w:cs="Times New Roman"/>
            <w:b/>
            <w:bCs/>
            <w:i w:val="0"/>
            <w:iCs w:val="0"/>
            <w:color w:val="000000" w:themeColor="text1"/>
            <w:sz w:val="32"/>
            <w:szCs w:val="32"/>
            <w:shd w:val="clear" w:color="auto" w:fill="FFFFFF"/>
          </w:rPr>
          <w:t>Anti</w:t>
        </w:r>
        <w:r w:rsidRPr="00776161">
          <w:rPr>
            <w:rStyle w:val="Hyperlink"/>
            <w:rFonts w:cs="Times New Roman"/>
            <w:i/>
            <w:iCs/>
            <w:color w:val="000000" w:themeColor="text1"/>
            <w:sz w:val="32"/>
            <w:szCs w:val="32"/>
            <w:shd w:val="clear" w:color="auto" w:fill="FFFFFF"/>
          </w:rPr>
          <w:t>-</w:t>
        </w:r>
        <w:r w:rsidRPr="00776161">
          <w:rPr>
            <w:rStyle w:val="Emphasis"/>
            <w:rFonts w:cs="Times New Roman"/>
            <w:b/>
            <w:bCs/>
            <w:i w:val="0"/>
            <w:iCs w:val="0"/>
            <w:color w:val="000000" w:themeColor="text1"/>
            <w:sz w:val="32"/>
            <w:szCs w:val="32"/>
            <w:shd w:val="clear" w:color="auto" w:fill="FFFFFF"/>
          </w:rPr>
          <w:t>Alzheimer</w:t>
        </w:r>
      </w:hyperlink>
      <w:r w:rsidRPr="00E50A6B">
        <w:rPr>
          <w:rStyle w:val="f"/>
          <w:rFonts w:ascii="Roboto" w:hAnsi="Roboto"/>
          <w:color w:val="000000" w:themeColor="text1"/>
          <w:sz w:val="21"/>
          <w:szCs w:val="21"/>
          <w:shd w:val="clear" w:color="auto" w:fill="FFFFFF"/>
        </w:rPr>
        <w:t> </w:t>
      </w:r>
      <w:r>
        <w:rPr>
          <w:rFonts w:cstheme="minorHAnsi"/>
          <w:b/>
          <w:bCs/>
          <w:sz w:val="32"/>
          <w:szCs w:val="32"/>
        </w:rPr>
        <w:t xml:space="preserve">Drugs and siRNA for Nose-to-Brain Delivery: Design, Safety and Efficacy </w:t>
      </w:r>
      <w:r w:rsidR="00890A81" w:rsidRPr="00890A81">
        <w:rPr>
          <w:rFonts w:cstheme="minorHAnsi"/>
          <w:b/>
          <w:bCs/>
          <w:i/>
          <w:iCs/>
          <w:sz w:val="32"/>
          <w:szCs w:val="32"/>
        </w:rPr>
        <w:t>in Vitro</w:t>
      </w:r>
    </w:p>
    <w:p w14:paraId="5D3A2375" w14:textId="53B64312" w:rsidR="009128A1" w:rsidRDefault="009128A1" w:rsidP="009128A1">
      <w:pPr>
        <w:jc w:val="center"/>
        <w:rPr>
          <w:rFonts w:cstheme="minorHAnsi"/>
          <w:b/>
          <w:bCs/>
          <w:sz w:val="28"/>
          <w:szCs w:val="28"/>
        </w:rPr>
      </w:pPr>
      <w:r w:rsidRPr="00053117">
        <w:rPr>
          <w:rFonts w:cstheme="minorHAnsi"/>
          <w:b/>
          <w:bCs/>
          <w:sz w:val="28"/>
          <w:szCs w:val="28"/>
        </w:rPr>
        <w:t>David Lee, Andrew M Shen, Olga B Garbuzenko, Tamara Minko</w:t>
      </w:r>
    </w:p>
    <w:p w14:paraId="064B8435" w14:textId="355E2508" w:rsidR="009128A1" w:rsidRDefault="009128A1" w:rsidP="009128A1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Supplemental Materials</w:t>
      </w:r>
    </w:p>
    <w:p w14:paraId="5DB9EB7A" w14:textId="77777777" w:rsidR="00E46E14" w:rsidRDefault="00E46E14" w:rsidP="009128A1">
      <w:pPr>
        <w:jc w:val="center"/>
        <w:rPr>
          <w:rFonts w:cstheme="minorHAnsi"/>
          <w:b/>
          <w:bCs/>
          <w:sz w:val="28"/>
          <w:szCs w:val="28"/>
        </w:rPr>
      </w:pPr>
    </w:p>
    <w:p w14:paraId="46E345A8" w14:textId="17F41241" w:rsidR="00E46E14" w:rsidRDefault="00E46E14" w:rsidP="009128A1">
      <w:pPr>
        <w:jc w:val="center"/>
        <w:rPr>
          <w:rFonts w:cstheme="minorHAns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96D0163" wp14:editId="0F07DE9E">
            <wp:extent cx="4715123" cy="4547870"/>
            <wp:effectExtent l="0" t="0" r="9525" b="5080"/>
            <wp:docPr id="2134061037" name="Picture 1" descr="A graph showing the number of tim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61037" name="Picture 1" descr="A graph showing the number of tim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734" cy="455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9384C" w14:textId="77777777" w:rsidR="00E46E14" w:rsidRDefault="00E46E14" w:rsidP="00E46E14">
      <w:r>
        <w:rPr>
          <w:rFonts w:cstheme="minorHAnsi"/>
          <w:szCs w:val="24"/>
        </w:rPr>
        <w:t xml:space="preserve">Figure S1. </w:t>
      </w:r>
      <w:r>
        <w:t xml:space="preserve">The TEER values of the Calu-3 cells in 0.4 </w:t>
      </w:r>
      <w:r>
        <w:rPr>
          <w:rFonts w:cstheme="minorHAnsi"/>
        </w:rPr>
        <w:t>µ</w:t>
      </w:r>
      <w:r>
        <w:t xml:space="preserve">m pore PET membrane insert in 24mm </w:t>
      </w:r>
      <w:proofErr w:type="spellStart"/>
      <w:r>
        <w:t>Transwell</w:t>
      </w:r>
      <w:proofErr w:type="spellEnd"/>
      <w:r>
        <w:t xml:space="preserve"> using EVOM2. Once TEER values were above 500 </w:t>
      </w:r>
      <w:r>
        <w:rPr>
          <w:rFonts w:cstheme="minorHAnsi"/>
        </w:rPr>
        <w:t>Ω·</w:t>
      </w:r>
      <w:r>
        <w:t>cm</w:t>
      </w:r>
      <w:r>
        <w:rPr>
          <w:vertAlign w:val="superscript"/>
        </w:rPr>
        <w:t>2</w:t>
      </w:r>
      <w:r>
        <w:t>, Calu-3 cells underwent air-liquid interface to simulate nasal epithelium environment. The TEER values were measured until day 10.</w:t>
      </w:r>
    </w:p>
    <w:p w14:paraId="08CC141D" w14:textId="51218C15" w:rsidR="009128A1" w:rsidRPr="00E46E14" w:rsidRDefault="009128A1" w:rsidP="00E46E14">
      <w:pPr>
        <w:rPr>
          <w:rFonts w:cstheme="minorHAnsi"/>
          <w:szCs w:val="24"/>
        </w:rPr>
      </w:pPr>
    </w:p>
    <w:p w14:paraId="49E10C6F" w14:textId="77777777" w:rsidR="009128A1" w:rsidRDefault="009128A1" w:rsidP="009128A1">
      <w:r>
        <w:rPr>
          <w:noProof/>
        </w:rPr>
        <w:lastRenderedPageBreak/>
        <w:drawing>
          <wp:inline distT="0" distB="0" distL="0" distR="0" wp14:anchorId="2D1F4E36" wp14:editId="250835B3">
            <wp:extent cx="3583172" cy="4069973"/>
            <wp:effectExtent l="0" t="0" r="0" b="6985"/>
            <wp:docPr id="1498922916" name="Picture 2" descr="A graph of a number of cytoxi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22916" name="Picture 2" descr="A graph of a number of cytoxi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512" cy="408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6D876" w14:textId="46E19505" w:rsidR="009128A1" w:rsidRDefault="009128A1" w:rsidP="009128A1">
      <w:r>
        <w:t xml:space="preserve">Figure </w:t>
      </w:r>
      <w:r w:rsidR="00910EB4">
        <w:t>S</w:t>
      </w:r>
      <w:r w:rsidR="006E1125">
        <w:t>2</w:t>
      </w:r>
      <w:r>
        <w:t>. The cytotoxic effect A</w:t>
      </w:r>
      <w:r>
        <w:rPr>
          <w:rFonts w:cstheme="minorHAnsi"/>
        </w:rPr>
        <w:t>β</w:t>
      </w:r>
      <w:r>
        <w:t>42 in different concentration (****p&lt;0.0001)</w:t>
      </w:r>
      <w:r w:rsidR="00910EB4">
        <w:t>.</w:t>
      </w:r>
    </w:p>
    <w:p w14:paraId="70CB1469" w14:textId="77777777" w:rsidR="009128A1" w:rsidRDefault="009128A1" w:rsidP="009128A1">
      <w:pPr>
        <w:pStyle w:val="NormalWeb"/>
      </w:pPr>
      <w:r>
        <w:rPr>
          <w:noProof/>
        </w:rPr>
        <w:lastRenderedPageBreak/>
        <w:drawing>
          <wp:inline distT="0" distB="0" distL="0" distR="0" wp14:anchorId="4700E3D3" wp14:editId="083100A7">
            <wp:extent cx="5943600" cy="4401185"/>
            <wp:effectExtent l="0" t="0" r="0" b="0"/>
            <wp:docPr id="222471663" name="Picture 16" descr="A graph of different types of dn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471663" name="Picture 16" descr="A graph of different types of dn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AEF6A" w14:textId="77777777" w:rsidR="009128A1" w:rsidRDefault="009128A1" w:rsidP="009128A1"/>
    <w:p w14:paraId="774B51A8" w14:textId="3E50B6B9" w:rsidR="009128A1" w:rsidRDefault="009128A1" w:rsidP="00106E52">
      <w:r>
        <w:t xml:space="preserve">Figure </w:t>
      </w:r>
      <w:r w:rsidR="00910EB4">
        <w:t>S</w:t>
      </w:r>
      <w:r w:rsidR="006E1125">
        <w:t>3</w:t>
      </w:r>
      <w:r>
        <w:t xml:space="preserve">. Caspase 3/7 activity of undifferentiated and differentiated SH-SY5Y neuroblastoma cells. </w:t>
      </w:r>
      <w:proofErr w:type="spellStart"/>
      <w:r>
        <w:t>Staurosporine</w:t>
      </w:r>
      <w:proofErr w:type="spellEnd"/>
      <w:r>
        <w:t xml:space="preserve"> 20 </w:t>
      </w:r>
      <w:proofErr w:type="spellStart"/>
      <w:r>
        <w:t>nM</w:t>
      </w:r>
      <w:proofErr w:type="spellEnd"/>
      <w:r>
        <w:t xml:space="preserve"> was used as positive control. The decreased activity of caspase due to free memantine was dose-dependent (****p&lt;0.0001; *p&lt;0.05)</w:t>
      </w:r>
      <w:r w:rsidR="00910EB4">
        <w:t>.</w:t>
      </w:r>
      <w:r>
        <w:t xml:space="preserve">  </w:t>
      </w:r>
    </w:p>
    <w:p w14:paraId="4D5D9F64" w14:textId="77777777" w:rsidR="00106E52" w:rsidRPr="00106E52" w:rsidRDefault="00106E52" w:rsidP="00106E52"/>
    <w:p w14:paraId="1B4426AD" w14:textId="77777777" w:rsidR="00DA63C3" w:rsidRDefault="00DA63C3"/>
    <w:sectPr w:rsidR="00DA6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A1"/>
    <w:rsid w:val="00106E52"/>
    <w:rsid w:val="001756BE"/>
    <w:rsid w:val="001C135E"/>
    <w:rsid w:val="006E1125"/>
    <w:rsid w:val="00776161"/>
    <w:rsid w:val="00890A81"/>
    <w:rsid w:val="00910EB4"/>
    <w:rsid w:val="009128A1"/>
    <w:rsid w:val="009B6EEF"/>
    <w:rsid w:val="00A0321A"/>
    <w:rsid w:val="00A6504C"/>
    <w:rsid w:val="00B456F5"/>
    <w:rsid w:val="00DA63C3"/>
    <w:rsid w:val="00E46E14"/>
    <w:rsid w:val="00F33B56"/>
    <w:rsid w:val="00F3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EA502"/>
  <w15:chartTrackingRefBased/>
  <w15:docId w15:val="{705D3F62-F359-4798-8492-EEB85677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8A1"/>
    <w:pPr>
      <w:spacing w:after="120"/>
      <w:jc w:val="both"/>
    </w:pPr>
    <w:rPr>
      <w:rFonts w:ascii="Times New Roman" w:eastAsiaTheme="minorEastAsia" w:hAnsi="Times New Roman"/>
      <w:kern w:val="0"/>
      <w:sz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28A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776161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76161"/>
    <w:rPr>
      <w:i/>
      <w:iCs/>
    </w:rPr>
  </w:style>
  <w:style w:type="character" w:customStyle="1" w:styleId="f">
    <w:name w:val="f"/>
    <w:basedOn w:val="DefaultParagraphFont"/>
    <w:rsid w:val="00776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scholar.google.com/scholar_url?url=https://www.academia.edu/download/46160304/Rational_Approach_To_Discover_Multipoten20160602-1520-1tt6asb.pdf&amp;hl=en&amp;sa=X&amp;ei=jNmBZqXOHKyXy9YP3bmtyAE&amp;scisig=AFWwaebYaFqViC8AQx3R0XMoFRqF&amp;oi=scholar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Minko</dc:creator>
  <cp:keywords/>
  <dc:description/>
  <cp:lastModifiedBy>Tamara Minko</cp:lastModifiedBy>
  <cp:revision>9</cp:revision>
  <dcterms:created xsi:type="dcterms:W3CDTF">2024-06-23T22:16:00Z</dcterms:created>
  <dcterms:modified xsi:type="dcterms:W3CDTF">2024-06-30T23:48:00Z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ef04bd7c-c7a9-4bc4-a05a-87f66c1a242d</vt:lpwstr>
  </property>
</Properties>
</file>