
<file path=[Content_Types].xml><?xml version="1.0" encoding="utf-8"?>
<Types xmlns="http://schemas.openxmlformats.org/package/2006/content-types">
  <Default Extension="emf" ContentType="image/x-emf"/>
  <Default Extension="pdf" ContentType="application/pd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0597E" w14:textId="77777777" w:rsidR="0077220C" w:rsidRPr="0086740F" w:rsidRDefault="0077220C" w:rsidP="0077220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40F"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14:paraId="36761A6E" w14:textId="77777777" w:rsidR="0077220C" w:rsidRPr="0086740F" w:rsidRDefault="0077220C" w:rsidP="0077220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40F">
        <w:rPr>
          <w:rFonts w:ascii="Times New Roman" w:hAnsi="Times New Roman" w:cs="Times New Roman"/>
          <w:b/>
          <w:sz w:val="24"/>
          <w:szCs w:val="24"/>
        </w:rPr>
        <w:t>FOR</w:t>
      </w:r>
    </w:p>
    <w:p w14:paraId="6BE0B7C3" w14:textId="77777777" w:rsidR="0077220C" w:rsidRPr="0086740F" w:rsidRDefault="0077220C" w:rsidP="0077220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F6B0D2" w14:textId="77777777" w:rsidR="0077220C" w:rsidRPr="0086740F" w:rsidRDefault="0077220C" w:rsidP="0077220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53AE09" w14:textId="77777777" w:rsidR="0077220C" w:rsidRPr="0077220C" w:rsidRDefault="0077220C" w:rsidP="0077220C">
      <w:pPr>
        <w:jc w:val="center"/>
        <w:rPr>
          <w:rFonts w:cs="Arial"/>
          <w:b/>
          <w:sz w:val="22"/>
          <w:szCs w:val="22"/>
        </w:rPr>
      </w:pPr>
      <w:r w:rsidRPr="0077220C">
        <w:rPr>
          <w:rFonts w:cs="Arial"/>
          <w:b/>
          <w:sz w:val="22"/>
          <w:szCs w:val="22"/>
        </w:rPr>
        <w:t>Recommendation for Clarifying FDA Policy in Evaluating “Sameness” of Higher Order Structure for Generic Peptide Therapeutics</w:t>
      </w:r>
    </w:p>
    <w:p w14:paraId="0B8F9935" w14:textId="77777777" w:rsidR="00A940B3" w:rsidRDefault="00A940B3"/>
    <w:p w14:paraId="1DDEE32C" w14:textId="77777777" w:rsidR="0077220C" w:rsidRDefault="0077220C"/>
    <w:p w14:paraId="275D8485" w14:textId="4946A8FD" w:rsidR="0077220C" w:rsidRDefault="0077220C" w:rsidP="0077220C">
      <w:pPr>
        <w:jc w:val="center"/>
        <w:rPr>
          <w:rFonts w:cs="Arial"/>
          <w:b/>
        </w:rPr>
      </w:pPr>
      <w:r w:rsidRPr="0797A8C5">
        <w:rPr>
          <w:rFonts w:cs="Arial"/>
          <w:b/>
          <w:bCs/>
        </w:rPr>
        <w:t>Jessica A. Rogers-Crovak,</w:t>
      </w:r>
      <w:r>
        <w:rPr>
          <w:rFonts w:cs="Arial"/>
          <w:b/>
        </w:rPr>
        <w:t xml:space="preserve"> Edward</w:t>
      </w:r>
      <w:r w:rsidR="00564CF5">
        <w:rPr>
          <w:rFonts w:cs="Arial"/>
          <w:b/>
        </w:rPr>
        <w:t xml:space="preserve"> J.</w:t>
      </w:r>
      <w:r>
        <w:rPr>
          <w:rFonts w:cs="Arial"/>
          <w:b/>
        </w:rPr>
        <w:t xml:space="preserve"> Delaney, David </w:t>
      </w:r>
      <w:r w:rsidR="00347DAD">
        <w:rPr>
          <w:rFonts w:cs="Arial"/>
          <w:b/>
        </w:rPr>
        <w:t xml:space="preserve">J. </w:t>
      </w:r>
      <w:r>
        <w:rPr>
          <w:rFonts w:cs="Arial"/>
          <w:b/>
        </w:rPr>
        <w:t>Detlefsen</w:t>
      </w:r>
      <w:r w:rsidRPr="0797A8C5">
        <w:rPr>
          <w:rFonts w:cs="Arial"/>
          <w:b/>
          <w:bCs/>
        </w:rPr>
        <w:t>*</w:t>
      </w:r>
    </w:p>
    <w:p w14:paraId="1484A489" w14:textId="38093F9E" w:rsidR="0077220C" w:rsidRDefault="0077220C" w:rsidP="007A7E5A">
      <w:pPr>
        <w:jc w:val="center"/>
      </w:pPr>
      <w:r>
        <w:t>*Novatia, LLC Newtown, PA, USA.</w:t>
      </w:r>
    </w:p>
    <w:p w14:paraId="06C725CD" w14:textId="77777777" w:rsidR="0077220C" w:rsidRDefault="0077220C" w:rsidP="0077220C">
      <w:pPr>
        <w:jc w:val="center"/>
      </w:pPr>
    </w:p>
    <w:p w14:paraId="55B66D39" w14:textId="643C5BA4" w:rsidR="0077220C" w:rsidRDefault="0077220C" w:rsidP="00CE75D5">
      <w:pPr>
        <w:jc w:val="center"/>
      </w:pPr>
      <w:r w:rsidRPr="0077220C">
        <w:rPr>
          <w:b/>
          <w:bCs/>
        </w:rPr>
        <w:t>Table S</w:t>
      </w:r>
      <w:r w:rsidR="00E86A58">
        <w:rPr>
          <w:b/>
          <w:bCs/>
        </w:rPr>
        <w:t>I</w:t>
      </w:r>
      <w:r>
        <w:rPr>
          <w:b/>
          <w:bCs/>
        </w:rPr>
        <w:t>.</w:t>
      </w:r>
      <w:r>
        <w:t xml:space="preserve"> sample pH used for similarity studies of liraglutide, semaglutide and teriparatide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970"/>
        <w:gridCol w:w="990"/>
        <w:gridCol w:w="1800"/>
      </w:tblGrid>
      <w:tr w:rsidR="00C01D5D" w:rsidRPr="00221CFB" w14:paraId="50743CF0" w14:textId="77777777" w:rsidTr="000A651E">
        <w:trPr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48B4B" w14:textId="3EC45865" w:rsidR="000D1FF6" w:rsidRPr="00221CFB" w:rsidRDefault="000D1FF6" w:rsidP="007A7E5A">
            <w:pPr>
              <w:ind w:left="-112"/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Drug Product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08D51" w14:textId="3A87C421" w:rsidR="000D1FF6" w:rsidRPr="00221CFB" w:rsidRDefault="000D1FF6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Study Cohort (Figure)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2FA4B" w14:textId="0A03707A" w:rsidR="000D1FF6" w:rsidRPr="00221CFB" w:rsidRDefault="000D1FF6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Sample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A4ACC" w14:textId="3F02A8D0" w:rsidR="000D1FF6" w:rsidRPr="00221CFB" w:rsidRDefault="000D1FF6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Measured pH</w:t>
            </w:r>
          </w:p>
        </w:tc>
      </w:tr>
      <w:tr w:rsidR="008751B1" w:rsidRPr="00221CFB" w14:paraId="39E5BE66" w14:textId="77777777" w:rsidTr="000A651E">
        <w:trPr>
          <w:jc w:val="center"/>
        </w:trPr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B24F" w14:textId="2992B5A9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Liraglutide</w:t>
            </w:r>
            <w:r w:rsidR="00CE75D5" w:rsidRPr="00221CFB">
              <w:rPr>
                <w:rFonts w:cs="Arial"/>
                <w:szCs w:val="20"/>
              </w:rPr>
              <w:t xml:space="preserve"> (Victoza®)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13B18B7" w14:textId="3F5FD9DA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± 0.4 pH range</w:t>
            </w:r>
          </w:p>
          <w:p w14:paraId="7D8F427C" w14:textId="02A22391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(Figure 2)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vAlign w:val="center"/>
          </w:tcPr>
          <w:p w14:paraId="16DA5880" w14:textId="1FEC011C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center"/>
          </w:tcPr>
          <w:p w14:paraId="7BF67B51" w14:textId="5BB9C5D1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7.80</w:t>
            </w:r>
          </w:p>
        </w:tc>
      </w:tr>
      <w:tr w:rsidR="008751B1" w:rsidRPr="00221CFB" w14:paraId="1EFD35CA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61F27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4A5FBAC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2F9B933D" w14:textId="3BF341E6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EB4F3E4" w14:textId="00977830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7.93</w:t>
            </w:r>
          </w:p>
        </w:tc>
      </w:tr>
      <w:tr w:rsidR="008751B1" w:rsidRPr="00221CFB" w14:paraId="19FE1A6E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5568E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D66D10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788A615A" w14:textId="7E33ED44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322D2CE" w14:textId="78534C29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8.09</w:t>
            </w:r>
          </w:p>
        </w:tc>
      </w:tr>
      <w:tr w:rsidR="008751B1" w:rsidRPr="00221CFB" w14:paraId="2512C8E9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8AF86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827F0C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556A6D87" w14:textId="29224C4E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3050C142" w14:textId="304867D1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8.11</w:t>
            </w:r>
          </w:p>
        </w:tc>
      </w:tr>
      <w:tr w:rsidR="008751B1" w:rsidRPr="00221CFB" w14:paraId="2539F924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25481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60CC1A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193057E0" w14:textId="23D616E4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C82E938" w14:textId="29169725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8.31</w:t>
            </w:r>
          </w:p>
        </w:tc>
      </w:tr>
      <w:tr w:rsidR="008751B1" w:rsidRPr="00221CFB" w14:paraId="4A753042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78DDB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EA9D1BD" w14:textId="77777777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79676C7A" w14:textId="3A20660A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03E02EEF" w14:textId="5CF18FA4" w:rsidR="008751B1" w:rsidRPr="00221CFB" w:rsidRDefault="008751B1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8.58</w:t>
            </w:r>
          </w:p>
        </w:tc>
      </w:tr>
      <w:tr w:rsidR="00CE75D5" w:rsidRPr="00221CFB" w14:paraId="2FB24161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53A7C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C69DD6" w14:textId="62E93A9E" w:rsidR="00CE75D5" w:rsidRPr="00221CFB" w:rsidRDefault="000A651E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RLD – Low</w:t>
            </w:r>
            <w:r w:rsidR="000B18D2">
              <w:rPr>
                <w:rFonts w:cs="Arial"/>
                <w:szCs w:val="20"/>
              </w:rPr>
              <w:t>er</w:t>
            </w:r>
            <w:r w:rsidRPr="00221CFB">
              <w:rPr>
                <w:rFonts w:cs="Arial"/>
                <w:szCs w:val="20"/>
              </w:rPr>
              <w:t xml:space="preserve"> </w:t>
            </w:r>
            <w:r w:rsidR="00221CFB">
              <w:rPr>
                <w:rFonts w:cs="Arial"/>
                <w:szCs w:val="20"/>
              </w:rPr>
              <w:t xml:space="preserve">pH </w:t>
            </w:r>
            <w:r w:rsidRPr="00221CFB">
              <w:rPr>
                <w:rFonts w:cs="Arial"/>
                <w:szCs w:val="20"/>
              </w:rPr>
              <w:t>Variability</w:t>
            </w:r>
          </w:p>
          <w:p w14:paraId="56B18A40" w14:textId="565E7914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(Figure 3B, 5, 6, 7</w:t>
            </w:r>
            <w:r w:rsidR="004C0771" w:rsidRPr="00221CFB">
              <w:rPr>
                <w:rFonts w:cs="Arial"/>
                <w:szCs w:val="20"/>
              </w:rPr>
              <w:t>, 8</w:t>
            </w:r>
            <w:r w:rsidRPr="00221CFB">
              <w:rPr>
                <w:rFonts w:cs="Arial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7411A5F8" w14:textId="732FF04F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4190A6F" w14:textId="5AA04462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8.11</w:t>
            </w:r>
          </w:p>
        </w:tc>
      </w:tr>
      <w:tr w:rsidR="00CE75D5" w:rsidRPr="00221CFB" w14:paraId="54D766A0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38FEA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28A4E2F2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8A316B5" w14:textId="1122F0A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03AB11D2" w14:textId="3B299332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8.13</w:t>
            </w:r>
          </w:p>
        </w:tc>
      </w:tr>
      <w:tr w:rsidR="00CE75D5" w:rsidRPr="00221CFB" w14:paraId="693BD054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76C25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2CCCCFF6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4852E842" w14:textId="3A1CC9E4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FA5084A" w14:textId="4CD9A7E9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8.14</w:t>
            </w:r>
          </w:p>
        </w:tc>
      </w:tr>
      <w:tr w:rsidR="00CE75D5" w:rsidRPr="00221CFB" w14:paraId="65F3D5D4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C2EC1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CA7C84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1C17A062" w14:textId="7D7A05B1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51708D91" w14:textId="1095801A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8.15</w:t>
            </w:r>
          </w:p>
        </w:tc>
      </w:tr>
      <w:tr w:rsidR="00CE75D5" w:rsidRPr="00221CFB" w14:paraId="2029B6E7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D2AD2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63C92F" w14:textId="035B1F11" w:rsidR="00CE75D5" w:rsidRPr="00221CFB" w:rsidRDefault="000A651E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Generic – High</w:t>
            </w:r>
            <w:r w:rsidR="000B18D2">
              <w:rPr>
                <w:rFonts w:cs="Arial"/>
                <w:szCs w:val="20"/>
              </w:rPr>
              <w:t>er</w:t>
            </w:r>
            <w:r w:rsidRPr="00221CFB">
              <w:rPr>
                <w:rFonts w:cs="Arial"/>
                <w:szCs w:val="20"/>
              </w:rPr>
              <w:t xml:space="preserve"> </w:t>
            </w:r>
            <w:r w:rsidR="00221CFB">
              <w:rPr>
                <w:rFonts w:cs="Arial"/>
                <w:szCs w:val="20"/>
              </w:rPr>
              <w:t xml:space="preserve">pH </w:t>
            </w:r>
            <w:r w:rsidRPr="00221CFB">
              <w:rPr>
                <w:rFonts w:cs="Arial"/>
                <w:szCs w:val="20"/>
              </w:rPr>
              <w:t>Variability</w:t>
            </w:r>
          </w:p>
          <w:p w14:paraId="0B30AB49" w14:textId="01A6D9F2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(Figure 3A, 5)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527BFB2" w14:textId="4D395DA6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40F20800" w14:textId="0E95DDF7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8.08</w:t>
            </w:r>
          </w:p>
        </w:tc>
      </w:tr>
      <w:tr w:rsidR="00CE75D5" w:rsidRPr="00221CFB" w14:paraId="49D0C567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48E99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178F5FE5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25EA5A3" w14:textId="2CCA7702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34054910" w14:textId="62936A50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8.11</w:t>
            </w:r>
          </w:p>
        </w:tc>
      </w:tr>
      <w:tr w:rsidR="00CE75D5" w:rsidRPr="00221CFB" w14:paraId="3A755658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D44BF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0E934DF9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4423033A" w14:textId="6E444910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0E3FA3A3" w14:textId="2D7C76AD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8.13</w:t>
            </w:r>
          </w:p>
        </w:tc>
      </w:tr>
      <w:tr w:rsidR="00CE75D5" w:rsidRPr="00221CFB" w14:paraId="5C4F051D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16BA1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0AC5B3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344F1F12" w14:textId="4CB3D3A3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5A67D479" w14:textId="52873643" w:rsidR="00CE75D5" w:rsidRPr="00221CFB" w:rsidRDefault="00346813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8.31</w:t>
            </w:r>
          </w:p>
        </w:tc>
      </w:tr>
      <w:tr w:rsidR="00CE75D5" w:rsidRPr="00221CFB" w14:paraId="5D4EF0E9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D2339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A98CF1" w14:textId="3DB1643E" w:rsidR="00CE75D5" w:rsidRPr="00221CFB" w:rsidRDefault="000A651E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Generic – Low</w:t>
            </w:r>
            <w:r w:rsidR="000B18D2">
              <w:rPr>
                <w:rFonts w:cs="Arial"/>
                <w:szCs w:val="20"/>
              </w:rPr>
              <w:t>er</w:t>
            </w:r>
            <w:r w:rsidRPr="00221CFB">
              <w:rPr>
                <w:rFonts w:cs="Arial"/>
                <w:szCs w:val="20"/>
              </w:rPr>
              <w:t xml:space="preserve"> </w:t>
            </w:r>
            <w:r w:rsidR="00221CFB">
              <w:rPr>
                <w:rFonts w:cs="Arial"/>
                <w:szCs w:val="20"/>
              </w:rPr>
              <w:t xml:space="preserve">pH </w:t>
            </w:r>
            <w:r w:rsidRPr="00221CFB">
              <w:rPr>
                <w:rFonts w:cs="Arial"/>
                <w:szCs w:val="20"/>
              </w:rPr>
              <w:t>Variability</w:t>
            </w:r>
          </w:p>
          <w:p w14:paraId="771D0E21" w14:textId="79E765D4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(Figure 6)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30B412AF" w14:textId="29CAF28D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73D7F72" w14:textId="20BA5C97" w:rsidR="00CE75D5" w:rsidRPr="00221CFB" w:rsidRDefault="00684B3A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</w:t>
            </w:r>
            <w:r w:rsidR="0080284D" w:rsidRPr="00221CFB">
              <w:rPr>
                <w:rFonts w:cs="Arial"/>
                <w:szCs w:val="20"/>
              </w:rPr>
              <w:t>11</w:t>
            </w:r>
          </w:p>
        </w:tc>
      </w:tr>
      <w:tr w:rsidR="00CE75D5" w:rsidRPr="00221CFB" w14:paraId="4E0966DB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349D0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5C139BDC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74F24F4" w14:textId="69C7D8FF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3249A345" w14:textId="79EA7461" w:rsidR="00CE75D5" w:rsidRPr="00221CFB" w:rsidRDefault="0080284D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8.12</w:t>
            </w:r>
          </w:p>
        </w:tc>
      </w:tr>
      <w:tr w:rsidR="00CE75D5" w:rsidRPr="00221CFB" w14:paraId="755AA24C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DE19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0F902BBE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28EAD684" w14:textId="32DC9D4F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344C29" w14:textId="1E8E58AC" w:rsidR="00CE75D5" w:rsidRPr="00221CFB" w:rsidRDefault="0080284D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8.13</w:t>
            </w:r>
          </w:p>
        </w:tc>
      </w:tr>
      <w:tr w:rsidR="00CE75D5" w:rsidRPr="00221CFB" w14:paraId="4716DB6A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BFACF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E18B94" w14:textId="77777777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4FB45EF8" w14:textId="548B9E0A" w:rsidR="00CE75D5" w:rsidRPr="00221CFB" w:rsidRDefault="00CE75D5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55AC1E65" w14:textId="5BDA6781" w:rsidR="00CE75D5" w:rsidRPr="00221CFB" w:rsidRDefault="0080284D" w:rsidP="00CE75D5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8.16</w:t>
            </w:r>
          </w:p>
        </w:tc>
      </w:tr>
      <w:tr w:rsidR="00684B3A" w:rsidRPr="00221CFB" w14:paraId="1612CFEC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B8CD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7CD275" w14:textId="403466F7" w:rsidR="00684B3A" w:rsidRPr="00221CFB" w:rsidRDefault="000A651E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Generic – Low</w:t>
            </w:r>
            <w:r w:rsidR="000B18D2">
              <w:rPr>
                <w:rFonts w:cs="Arial"/>
                <w:szCs w:val="20"/>
              </w:rPr>
              <w:t>er</w:t>
            </w:r>
            <w:r w:rsidRPr="00221CFB">
              <w:rPr>
                <w:rFonts w:cs="Arial"/>
                <w:szCs w:val="20"/>
              </w:rPr>
              <w:t xml:space="preserve"> Average pH</w:t>
            </w:r>
          </w:p>
          <w:p w14:paraId="191258DB" w14:textId="0157CBDC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(Figure 7)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FE78EDD" w14:textId="04D4FB85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160B52A" w14:textId="02939711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7.93</w:t>
            </w:r>
          </w:p>
        </w:tc>
      </w:tr>
      <w:tr w:rsidR="00684B3A" w:rsidRPr="00221CFB" w14:paraId="3EA61A29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5F9D8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559EA2F7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41DED338" w14:textId="79C1CA92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1C59DDFE" w14:textId="7317231E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7.95</w:t>
            </w:r>
          </w:p>
        </w:tc>
      </w:tr>
      <w:tr w:rsidR="00684B3A" w:rsidRPr="00221CFB" w14:paraId="141ACA6F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66AE1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51EF0C89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5AC0B298" w14:textId="1A853828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D904E5B" w14:textId="59AB1BBA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7.95</w:t>
            </w:r>
          </w:p>
        </w:tc>
      </w:tr>
      <w:tr w:rsidR="00684B3A" w:rsidRPr="00221CFB" w14:paraId="0ACF7D35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29381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21AF40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6E4D1FF6" w14:textId="03C8066A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1FD007FF" w14:textId="145399A5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7.97</w:t>
            </w:r>
          </w:p>
        </w:tc>
      </w:tr>
      <w:tr w:rsidR="00684B3A" w:rsidRPr="00221CFB" w14:paraId="76D3DD0B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6255A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404C59" w14:textId="135B0A6A" w:rsidR="00684B3A" w:rsidRPr="00221CFB" w:rsidRDefault="000A651E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Generic – High</w:t>
            </w:r>
            <w:r w:rsidR="000B18D2">
              <w:rPr>
                <w:rFonts w:cs="Arial"/>
                <w:szCs w:val="20"/>
              </w:rPr>
              <w:t>er</w:t>
            </w:r>
            <w:r w:rsidRPr="00221CFB">
              <w:rPr>
                <w:rFonts w:cs="Arial"/>
                <w:szCs w:val="20"/>
              </w:rPr>
              <w:t xml:space="preserve"> Average pH</w:t>
            </w:r>
          </w:p>
          <w:p w14:paraId="49A39B07" w14:textId="17D3E65B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 xml:space="preserve">(Figure </w:t>
            </w:r>
            <w:r w:rsidR="004C0771" w:rsidRPr="00221CFB">
              <w:rPr>
                <w:rFonts w:cs="Arial"/>
                <w:szCs w:val="20"/>
              </w:rPr>
              <w:t>8</w:t>
            </w:r>
            <w:r w:rsidRPr="00221CFB">
              <w:rPr>
                <w:rFonts w:cs="Arial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47F3144" w14:textId="441424C1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E91B4DA" w14:textId="28EF4D12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8.31</w:t>
            </w:r>
          </w:p>
        </w:tc>
      </w:tr>
      <w:tr w:rsidR="00684B3A" w:rsidRPr="00221CFB" w14:paraId="55FE13E5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17D4E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44910169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9EFFE87" w14:textId="53D2E68A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57042B4D" w14:textId="09EA7056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8.32</w:t>
            </w:r>
          </w:p>
        </w:tc>
      </w:tr>
      <w:tr w:rsidR="00684B3A" w:rsidRPr="00221CFB" w14:paraId="7E2427FF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E650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487851A5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4AE104D4" w14:textId="5CE32196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35830358" w14:textId="7D0E7289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8.32</w:t>
            </w:r>
          </w:p>
        </w:tc>
      </w:tr>
      <w:tr w:rsidR="00684B3A" w:rsidRPr="00221CFB" w14:paraId="78B3D0C8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16FAA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559247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10D9B454" w14:textId="108C4F16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0AE7C66C" w14:textId="0E34E78D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8.36</w:t>
            </w:r>
          </w:p>
        </w:tc>
      </w:tr>
      <w:tr w:rsidR="00684B3A" w:rsidRPr="00221CFB" w14:paraId="5714C6F1" w14:textId="77777777" w:rsidTr="000A651E">
        <w:trPr>
          <w:jc w:val="center"/>
        </w:trPr>
        <w:tc>
          <w:tcPr>
            <w:tcW w:w="162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80689C" w14:textId="7AC2FDDD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Semaglutide (Wegovy®)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C28279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± 0.4 pH range</w:t>
            </w:r>
          </w:p>
          <w:p w14:paraId="0739E18C" w14:textId="20B06ED2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 xml:space="preserve">(Figure </w:t>
            </w:r>
            <w:r w:rsidR="004C0771" w:rsidRPr="00221CFB">
              <w:rPr>
                <w:rFonts w:cs="Arial"/>
                <w:szCs w:val="20"/>
              </w:rPr>
              <w:t>9</w:t>
            </w:r>
            <w:r w:rsidRPr="00221CFB">
              <w:rPr>
                <w:rFonts w:cs="Arial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528E662A" w14:textId="20846559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BF23CD7" w14:textId="6B2088B3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6.95</w:t>
            </w:r>
          </w:p>
        </w:tc>
      </w:tr>
      <w:tr w:rsidR="00684B3A" w:rsidRPr="00221CFB" w14:paraId="77662DE3" w14:textId="77777777" w:rsidTr="000A651E">
        <w:trPr>
          <w:jc w:val="center"/>
        </w:trPr>
        <w:tc>
          <w:tcPr>
            <w:tcW w:w="162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4884E9C4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2E08E576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657B0DE" w14:textId="1230C4B4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0D28F5B1" w14:textId="31F1DDDC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7.18</w:t>
            </w:r>
          </w:p>
        </w:tc>
      </w:tr>
      <w:tr w:rsidR="00684B3A" w:rsidRPr="00221CFB" w14:paraId="010ECE14" w14:textId="77777777" w:rsidTr="000A651E">
        <w:trPr>
          <w:jc w:val="center"/>
        </w:trPr>
        <w:tc>
          <w:tcPr>
            <w:tcW w:w="162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4FB78F54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50025B1D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56E39F6" w14:textId="29980746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vAlign w:val="center"/>
          </w:tcPr>
          <w:p w14:paraId="70B23E59" w14:textId="532D011D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7.36</w:t>
            </w:r>
          </w:p>
        </w:tc>
      </w:tr>
      <w:tr w:rsidR="00684B3A" w:rsidRPr="00221CFB" w14:paraId="4F638CFA" w14:textId="77777777" w:rsidTr="000A651E">
        <w:trPr>
          <w:jc w:val="center"/>
        </w:trPr>
        <w:tc>
          <w:tcPr>
            <w:tcW w:w="162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7A52390B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3F634FE2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5FFC78BA" w14:textId="05E7DB0E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3B0596D" w14:textId="291CA69D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7.58</w:t>
            </w:r>
          </w:p>
        </w:tc>
      </w:tr>
      <w:tr w:rsidR="00684B3A" w:rsidRPr="00221CFB" w14:paraId="0D69533B" w14:textId="77777777" w:rsidTr="000A651E">
        <w:trPr>
          <w:jc w:val="center"/>
        </w:trPr>
        <w:tc>
          <w:tcPr>
            <w:tcW w:w="162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0A7366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F9CBB2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center"/>
          </w:tcPr>
          <w:p w14:paraId="23085BFC" w14:textId="2ACB629B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12BD90D1" w14:textId="6A14C605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7.83</w:t>
            </w:r>
          </w:p>
        </w:tc>
      </w:tr>
      <w:tr w:rsidR="00684B3A" w:rsidRPr="00221CFB" w14:paraId="5D09062E" w14:textId="77777777" w:rsidTr="000A651E">
        <w:trPr>
          <w:jc w:val="center"/>
        </w:trPr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1513" w14:textId="2EDD4121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Teriparatide (Forteo®)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692BCC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± 0.4 pH range</w:t>
            </w:r>
          </w:p>
          <w:p w14:paraId="11A94AD4" w14:textId="53FC7F03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 xml:space="preserve">(Figure </w:t>
            </w:r>
            <w:r w:rsidR="004C0771" w:rsidRPr="00221CFB">
              <w:rPr>
                <w:rFonts w:cs="Arial"/>
                <w:szCs w:val="20"/>
              </w:rPr>
              <w:t>10</w:t>
            </w:r>
            <w:r w:rsidRPr="00221CFB">
              <w:rPr>
                <w:rFonts w:cs="Arial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6A86116" w14:textId="7963F878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4A15A11" w14:textId="27040AF3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3.64</w:t>
            </w:r>
          </w:p>
        </w:tc>
      </w:tr>
      <w:tr w:rsidR="00684B3A" w:rsidRPr="00221CFB" w14:paraId="1AA5557C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FECFA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6202FBE0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7859E0A" w14:textId="0B4013F3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2</w:t>
            </w:r>
          </w:p>
        </w:tc>
        <w:tc>
          <w:tcPr>
            <w:tcW w:w="1800" w:type="dxa"/>
            <w:vAlign w:val="center"/>
          </w:tcPr>
          <w:p w14:paraId="4C0C9B0E" w14:textId="791DF8B0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3.78</w:t>
            </w:r>
          </w:p>
        </w:tc>
      </w:tr>
      <w:tr w:rsidR="00684B3A" w:rsidRPr="00221CFB" w14:paraId="5DDCFBC3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C5700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27426901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9C30236" w14:textId="344A0A99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</w:t>
            </w:r>
          </w:p>
        </w:tc>
        <w:tc>
          <w:tcPr>
            <w:tcW w:w="1800" w:type="dxa"/>
            <w:vAlign w:val="center"/>
          </w:tcPr>
          <w:p w14:paraId="0938A9F6" w14:textId="4EC5DBCC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3.97</w:t>
            </w:r>
          </w:p>
        </w:tc>
      </w:tr>
      <w:tr w:rsidR="00684B3A" w:rsidRPr="00221CFB" w14:paraId="22B8F4FB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74BE1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7136D2F9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F488B4C" w14:textId="178567B3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</w:t>
            </w:r>
          </w:p>
        </w:tc>
        <w:tc>
          <w:tcPr>
            <w:tcW w:w="1800" w:type="dxa"/>
            <w:vAlign w:val="center"/>
          </w:tcPr>
          <w:p w14:paraId="7D14D193" w14:textId="07F4834A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4.21</w:t>
            </w:r>
          </w:p>
        </w:tc>
      </w:tr>
      <w:tr w:rsidR="00684B3A" w:rsidRPr="00221CFB" w14:paraId="242A1AF1" w14:textId="77777777" w:rsidTr="000A651E">
        <w:trPr>
          <w:jc w:val="center"/>
        </w:trPr>
        <w:tc>
          <w:tcPr>
            <w:tcW w:w="16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18B08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</w:tcBorders>
            <w:vAlign w:val="center"/>
          </w:tcPr>
          <w:p w14:paraId="568F9C3A" w14:textId="77777777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E69539B" w14:textId="73E808E1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5</w:t>
            </w:r>
          </w:p>
        </w:tc>
        <w:tc>
          <w:tcPr>
            <w:tcW w:w="1800" w:type="dxa"/>
            <w:vAlign w:val="center"/>
          </w:tcPr>
          <w:p w14:paraId="09B948CA" w14:textId="4FC143AC" w:rsidR="00684B3A" w:rsidRPr="00221CFB" w:rsidRDefault="00684B3A" w:rsidP="00684B3A">
            <w:pPr>
              <w:jc w:val="center"/>
              <w:rPr>
                <w:rFonts w:cs="Arial"/>
                <w:szCs w:val="20"/>
              </w:rPr>
            </w:pPr>
            <w:r w:rsidRPr="00221CFB">
              <w:rPr>
                <w:rFonts w:cs="Arial"/>
                <w:szCs w:val="20"/>
              </w:rPr>
              <w:t>4.37</w:t>
            </w:r>
          </w:p>
        </w:tc>
      </w:tr>
    </w:tbl>
    <w:p w14:paraId="7B4587B8" w14:textId="77777777" w:rsidR="0077220C" w:rsidRDefault="0077220C" w:rsidP="0077220C"/>
    <w:p w14:paraId="68A37F02" w14:textId="77777777" w:rsidR="007A7E5A" w:rsidRDefault="007A7E5A" w:rsidP="0077220C">
      <w:pPr>
        <w:rPr>
          <w:b/>
          <w:bCs/>
        </w:rPr>
      </w:pPr>
    </w:p>
    <w:p w14:paraId="038090E4" w14:textId="77777777" w:rsidR="007A7E5A" w:rsidRDefault="007A7E5A" w:rsidP="0077220C">
      <w:pPr>
        <w:rPr>
          <w:b/>
          <w:bCs/>
        </w:rPr>
      </w:pPr>
    </w:p>
    <w:p w14:paraId="02CF47D7" w14:textId="77777777" w:rsidR="00DD6938" w:rsidRDefault="00DD6938" w:rsidP="00700FA7">
      <w:pPr>
        <w:jc w:val="both"/>
        <w:rPr>
          <w:b/>
          <w:bCs/>
        </w:rPr>
      </w:pPr>
    </w:p>
    <w:p w14:paraId="7FD778B3" w14:textId="72888E8D" w:rsidR="0031512B" w:rsidRPr="00BF6946" w:rsidRDefault="0031512B" w:rsidP="0031512B">
      <w:r>
        <w:rPr>
          <w:b/>
          <w:bCs/>
        </w:rPr>
        <w:lastRenderedPageBreak/>
        <w:t xml:space="preserve">Figure S1. </w:t>
      </w:r>
      <w:r>
        <w:t xml:space="preserve">Average pH and variability for all Cohorts compared: </w:t>
      </w:r>
      <w:r w:rsidR="00221CFB">
        <w:rPr>
          <w:i/>
          <w:iCs/>
        </w:rPr>
        <w:t>RLD – Low</w:t>
      </w:r>
      <w:r w:rsidR="001E578D">
        <w:rPr>
          <w:i/>
          <w:iCs/>
        </w:rPr>
        <w:t>er</w:t>
      </w:r>
      <w:r w:rsidR="00221CFB">
        <w:rPr>
          <w:i/>
          <w:iCs/>
        </w:rPr>
        <w:t xml:space="preserve"> pH Variability</w:t>
      </w:r>
      <w:r>
        <w:t xml:space="preserve">, red; </w:t>
      </w:r>
      <w:r w:rsidR="00221CFB">
        <w:rPr>
          <w:i/>
          <w:iCs/>
        </w:rPr>
        <w:t>Generic – High</w:t>
      </w:r>
      <w:r w:rsidR="001E578D">
        <w:rPr>
          <w:i/>
          <w:iCs/>
        </w:rPr>
        <w:t>er</w:t>
      </w:r>
      <w:r w:rsidR="00221CFB">
        <w:rPr>
          <w:i/>
          <w:iCs/>
        </w:rPr>
        <w:t xml:space="preserve"> pH Variability</w:t>
      </w:r>
      <w:r>
        <w:t xml:space="preserve">, purple; </w:t>
      </w:r>
      <w:r w:rsidR="00221CFB">
        <w:rPr>
          <w:i/>
          <w:iCs/>
        </w:rPr>
        <w:t>Generic – Low</w:t>
      </w:r>
      <w:r w:rsidR="001E578D">
        <w:rPr>
          <w:i/>
          <w:iCs/>
        </w:rPr>
        <w:t>er</w:t>
      </w:r>
      <w:r w:rsidR="00221CFB">
        <w:rPr>
          <w:i/>
          <w:iCs/>
        </w:rPr>
        <w:t xml:space="preserve"> pH Variability</w:t>
      </w:r>
      <w:r w:rsidR="00221CFB">
        <w:t xml:space="preserve">, </w:t>
      </w:r>
      <w:r>
        <w:t xml:space="preserve">blue; </w:t>
      </w:r>
      <w:r w:rsidR="00221CFB">
        <w:rPr>
          <w:i/>
          <w:iCs/>
        </w:rPr>
        <w:t>Generic – Low</w:t>
      </w:r>
      <w:r w:rsidR="001E578D">
        <w:rPr>
          <w:i/>
          <w:iCs/>
        </w:rPr>
        <w:t>er</w:t>
      </w:r>
      <w:r w:rsidR="00221CFB">
        <w:rPr>
          <w:i/>
          <w:iCs/>
        </w:rPr>
        <w:t xml:space="preserve"> Average pH</w:t>
      </w:r>
      <w:r w:rsidR="00221CFB">
        <w:t xml:space="preserve">, </w:t>
      </w:r>
      <w:r>
        <w:t xml:space="preserve">teal; </w:t>
      </w:r>
      <w:r w:rsidR="00221CFB">
        <w:rPr>
          <w:i/>
          <w:iCs/>
        </w:rPr>
        <w:t>Generic – High</w:t>
      </w:r>
      <w:r w:rsidR="001E578D">
        <w:rPr>
          <w:i/>
          <w:iCs/>
        </w:rPr>
        <w:t>er</w:t>
      </w:r>
      <w:r w:rsidR="00221CFB">
        <w:rPr>
          <w:i/>
          <w:iCs/>
        </w:rPr>
        <w:t xml:space="preserve"> Average pH</w:t>
      </w:r>
      <w:r>
        <w:t>, light blue</w:t>
      </w:r>
    </w:p>
    <w:p w14:paraId="5BFE929A" w14:textId="37DAEBAE" w:rsidR="00DD6938" w:rsidRDefault="001E578D" w:rsidP="00221CFB">
      <w:pPr>
        <w:jc w:val="center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64903426" wp14:editId="7BD1AAD5">
            <wp:extent cx="4607781" cy="2844911"/>
            <wp:effectExtent l="0" t="0" r="2540" b="0"/>
            <wp:docPr id="1665674227" name="Picture 1" descr="A graph with different colored poi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74227" name="Picture 1" descr="A graph with different colored point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221" cy="286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B57C6" w14:textId="77777777" w:rsidR="00DD6938" w:rsidRDefault="00DD6938" w:rsidP="00700FA7">
      <w:pPr>
        <w:jc w:val="both"/>
        <w:rPr>
          <w:b/>
          <w:bCs/>
        </w:rPr>
      </w:pPr>
    </w:p>
    <w:p w14:paraId="53D4DBA4" w14:textId="52927B6D" w:rsidR="0077220C" w:rsidRDefault="0077220C" w:rsidP="00700FA7">
      <w:pPr>
        <w:jc w:val="both"/>
      </w:pPr>
      <w:r w:rsidRPr="0077220C">
        <w:rPr>
          <w:b/>
          <w:bCs/>
        </w:rPr>
        <w:t>Figure S</w:t>
      </w:r>
      <w:r w:rsidR="00570DF3">
        <w:rPr>
          <w:b/>
          <w:bCs/>
        </w:rPr>
        <w:t>2</w:t>
      </w:r>
      <w:r>
        <w:rPr>
          <w:b/>
          <w:bCs/>
        </w:rPr>
        <w:t>.</w:t>
      </w:r>
      <w:r>
        <w:t xml:space="preserve"> 1D 1H NMR spectrum </w:t>
      </w:r>
      <w:r w:rsidR="00B17FC5">
        <w:t xml:space="preserve">of liraglutide at pH 8.13 </w:t>
      </w:r>
      <w:r>
        <w:t xml:space="preserve">including </w:t>
      </w:r>
      <w:r w:rsidR="00A83A95">
        <w:t xml:space="preserve">uniform </w:t>
      </w:r>
      <w:r>
        <w:t xml:space="preserve">binning and excluded excipient </w:t>
      </w:r>
      <w:r w:rsidRPr="00700FA7">
        <w:t xml:space="preserve">regions. </w:t>
      </w:r>
      <w:r w:rsidR="00894D55" w:rsidRPr="00700FA7">
        <w:t xml:space="preserve">Bins are shown as </w:t>
      </w:r>
      <w:r w:rsidR="00700FA7" w:rsidRPr="00700FA7">
        <w:t>thin grey regions and excluded excipient regions are noted by white spectral regions with yellow</w:t>
      </w:r>
      <w:r w:rsidR="00700FA7">
        <w:t xml:space="preserve"> boxes along the chemical shift axis. </w:t>
      </w:r>
    </w:p>
    <w:p w14:paraId="567477ED" w14:textId="36218431" w:rsidR="00273747" w:rsidRDefault="00894D55" w:rsidP="00273747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ED90FD6" wp14:editId="41E8ECCF">
            <wp:extent cx="5988381" cy="4231532"/>
            <wp:effectExtent l="0" t="0" r="0" b="0"/>
            <wp:docPr id="1377217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17886" name="Picture 137721788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0066" cy="430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05A0A" w14:textId="0C79F2B6" w:rsidR="0077220C" w:rsidRPr="009904EA" w:rsidRDefault="00CB385C" w:rsidP="007C1DAF">
      <w:pPr>
        <w:jc w:val="both"/>
        <w:rPr>
          <w:b/>
          <w:bCs/>
        </w:rPr>
      </w:pPr>
      <w:r>
        <w:rPr>
          <w:b/>
          <w:bCs/>
        </w:rPr>
        <w:br w:type="page"/>
      </w:r>
      <w:r w:rsidR="0077220C">
        <w:rPr>
          <w:b/>
          <w:bCs/>
        </w:rPr>
        <w:lastRenderedPageBreak/>
        <w:t>Figure S</w:t>
      </w:r>
      <w:r w:rsidR="00570DF3">
        <w:rPr>
          <w:b/>
          <w:bCs/>
        </w:rPr>
        <w:t>3</w:t>
      </w:r>
      <w:r w:rsidR="0077220C">
        <w:rPr>
          <w:b/>
          <w:bCs/>
        </w:rPr>
        <w:t xml:space="preserve">. </w:t>
      </w:r>
      <w:r w:rsidR="00582A2D">
        <w:rPr>
          <w:b/>
          <w:bCs/>
        </w:rPr>
        <w:t xml:space="preserve">(A) </w:t>
      </w:r>
      <w:r w:rsidR="0077220C">
        <w:t xml:space="preserve">PC1-PC2, </w:t>
      </w:r>
      <w:r w:rsidR="00582A2D" w:rsidRPr="00582A2D">
        <w:rPr>
          <w:b/>
          <w:bCs/>
        </w:rPr>
        <w:t>(B)</w:t>
      </w:r>
      <w:r w:rsidR="00582A2D">
        <w:t xml:space="preserve"> </w:t>
      </w:r>
      <w:r w:rsidR="0077220C">
        <w:t xml:space="preserve">PC1-PC3 and </w:t>
      </w:r>
      <w:r w:rsidR="00582A2D">
        <w:rPr>
          <w:b/>
          <w:bCs/>
        </w:rPr>
        <w:t xml:space="preserve">(C) </w:t>
      </w:r>
      <w:r w:rsidR="0077220C">
        <w:t xml:space="preserve">PC2-PC3 Scores Plots for the comparison of </w:t>
      </w:r>
      <w:r w:rsidR="007C1DAF">
        <w:t xml:space="preserve">the cohorts </w:t>
      </w:r>
      <w:r w:rsidR="00BB71F2" w:rsidRPr="00BB71F2">
        <w:rPr>
          <w:i/>
          <w:iCs/>
        </w:rPr>
        <w:t>RLD – Low Variability</w:t>
      </w:r>
      <w:r w:rsidR="0077220C">
        <w:t xml:space="preserve"> and </w:t>
      </w:r>
      <w:r w:rsidR="00BB71F2">
        <w:rPr>
          <w:i/>
          <w:iCs/>
        </w:rPr>
        <w:t>Generic</w:t>
      </w:r>
      <w:r w:rsidR="00BB71F2" w:rsidRPr="00BB71F2">
        <w:rPr>
          <w:i/>
          <w:iCs/>
        </w:rPr>
        <w:t xml:space="preserve"> – </w:t>
      </w:r>
      <w:r w:rsidR="00BB71F2">
        <w:rPr>
          <w:i/>
          <w:iCs/>
        </w:rPr>
        <w:t>High</w:t>
      </w:r>
      <w:r w:rsidR="00BB71F2" w:rsidRPr="00BB71F2">
        <w:rPr>
          <w:i/>
          <w:iCs/>
        </w:rPr>
        <w:t xml:space="preserve"> Variability</w:t>
      </w:r>
      <w:r w:rsidR="0077220C">
        <w:t>. PC</w:t>
      </w:r>
      <w:r w:rsidR="00582A2D">
        <w:t>s</w:t>
      </w:r>
      <w:r w:rsidR="0077220C">
        <w:t xml:space="preserve"> 1-3 represent a total of </w:t>
      </w:r>
      <w:r w:rsidR="004C774B">
        <w:t>90.8</w:t>
      </w:r>
      <w:r w:rsidR="0077220C">
        <w:t>% of the spectral variability with a D</w:t>
      </w:r>
      <w:r w:rsidR="0077220C">
        <w:rPr>
          <w:vertAlign w:val="subscript"/>
        </w:rPr>
        <w:t>M</w:t>
      </w:r>
      <w:r w:rsidR="0077220C">
        <w:t xml:space="preserve"> of 4.28 for the first 3 PCs. </w:t>
      </w:r>
    </w:p>
    <w:p w14:paraId="08A3D8AB" w14:textId="6D65B702" w:rsidR="0077220C" w:rsidRDefault="00582A2D" w:rsidP="00CB385C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722ABF3C" wp14:editId="781E54BE">
            <wp:extent cx="5625718" cy="3416300"/>
            <wp:effectExtent l="0" t="0" r="635" b="0"/>
            <wp:docPr id="1073444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44162" name="Picture 10734441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553" cy="345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E7E42" w14:textId="77777777" w:rsidR="0077220C" w:rsidRDefault="0077220C" w:rsidP="0077220C"/>
    <w:p w14:paraId="5C02BD96" w14:textId="77777777" w:rsidR="0077220C" w:rsidRDefault="0077220C" w:rsidP="0077220C"/>
    <w:p w14:paraId="1985B290" w14:textId="496CAB5D" w:rsidR="0077220C" w:rsidRPr="0077220C" w:rsidRDefault="0077220C" w:rsidP="007C1DAF">
      <w:pPr>
        <w:jc w:val="both"/>
      </w:pPr>
      <w:r>
        <w:rPr>
          <w:b/>
          <w:bCs/>
        </w:rPr>
        <w:t>Figure S</w:t>
      </w:r>
      <w:r w:rsidR="00570DF3">
        <w:rPr>
          <w:b/>
          <w:bCs/>
        </w:rPr>
        <w:t>4</w:t>
      </w:r>
      <w:r>
        <w:rPr>
          <w:b/>
          <w:bCs/>
        </w:rPr>
        <w:t xml:space="preserve">. </w:t>
      </w:r>
      <w:r w:rsidR="00582A2D">
        <w:rPr>
          <w:b/>
          <w:bCs/>
        </w:rPr>
        <w:t xml:space="preserve">(A) </w:t>
      </w:r>
      <w:r w:rsidR="00582A2D">
        <w:t xml:space="preserve">PC1-PC2, </w:t>
      </w:r>
      <w:r w:rsidR="00582A2D" w:rsidRPr="00582A2D">
        <w:rPr>
          <w:b/>
          <w:bCs/>
        </w:rPr>
        <w:t>(B)</w:t>
      </w:r>
      <w:r w:rsidR="00582A2D">
        <w:t xml:space="preserve"> PC1-PC3 and </w:t>
      </w:r>
      <w:r w:rsidR="00582A2D">
        <w:rPr>
          <w:b/>
          <w:bCs/>
        </w:rPr>
        <w:t xml:space="preserve">(C) </w:t>
      </w:r>
      <w:r w:rsidR="00582A2D">
        <w:t xml:space="preserve">PC2-PC3 </w:t>
      </w:r>
      <w:r>
        <w:t xml:space="preserve">Scores Plots for the comparison of </w:t>
      </w:r>
      <w:r w:rsidR="007C1DAF" w:rsidRPr="00BB71F2">
        <w:rPr>
          <w:i/>
          <w:iCs/>
        </w:rPr>
        <w:t>RLD – Low Variability</w:t>
      </w:r>
      <w:r>
        <w:t xml:space="preserve"> and </w:t>
      </w:r>
      <w:r w:rsidR="007C1DAF">
        <w:rPr>
          <w:i/>
          <w:iCs/>
        </w:rPr>
        <w:t>Generic</w:t>
      </w:r>
      <w:r w:rsidR="007C1DAF" w:rsidRPr="00BB71F2">
        <w:rPr>
          <w:i/>
          <w:iCs/>
        </w:rPr>
        <w:t xml:space="preserve"> – </w:t>
      </w:r>
      <w:r w:rsidR="007C1DAF">
        <w:rPr>
          <w:i/>
          <w:iCs/>
        </w:rPr>
        <w:t>Low</w:t>
      </w:r>
      <w:r w:rsidR="007C1DAF" w:rsidRPr="00BB71F2">
        <w:rPr>
          <w:i/>
          <w:iCs/>
        </w:rPr>
        <w:t xml:space="preserve"> Variability</w:t>
      </w:r>
      <w:r>
        <w:t xml:space="preserve">. PC 1-3 represent a total of </w:t>
      </w:r>
      <w:r w:rsidR="00A97AE3">
        <w:t>84.2</w:t>
      </w:r>
      <w:r>
        <w:t>% of the spectral variability with a D</w:t>
      </w:r>
      <w:r>
        <w:rPr>
          <w:vertAlign w:val="subscript"/>
        </w:rPr>
        <w:t>M</w:t>
      </w:r>
      <w:r>
        <w:t xml:space="preserve"> of </w:t>
      </w:r>
      <w:r w:rsidR="00AF37C8">
        <w:t>1.02</w:t>
      </w:r>
      <w:r>
        <w:t xml:space="preserve"> for the first 3 PCs. </w:t>
      </w:r>
    </w:p>
    <w:p w14:paraId="7FB9E4A6" w14:textId="7C76837E" w:rsidR="0077220C" w:rsidRDefault="00AF37C8" w:rsidP="00AF37C8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699F76CD" wp14:editId="33E8907D">
            <wp:extent cx="5623560" cy="3414991"/>
            <wp:effectExtent l="0" t="0" r="2540" b="1905"/>
            <wp:docPr id="19659164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16406" name="Picture 196591640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41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D5FA9" w14:textId="77777777" w:rsidR="0077220C" w:rsidRDefault="0077220C" w:rsidP="0077220C"/>
    <w:p w14:paraId="19657D7D" w14:textId="77777777" w:rsidR="00AF37C8" w:rsidRDefault="00AF37C8" w:rsidP="0077220C"/>
    <w:p w14:paraId="10B7A977" w14:textId="649764AA" w:rsidR="0077220C" w:rsidRPr="0077220C" w:rsidRDefault="0077220C" w:rsidP="007C1DAF">
      <w:pPr>
        <w:jc w:val="both"/>
      </w:pPr>
      <w:r>
        <w:rPr>
          <w:b/>
          <w:bCs/>
        </w:rPr>
        <w:t>Figure S</w:t>
      </w:r>
      <w:r w:rsidR="00570DF3">
        <w:rPr>
          <w:b/>
          <w:bCs/>
        </w:rPr>
        <w:t>5</w:t>
      </w:r>
      <w:r>
        <w:rPr>
          <w:b/>
          <w:bCs/>
        </w:rPr>
        <w:t xml:space="preserve">. </w:t>
      </w:r>
      <w:r w:rsidR="00582A2D">
        <w:t xml:space="preserve">PC1-PC2 </w:t>
      </w:r>
      <w:r>
        <w:t xml:space="preserve">Scores Plot for the comparison of </w:t>
      </w:r>
      <w:r w:rsidR="007C1DAF">
        <w:t xml:space="preserve">the cohorts </w:t>
      </w:r>
      <w:r w:rsidR="007C1DAF" w:rsidRPr="00BB71F2">
        <w:rPr>
          <w:i/>
          <w:iCs/>
        </w:rPr>
        <w:t>RLD – Low Variability</w:t>
      </w:r>
      <w:r>
        <w:t xml:space="preserve"> and </w:t>
      </w:r>
      <w:r w:rsidR="007C1DAF">
        <w:rPr>
          <w:i/>
          <w:iCs/>
        </w:rPr>
        <w:t>Generic</w:t>
      </w:r>
      <w:r w:rsidR="007C1DAF" w:rsidRPr="00BB71F2">
        <w:rPr>
          <w:i/>
          <w:iCs/>
        </w:rPr>
        <w:t xml:space="preserve"> – </w:t>
      </w:r>
      <w:r w:rsidR="007C1DAF">
        <w:rPr>
          <w:i/>
          <w:iCs/>
        </w:rPr>
        <w:t>Low Average pH</w:t>
      </w:r>
      <w:r>
        <w:t xml:space="preserve">. PC 1-3 represent a total of </w:t>
      </w:r>
      <w:r w:rsidR="00A97AE3">
        <w:t>92.7</w:t>
      </w:r>
      <w:r>
        <w:t>% of the spectral variability with a D</w:t>
      </w:r>
      <w:r>
        <w:rPr>
          <w:vertAlign w:val="subscript"/>
        </w:rPr>
        <w:t>M</w:t>
      </w:r>
      <w:r>
        <w:t xml:space="preserve"> of </w:t>
      </w:r>
      <w:r w:rsidR="0015225E">
        <w:t>11.04</w:t>
      </w:r>
      <w:r>
        <w:t xml:space="preserve"> for the first 3 PCs. </w:t>
      </w:r>
    </w:p>
    <w:p w14:paraId="1C415070" w14:textId="56E69BCE" w:rsidR="0077220C" w:rsidRDefault="007A7E5A" w:rsidP="0077220C">
      <w:r>
        <w:rPr>
          <w:noProof/>
          <w14:ligatures w14:val="standardContextual"/>
        </w:rPr>
        <w:drawing>
          <wp:inline distT="0" distB="0" distL="0" distR="0" wp14:anchorId="67F40BA5" wp14:editId="28AF7298">
            <wp:extent cx="5623560" cy="3449637"/>
            <wp:effectExtent l="0" t="0" r="2540" b="5080"/>
            <wp:docPr id="18599714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971427" name="Picture 18599714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44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88E0A" w14:textId="77777777" w:rsidR="007A7E5A" w:rsidRDefault="007A7E5A" w:rsidP="00CE5D24">
      <w:pPr>
        <w:rPr>
          <w:b/>
          <w:bCs/>
        </w:rPr>
      </w:pPr>
    </w:p>
    <w:p w14:paraId="08FD13D6" w14:textId="067D6E74" w:rsidR="00CE5D24" w:rsidRPr="0077220C" w:rsidRDefault="00CE5D24" w:rsidP="00770CA0">
      <w:pPr>
        <w:jc w:val="both"/>
      </w:pPr>
      <w:r>
        <w:rPr>
          <w:b/>
          <w:bCs/>
        </w:rPr>
        <w:t>Figure S</w:t>
      </w:r>
      <w:r w:rsidR="00570DF3">
        <w:rPr>
          <w:b/>
          <w:bCs/>
        </w:rPr>
        <w:t>6</w:t>
      </w:r>
      <w:r>
        <w:rPr>
          <w:b/>
          <w:bCs/>
        </w:rPr>
        <w:t>.</w:t>
      </w:r>
      <w:r w:rsidR="00582A2D">
        <w:rPr>
          <w:b/>
          <w:bCs/>
        </w:rPr>
        <w:t xml:space="preserve"> </w:t>
      </w:r>
      <w:r w:rsidR="00582A2D">
        <w:t xml:space="preserve">PC1-PC2 </w:t>
      </w:r>
      <w:r>
        <w:t xml:space="preserve">Scores Plots for the comparison of </w:t>
      </w:r>
      <w:r w:rsidR="007C1DAF">
        <w:t xml:space="preserve">the cohorts </w:t>
      </w:r>
      <w:r w:rsidR="007C1DAF" w:rsidRPr="00BB71F2">
        <w:rPr>
          <w:i/>
          <w:iCs/>
        </w:rPr>
        <w:t>RLD – Low Variability</w:t>
      </w:r>
      <w:r>
        <w:t xml:space="preserve"> and </w:t>
      </w:r>
      <w:r w:rsidR="007C1DAF">
        <w:rPr>
          <w:i/>
          <w:iCs/>
        </w:rPr>
        <w:t>Generic</w:t>
      </w:r>
      <w:r w:rsidR="007C1DAF" w:rsidRPr="00BB71F2">
        <w:rPr>
          <w:i/>
          <w:iCs/>
        </w:rPr>
        <w:t xml:space="preserve"> – </w:t>
      </w:r>
      <w:r w:rsidR="007C1DAF">
        <w:rPr>
          <w:i/>
          <w:iCs/>
        </w:rPr>
        <w:t>High Average pH</w:t>
      </w:r>
      <w:r>
        <w:t xml:space="preserve">. PC 1-3 represent a total of </w:t>
      </w:r>
      <w:r w:rsidR="00156CEA">
        <w:t>94.5</w:t>
      </w:r>
      <w:r>
        <w:t>% of the spectral variability with a D</w:t>
      </w:r>
      <w:r>
        <w:rPr>
          <w:vertAlign w:val="subscript"/>
        </w:rPr>
        <w:t>M</w:t>
      </w:r>
      <w:r>
        <w:t xml:space="preserve"> of </w:t>
      </w:r>
      <w:r w:rsidR="0015225E">
        <w:t>5.31</w:t>
      </w:r>
      <w:r>
        <w:t xml:space="preserve"> for the first 3 PCs. </w:t>
      </w:r>
    </w:p>
    <w:p w14:paraId="0B925CC1" w14:textId="01169C4C" w:rsidR="00CE5D24" w:rsidRPr="0077220C" w:rsidRDefault="0015225E" w:rsidP="0077220C">
      <w:r>
        <w:rPr>
          <w:noProof/>
          <w14:ligatures w14:val="standardContextual"/>
        </w:rPr>
        <w:drawing>
          <wp:inline distT="0" distB="0" distL="0" distR="0" wp14:anchorId="5B76BBE4" wp14:editId="620AD549">
            <wp:extent cx="5623560" cy="3449650"/>
            <wp:effectExtent l="0" t="0" r="2540" b="5080"/>
            <wp:docPr id="1878644894" name="Picture 4" descr="A graph of a graph with red and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644894" name="Picture 4" descr="A graph of a graph with red and blue dot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4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5D24" w:rsidRPr="0077220C" w:rsidSect="00821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0C"/>
    <w:rsid w:val="00006041"/>
    <w:rsid w:val="000A525D"/>
    <w:rsid w:val="000A651E"/>
    <w:rsid w:val="000B18D2"/>
    <w:rsid w:val="000C7601"/>
    <w:rsid w:val="000D1FF6"/>
    <w:rsid w:val="0015225E"/>
    <w:rsid w:val="00156CEA"/>
    <w:rsid w:val="001E578D"/>
    <w:rsid w:val="00221CFB"/>
    <w:rsid w:val="00273747"/>
    <w:rsid w:val="0031512B"/>
    <w:rsid w:val="00346813"/>
    <w:rsid w:val="00347DAD"/>
    <w:rsid w:val="003F3D91"/>
    <w:rsid w:val="004C0771"/>
    <w:rsid w:val="004C14A7"/>
    <w:rsid w:val="004C774B"/>
    <w:rsid w:val="005234BA"/>
    <w:rsid w:val="00564CF5"/>
    <w:rsid w:val="00565AC2"/>
    <w:rsid w:val="00570DF3"/>
    <w:rsid w:val="00582A2D"/>
    <w:rsid w:val="006556A4"/>
    <w:rsid w:val="00670638"/>
    <w:rsid w:val="00684B3A"/>
    <w:rsid w:val="006A33D9"/>
    <w:rsid w:val="00700FA7"/>
    <w:rsid w:val="00742022"/>
    <w:rsid w:val="00770CA0"/>
    <w:rsid w:val="0077220C"/>
    <w:rsid w:val="00774EF8"/>
    <w:rsid w:val="007A6012"/>
    <w:rsid w:val="007A7E5A"/>
    <w:rsid w:val="007B264F"/>
    <w:rsid w:val="007B3909"/>
    <w:rsid w:val="007C1DAF"/>
    <w:rsid w:val="007C558C"/>
    <w:rsid w:val="0080284D"/>
    <w:rsid w:val="00821395"/>
    <w:rsid w:val="00860DCF"/>
    <w:rsid w:val="00863813"/>
    <w:rsid w:val="008751B1"/>
    <w:rsid w:val="00894D55"/>
    <w:rsid w:val="009904EA"/>
    <w:rsid w:val="00A24AC6"/>
    <w:rsid w:val="00A83A95"/>
    <w:rsid w:val="00A940B3"/>
    <w:rsid w:val="00A97AE3"/>
    <w:rsid w:val="00AB2C24"/>
    <w:rsid w:val="00AE75EB"/>
    <w:rsid w:val="00AF0D7B"/>
    <w:rsid w:val="00AF37C8"/>
    <w:rsid w:val="00B17FC5"/>
    <w:rsid w:val="00B8230A"/>
    <w:rsid w:val="00B95DAA"/>
    <w:rsid w:val="00BB71F2"/>
    <w:rsid w:val="00C01D5D"/>
    <w:rsid w:val="00C753D6"/>
    <w:rsid w:val="00CB385C"/>
    <w:rsid w:val="00CE5D24"/>
    <w:rsid w:val="00CE75D5"/>
    <w:rsid w:val="00DA43E9"/>
    <w:rsid w:val="00DD6938"/>
    <w:rsid w:val="00E338B9"/>
    <w:rsid w:val="00E86A58"/>
    <w:rsid w:val="00F3664B"/>
    <w:rsid w:val="00F82BCD"/>
    <w:rsid w:val="00FD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9AF461"/>
  <w15:chartTrackingRefBased/>
  <w15:docId w15:val="{8884C917-F1BC-774E-88E0-61DADA21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20C"/>
    <w:rPr>
      <w:rFonts w:eastAsiaTheme="minorEastAsia" w:cstheme="minorBidi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2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2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20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20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20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20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20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20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20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2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2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2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2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2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20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22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20C"/>
    <w:pPr>
      <w:spacing w:before="160" w:after="160"/>
      <w:jc w:val="center"/>
    </w:pPr>
    <w:rPr>
      <w:rFonts w:eastAsiaTheme="minorHAnsi" w:cs="Arial"/>
      <w:i/>
      <w:iCs/>
      <w:color w:val="404040" w:themeColor="text1" w:themeTint="BF"/>
      <w:kern w:val="2"/>
      <w:sz w:val="24"/>
      <w:szCs w:val="2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2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20C"/>
    <w:pPr>
      <w:ind w:left="720"/>
      <w:contextualSpacing/>
    </w:pPr>
    <w:rPr>
      <w:rFonts w:eastAsiaTheme="minorHAnsi" w:cs="Arial"/>
      <w:kern w:val="2"/>
      <w:sz w:val="24"/>
      <w:szCs w:val="2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2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Arial"/>
      <w:i/>
      <w:iCs/>
      <w:color w:val="0F4761" w:themeColor="accent1" w:themeShade="BF"/>
      <w:kern w:val="2"/>
      <w:sz w:val="24"/>
      <w:szCs w:val="2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20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77220C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7220C"/>
    <w:rPr>
      <w:rFonts w:asciiTheme="minorHAnsi" w:hAnsiTheme="minorHAnsi" w:cstheme="minorBid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3F3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512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12" Type="http://schemas.openxmlformats.org/officeDocument/2006/relationships/image" Target="media/image6.pd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df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1faf7d-63a6-4374-a40c-09f09371b884">
      <Terms xmlns="http://schemas.microsoft.com/office/infopath/2007/PartnerControls"/>
    </lcf76f155ced4ddcb4097134ff3c332f>
    <TaxCatchAll xmlns="4745f8ca-6075-497d-99bd-8a7021acd22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0C5496966DE147A117CA681A8A748D" ma:contentTypeVersion="21" ma:contentTypeDescription="Create a new document." ma:contentTypeScope="" ma:versionID="1f3f7aea4f76fe8aa6685bae3c5cacb1">
  <xsd:schema xmlns:xsd="http://www.w3.org/2001/XMLSchema" xmlns:xs="http://www.w3.org/2001/XMLSchema" xmlns:p="http://schemas.microsoft.com/office/2006/metadata/properties" xmlns:ns2="291faf7d-63a6-4374-a40c-09f09371b884" xmlns:ns3="4745f8ca-6075-497d-99bd-8a7021acd22b" targetNamespace="http://schemas.microsoft.com/office/2006/metadata/properties" ma:root="true" ma:fieldsID="c232b23063bdd896426a8deefff914fd" ns2:_="" ns3:_="">
    <xsd:import namespace="291faf7d-63a6-4374-a40c-09f09371b884"/>
    <xsd:import namespace="4745f8ca-6075-497d-99bd-8a7021acd2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faf7d-63a6-4374-a40c-09f09371b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06301f9-20f5-4a80-9bfa-cc4253558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5f8ca-6075-497d-99bd-8a7021acd2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4e47158-e0e3-43b1-b88f-0bb1c7e21826}" ma:internalName="TaxCatchAll" ma:showField="CatchAllData" ma:web="4745f8ca-6075-497d-99bd-8a7021acd2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82859F-1234-4363-A61E-A351089A1B47}">
  <ds:schemaRefs>
    <ds:schemaRef ds:uri="http://schemas.microsoft.com/office/2006/metadata/properties"/>
    <ds:schemaRef ds:uri="http://schemas.microsoft.com/office/infopath/2007/PartnerControls"/>
    <ds:schemaRef ds:uri="291faf7d-63a6-4374-a40c-09f09371b884"/>
    <ds:schemaRef ds:uri="4745f8ca-6075-497d-99bd-8a7021acd22b"/>
  </ds:schemaRefs>
</ds:datastoreItem>
</file>

<file path=customXml/itemProps2.xml><?xml version="1.0" encoding="utf-8"?>
<ds:datastoreItem xmlns:ds="http://schemas.openxmlformats.org/officeDocument/2006/customXml" ds:itemID="{EEED89C0-BF97-4CFD-AB39-6812A763F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faf7d-63a6-4374-a40c-09f09371b884"/>
    <ds:schemaRef ds:uri="4745f8ca-6075-497d-99bd-8a7021acd2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075D4C-A774-4B9B-BB2D-09B3A2E72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Novatia, LLC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Rogers</dc:creator>
  <cp:keywords/>
  <dc:description/>
  <cp:lastModifiedBy>Jessica Rogers</cp:lastModifiedBy>
  <cp:revision>2</cp:revision>
  <dcterms:created xsi:type="dcterms:W3CDTF">2024-10-28T20:40:00Z</dcterms:created>
  <dcterms:modified xsi:type="dcterms:W3CDTF">2024-10-28T20:40:00Z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0x010100E20C5496966DE147A117CA681A8A748D</vt:lpwstr>
  </property>
  <property fmtid="{D5CDD505-2E9C-101B-9397-08002B2CF9AE}" pid="3" name="MediaServiceImageTags">
    <vt:lpwstr/>
  </property>
</Properties>
</file>