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74DC2" w14:textId="77777777" w:rsidR="00692C35" w:rsidRPr="00EC4FEF" w:rsidRDefault="00692C35" w:rsidP="00692C35">
      <w:pPr>
        <w:spacing w:after="0"/>
        <w:jc w:val="both"/>
        <w:rPr>
          <w:b/>
          <w:bCs/>
          <w:sz w:val="28"/>
          <w:szCs w:val="28"/>
        </w:rPr>
      </w:pPr>
      <w:bookmarkStart w:id="0" w:name="_Hlk187938426"/>
      <w:r w:rsidRPr="00EC4FEF">
        <w:rPr>
          <w:b/>
          <w:bCs/>
          <w:sz w:val="28"/>
          <w:szCs w:val="28"/>
        </w:rPr>
        <w:t>The drug titration paradox in the presence of intra-individual variation: can we estimate the true concentration-effect relationship?</w:t>
      </w:r>
    </w:p>
    <w:bookmarkEnd w:id="0"/>
    <w:p w14:paraId="417EE7A3" w14:textId="77777777" w:rsidR="00692C35" w:rsidRDefault="00692C35" w:rsidP="00692C35">
      <w:pPr>
        <w:spacing w:after="0"/>
        <w:jc w:val="both"/>
      </w:pPr>
    </w:p>
    <w:p w14:paraId="3C894217" w14:textId="77777777" w:rsidR="00692C35" w:rsidRPr="00AF201B" w:rsidRDefault="00692C35" w:rsidP="00692C35">
      <w:pPr>
        <w:spacing w:after="0"/>
      </w:pPr>
      <w:r>
        <w:rPr>
          <w:b/>
          <w:bCs/>
        </w:rPr>
        <w:t>Author:</w:t>
      </w:r>
      <w:r>
        <w:t xml:space="preserve"> Sebastiaan C. Goulooze (1,3), Elke H.J. Krekels (2,3), Catherijne A.J. Knibbe (3,4),</w:t>
      </w:r>
      <w:r w:rsidRPr="001C5A05">
        <w:t xml:space="preserve"> </w:t>
      </w:r>
      <w:r>
        <w:t>Martijn van Noort (1)</w:t>
      </w:r>
      <w:r>
        <w:br/>
      </w:r>
      <w:r>
        <w:rPr>
          <w:b/>
          <w:bCs/>
        </w:rPr>
        <w:t>Institution:</w:t>
      </w:r>
      <w:r>
        <w:t xml:space="preserve"> (1) LAP&amp;P Consultants BV, Leiden, The Netherlands (2) Certara</w:t>
      </w:r>
      <w:r w:rsidRPr="00AF201B">
        <w:t xml:space="preserve"> Inc, Princeton, NJ, USA</w:t>
      </w:r>
    </w:p>
    <w:p w14:paraId="78B93914" w14:textId="77777777" w:rsidR="00692C35" w:rsidRDefault="00692C35" w:rsidP="00692C35">
      <w:pPr>
        <w:spacing w:after="0"/>
        <w:jc w:val="both"/>
      </w:pPr>
      <w:r>
        <w:t xml:space="preserve"> (3) </w:t>
      </w:r>
      <w:r w:rsidRPr="00AB6B85">
        <w:t>Division of Systems Pharmacology and Pharmacy</w:t>
      </w:r>
      <w:r>
        <w:t xml:space="preserve">, </w:t>
      </w:r>
      <w:r w:rsidRPr="00AB6B85">
        <w:t>Leiden Academic Centre for Drug Research, Leiden University, Leiden, the Netherlands</w:t>
      </w:r>
      <w:r>
        <w:t xml:space="preserve"> (4) Department of Clinical Pharmacy, St. Antonius Hospital, Nieuwegein, The Netherlands</w:t>
      </w:r>
      <w:r w:rsidRPr="00AB6B85">
        <w:t>.</w:t>
      </w:r>
    </w:p>
    <w:p w14:paraId="74CFB477" w14:textId="77777777" w:rsidR="00692C35" w:rsidRDefault="00692C35" w:rsidP="00692C35">
      <w:pPr>
        <w:spacing w:after="0"/>
        <w:jc w:val="both"/>
      </w:pPr>
    </w:p>
    <w:p w14:paraId="0C15A6C3" w14:textId="77777777" w:rsidR="00692C35" w:rsidRPr="006C3618" w:rsidRDefault="00692C35" w:rsidP="00692C35">
      <w:pPr>
        <w:spacing w:after="0"/>
        <w:jc w:val="both"/>
        <w:rPr>
          <w:b/>
          <w:bCs/>
        </w:rPr>
      </w:pPr>
      <w:r w:rsidRPr="006C3618">
        <w:rPr>
          <w:b/>
          <w:bCs/>
        </w:rPr>
        <w:t>Corresponding Author</w:t>
      </w:r>
    </w:p>
    <w:p w14:paraId="35AB4FAC" w14:textId="77777777" w:rsidR="00692C35" w:rsidRDefault="00692C35" w:rsidP="00692C35">
      <w:pPr>
        <w:spacing w:after="0"/>
        <w:jc w:val="both"/>
      </w:pPr>
      <w:r>
        <w:t>Sebastiaan C. Goulooze</w:t>
      </w:r>
    </w:p>
    <w:p w14:paraId="081C423E" w14:textId="77777777" w:rsidR="00692C35" w:rsidRDefault="00692C35" w:rsidP="00692C35">
      <w:pPr>
        <w:spacing w:after="0"/>
        <w:jc w:val="both"/>
      </w:pPr>
      <w:r>
        <w:t xml:space="preserve">Email: </w:t>
      </w:r>
      <w:hyperlink r:id="rId5" w:history="1">
        <w:r w:rsidRPr="009B415F">
          <w:rPr>
            <w:rStyle w:val="Hyperlink"/>
          </w:rPr>
          <w:t>b.goulooze@lapp.nl</w:t>
        </w:r>
      </w:hyperlink>
      <w:r>
        <w:t xml:space="preserve">, </w:t>
      </w:r>
      <w:hyperlink r:id="rId6" w:history="1">
        <w:r w:rsidRPr="009B415F">
          <w:rPr>
            <w:rStyle w:val="Hyperlink"/>
          </w:rPr>
          <w:t>s.c.goulooze@lacdr.leidenuniv.nl</w:t>
        </w:r>
      </w:hyperlink>
    </w:p>
    <w:p w14:paraId="3F260650" w14:textId="77777777" w:rsidR="00692C35" w:rsidRDefault="00692C35" w:rsidP="00692C35">
      <w:pPr>
        <w:spacing w:after="0"/>
        <w:jc w:val="both"/>
      </w:pPr>
      <w:r>
        <w:t xml:space="preserve">Address: </w:t>
      </w:r>
      <w:r w:rsidRPr="006C3618">
        <w:t>Archimedesweg</w:t>
      </w:r>
      <w:r>
        <w:t xml:space="preserve"> </w:t>
      </w:r>
      <w:r w:rsidRPr="00514126">
        <w:t>31</w:t>
      </w:r>
      <w:r>
        <w:t xml:space="preserve">, </w:t>
      </w:r>
      <w:r w:rsidRPr="006C3618">
        <w:t>2333 CM Leiden, The Netherlands</w:t>
      </w:r>
    </w:p>
    <w:p w14:paraId="30CCF0F9" w14:textId="77777777" w:rsidR="00692C35" w:rsidRDefault="00692C35" w:rsidP="00692C35">
      <w:r>
        <w:t xml:space="preserve">Phone: </w:t>
      </w:r>
      <w:r w:rsidRPr="006C3618">
        <w:t>+31 71 524 3000</w:t>
      </w:r>
    </w:p>
    <w:p w14:paraId="00026977" w14:textId="77777777" w:rsidR="004475A5" w:rsidRPr="000C2CD2" w:rsidRDefault="004475A5">
      <w:pPr>
        <w:rPr>
          <w:sz w:val="24"/>
          <w:szCs w:val="24"/>
        </w:rPr>
      </w:pPr>
    </w:p>
    <w:p w14:paraId="296DC1CE" w14:textId="77777777" w:rsidR="004475A5" w:rsidRPr="000C2CD2" w:rsidRDefault="004475A5">
      <w:pPr>
        <w:rPr>
          <w:sz w:val="24"/>
          <w:szCs w:val="24"/>
        </w:rPr>
      </w:pPr>
    </w:p>
    <w:p w14:paraId="05107EE0" w14:textId="64E01C3B" w:rsidR="004475A5" w:rsidRPr="000C2CD2" w:rsidRDefault="004475A5">
      <w:pPr>
        <w:rPr>
          <w:sz w:val="24"/>
          <w:szCs w:val="24"/>
        </w:rPr>
      </w:pPr>
      <w:r w:rsidRPr="000C2CD2">
        <w:rPr>
          <w:sz w:val="24"/>
          <w:szCs w:val="24"/>
        </w:rPr>
        <w:br w:type="page"/>
      </w:r>
    </w:p>
    <w:p w14:paraId="04A800DE" w14:textId="4F5F2832" w:rsidR="004475A5" w:rsidRPr="000C2CD2" w:rsidRDefault="004475A5">
      <w:pPr>
        <w:rPr>
          <w:b/>
          <w:bCs/>
          <w:sz w:val="24"/>
          <w:szCs w:val="24"/>
        </w:rPr>
      </w:pPr>
      <w:r w:rsidRPr="000C2CD2">
        <w:rPr>
          <w:b/>
          <w:bCs/>
          <w:sz w:val="24"/>
          <w:szCs w:val="24"/>
        </w:rPr>
        <w:lastRenderedPageBreak/>
        <w:t xml:space="preserve">Electronic Supplemental Material 3: </w:t>
      </w:r>
      <w:r w:rsidR="002F42E3">
        <w:rPr>
          <w:b/>
          <w:bCs/>
          <w:sz w:val="24"/>
          <w:szCs w:val="24"/>
        </w:rPr>
        <w:t>A</w:t>
      </w:r>
      <w:r w:rsidRPr="000C2CD2">
        <w:rPr>
          <w:b/>
          <w:bCs/>
          <w:sz w:val="24"/>
          <w:szCs w:val="24"/>
        </w:rPr>
        <w:t>utocorrelation</w:t>
      </w:r>
      <w:r w:rsidR="00AB10AF" w:rsidRPr="000C2CD2">
        <w:rPr>
          <w:b/>
          <w:bCs/>
          <w:sz w:val="24"/>
          <w:szCs w:val="24"/>
        </w:rPr>
        <w:t xml:space="preserve"> functions</w:t>
      </w:r>
      <w:r w:rsidRPr="000C2CD2">
        <w:rPr>
          <w:b/>
          <w:bCs/>
          <w:sz w:val="24"/>
          <w:szCs w:val="24"/>
        </w:rPr>
        <w:t>.</w:t>
      </w:r>
    </w:p>
    <w:p w14:paraId="61D307D4" w14:textId="0306EFE1" w:rsidR="004475A5" w:rsidRPr="000C2CD2" w:rsidRDefault="004475A5" w:rsidP="00742ADD">
      <w:pPr>
        <w:jc w:val="both"/>
        <w:rPr>
          <w:sz w:val="24"/>
          <w:szCs w:val="24"/>
        </w:rPr>
      </w:pPr>
      <w:r w:rsidRPr="000C2CD2">
        <w:rPr>
          <w:sz w:val="24"/>
          <w:szCs w:val="24"/>
        </w:rPr>
        <w:t xml:space="preserve">In the manuscript, L2METHOD was implemented </w:t>
      </w:r>
      <w:r w:rsidR="00742ADD" w:rsidRPr="000C2CD2">
        <w:rPr>
          <w:sz w:val="24"/>
          <w:szCs w:val="24"/>
        </w:rPr>
        <w:t>according to the following two equations, that analytically calculate the correlation of the residual error between two observations on the basis of the estimated parameters VAR</w:t>
      </w:r>
      <w:r w:rsidR="00742ADD" w:rsidRPr="000C2CD2">
        <w:rPr>
          <w:sz w:val="24"/>
          <w:szCs w:val="24"/>
          <w:vertAlign w:val="subscript"/>
        </w:rPr>
        <w:t>brownian</w:t>
      </w:r>
      <w:r w:rsidR="00742ADD" w:rsidRPr="000C2CD2">
        <w:rPr>
          <w:sz w:val="24"/>
          <w:szCs w:val="24"/>
          <w:vertAlign w:val="superscript"/>
        </w:rPr>
        <w:t xml:space="preserve"> </w:t>
      </w:r>
      <w:r w:rsidR="00742ADD" w:rsidRPr="000C2CD2">
        <w:rPr>
          <w:sz w:val="24"/>
          <w:szCs w:val="24"/>
        </w:rPr>
        <w:t>and VAR</w:t>
      </w:r>
      <w:r w:rsidR="00742ADD" w:rsidRPr="000C2CD2">
        <w:rPr>
          <w:sz w:val="24"/>
          <w:szCs w:val="24"/>
          <w:vertAlign w:val="subscript"/>
        </w:rPr>
        <w:t>error</w:t>
      </w:r>
      <w:r w:rsidR="00742ADD" w:rsidRPr="000C2CD2">
        <w:rPr>
          <w:sz w:val="24"/>
          <w:szCs w:val="24"/>
        </w:rPr>
        <w:t>.</w:t>
      </w:r>
    </w:p>
    <w:p w14:paraId="3496B8E9" w14:textId="01CA7C78" w:rsidR="00742ADD" w:rsidRPr="000C2CD2" w:rsidRDefault="00692C35" w:rsidP="00742ADD">
      <w:pPr>
        <w:jc w:val="both"/>
        <w:rPr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varε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j</m:t>
            </m:r>
          </m:sub>
        </m:sSub>
        <m:r>
          <w:rPr>
            <w:rFonts w:ascii="Cambria Math" w:hAnsi="Cambria Math"/>
            <w:sz w:val="24"/>
            <w:szCs w:val="24"/>
          </w:rPr>
          <m:t xml:space="preserve">= 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vertAlign w:val="subscript"/>
              </w:rPr>
              <m:t>t</m:t>
            </m:r>
          </m:e>
          <m:sub>
            <m:r>
              <w:rPr>
                <w:rFonts w:ascii="Cambria Math" w:hAnsi="Cambria Math"/>
                <w:sz w:val="24"/>
                <w:szCs w:val="24"/>
                <w:vertAlign w:val="subscript"/>
              </w:rPr>
              <m:t>j</m:t>
            </m:r>
          </m:sub>
        </m:sSub>
        <m:r>
          <w:rPr>
            <w:rFonts w:ascii="Cambria Math" w:hAnsi="Cambria Math"/>
            <w:sz w:val="24"/>
            <w:szCs w:val="24"/>
            <w:vertAlign w:val="subscript"/>
          </w:rPr>
          <m:t>×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vertAlign w:val="subscript"/>
              </w:rPr>
              <m:t>VAR</m:t>
            </m:r>
          </m:e>
          <m:sub>
            <m:r>
              <w:rPr>
                <w:rFonts w:ascii="Cambria Math" w:hAnsi="Cambria Math"/>
                <w:sz w:val="24"/>
                <w:szCs w:val="24"/>
                <w:vertAlign w:val="subscript"/>
              </w:rPr>
              <m:t>brownian</m:t>
            </m:r>
          </m:sub>
        </m:sSub>
        <m:r>
          <w:rPr>
            <w:rFonts w:ascii="Cambria Math" w:hAnsi="Cambria Math"/>
            <w:sz w:val="24"/>
            <w:szCs w:val="24"/>
            <w:vertAlign w:val="subscript"/>
          </w:rPr>
          <m:t>+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vertAlign w:val="subscript"/>
              </w:rPr>
              <m:t>VAR</m:t>
            </m:r>
          </m:e>
          <m:sub>
            <m:r>
              <w:rPr>
                <w:rFonts w:ascii="Cambria Math" w:hAnsi="Cambria Math"/>
                <w:sz w:val="24"/>
                <w:szCs w:val="24"/>
                <w:vertAlign w:val="subscript"/>
              </w:rPr>
              <m:t>error</m:t>
            </m:r>
          </m:sub>
        </m:sSub>
      </m:oMath>
      <w:r w:rsidR="00742ADD" w:rsidRPr="000C2CD2">
        <w:rPr>
          <w:rFonts w:eastAsiaTheme="minorEastAsia"/>
          <w:sz w:val="24"/>
          <w:szCs w:val="24"/>
          <w:vertAlign w:val="subscript"/>
        </w:rPr>
        <w:t xml:space="preserve"> </w:t>
      </w:r>
      <w:r w:rsidR="00742ADD" w:rsidRPr="000C2CD2">
        <w:rPr>
          <w:rFonts w:eastAsiaTheme="minorEastAsia"/>
          <w:sz w:val="24"/>
          <w:szCs w:val="24"/>
        </w:rPr>
        <w:tab/>
      </w:r>
      <w:r w:rsidR="00742ADD" w:rsidRPr="000C2CD2">
        <w:rPr>
          <w:rFonts w:eastAsiaTheme="minorEastAsia"/>
          <w:sz w:val="24"/>
          <w:szCs w:val="24"/>
        </w:rPr>
        <w:tab/>
      </w:r>
      <w:r w:rsidR="00742ADD" w:rsidRPr="000C2CD2">
        <w:rPr>
          <w:rFonts w:eastAsiaTheme="minorEastAsia"/>
          <w:sz w:val="24"/>
          <w:szCs w:val="24"/>
        </w:rPr>
        <w:tab/>
      </w:r>
      <w:r w:rsidR="00742ADD" w:rsidRPr="000C2CD2">
        <w:rPr>
          <w:rFonts w:eastAsiaTheme="minorEastAsia"/>
          <w:sz w:val="24"/>
          <w:szCs w:val="24"/>
        </w:rPr>
        <w:tab/>
      </w:r>
      <w:r w:rsidR="00742ADD" w:rsidRPr="000C2CD2">
        <w:rPr>
          <w:rFonts w:eastAsiaTheme="minorEastAsia"/>
          <w:sz w:val="24"/>
          <w:szCs w:val="24"/>
        </w:rPr>
        <w:tab/>
      </w:r>
      <w:r w:rsidR="00742ADD" w:rsidRPr="000C2CD2">
        <w:rPr>
          <w:rFonts w:eastAsiaTheme="minorEastAsia"/>
          <w:sz w:val="24"/>
          <w:szCs w:val="24"/>
        </w:rPr>
        <w:tab/>
      </w:r>
    </w:p>
    <w:bookmarkStart w:id="1" w:name="_Hlk181189072"/>
    <w:p w14:paraId="29BD0442" w14:textId="7DB48365" w:rsidR="00742ADD" w:rsidRPr="000C2CD2" w:rsidRDefault="00692C35" w:rsidP="00742ADD">
      <w:pPr>
        <w:jc w:val="both"/>
        <w:rPr>
          <w:rFonts w:eastAsiaTheme="minorEastAsia"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vertAlign w:val="subscript"/>
              </w:rPr>
              <m:t>corε</m:t>
            </m:r>
          </m:e>
          <m:sub>
            <m:r>
              <w:rPr>
                <w:rFonts w:ascii="Cambria Math" w:hAnsi="Cambria Math"/>
                <w:sz w:val="24"/>
                <w:szCs w:val="24"/>
                <w:vertAlign w:val="subscript"/>
              </w:rPr>
              <m:t>j,k</m:t>
            </m:r>
          </m:sub>
        </m:sSub>
        <w:bookmarkEnd w:id="1"/>
        <m:r>
          <w:rPr>
            <w:rFonts w:ascii="Cambria Math" w:hAnsi="Cambria Math"/>
            <w:sz w:val="24"/>
            <w:szCs w:val="24"/>
            <w:vertAlign w:val="subscript"/>
          </w:rPr>
          <m:t xml:space="preserve">= 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t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k</m:t>
                </m:r>
              </m:sub>
            </m:sSub>
            <m:r>
              <w:rPr>
                <w:rFonts w:ascii="Cambria Math" w:hAnsi="Cambria Math"/>
                <w:sz w:val="24"/>
                <w:szCs w:val="24"/>
                <w:vertAlign w:val="subscript"/>
              </w:rPr>
              <m:t>×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VAR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brownian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sz w:val="24"/>
                    <w:szCs w:val="24"/>
                    <w:vertAlign w:val="subscript"/>
                  </w:rPr>
                </m:ctrlPr>
              </m:radPr>
              <m:deg/>
              <m:e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vertAlign w:val="subscript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varε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j</m:t>
                        </m:r>
                      </m:sub>
                    </m:sSub>
                  </m:e>
                </m:d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×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vertAlign w:val="subscript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varε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k</m:t>
                        </m:r>
                      </m:sub>
                    </m:sSub>
                  </m:e>
                </m:d>
              </m:e>
            </m:rad>
          </m:den>
        </m:f>
      </m:oMath>
      <w:r w:rsidR="00742ADD" w:rsidRPr="000C2CD2">
        <w:rPr>
          <w:rFonts w:eastAsiaTheme="minorEastAsia"/>
          <w:sz w:val="24"/>
          <w:szCs w:val="24"/>
          <w:vertAlign w:val="subscript"/>
        </w:rPr>
        <w:t xml:space="preserve"> </w:t>
      </w:r>
      <w:r w:rsidR="00742ADD" w:rsidRPr="000C2CD2">
        <w:rPr>
          <w:rFonts w:eastAsiaTheme="minorEastAsia"/>
          <w:sz w:val="24"/>
          <w:szCs w:val="24"/>
          <w:vertAlign w:val="subscript"/>
        </w:rPr>
        <w:tab/>
      </w:r>
      <w:r w:rsidR="00742ADD" w:rsidRPr="000C2CD2">
        <w:rPr>
          <w:rFonts w:eastAsiaTheme="minorEastAsia"/>
          <w:sz w:val="24"/>
          <w:szCs w:val="24"/>
          <w:vertAlign w:val="subscript"/>
        </w:rPr>
        <w:tab/>
      </w:r>
      <w:r w:rsidR="00742ADD" w:rsidRPr="000C2CD2">
        <w:rPr>
          <w:rFonts w:eastAsiaTheme="minorEastAsia"/>
          <w:sz w:val="24"/>
          <w:szCs w:val="24"/>
          <w:vertAlign w:val="subscript"/>
        </w:rPr>
        <w:tab/>
      </w:r>
      <w:r w:rsidR="00742ADD" w:rsidRPr="000C2CD2">
        <w:rPr>
          <w:rFonts w:eastAsiaTheme="minorEastAsia"/>
          <w:sz w:val="24"/>
          <w:szCs w:val="24"/>
          <w:vertAlign w:val="subscript"/>
        </w:rPr>
        <w:tab/>
      </w:r>
      <w:r w:rsidR="00742ADD" w:rsidRPr="000C2CD2">
        <w:rPr>
          <w:rFonts w:eastAsiaTheme="minorEastAsia"/>
          <w:sz w:val="24"/>
          <w:szCs w:val="24"/>
          <w:vertAlign w:val="subscript"/>
        </w:rPr>
        <w:tab/>
      </w:r>
      <w:r w:rsidR="00742ADD" w:rsidRPr="000C2CD2">
        <w:rPr>
          <w:rFonts w:eastAsiaTheme="minorEastAsia"/>
          <w:sz w:val="24"/>
          <w:szCs w:val="24"/>
          <w:vertAlign w:val="subscript"/>
        </w:rPr>
        <w:tab/>
      </w:r>
      <w:r w:rsidR="00742ADD" w:rsidRPr="000C2CD2">
        <w:rPr>
          <w:rFonts w:eastAsiaTheme="minorEastAsia"/>
          <w:sz w:val="24"/>
          <w:szCs w:val="24"/>
          <w:vertAlign w:val="subscript"/>
        </w:rPr>
        <w:tab/>
      </w:r>
      <w:r w:rsidR="00742ADD" w:rsidRPr="000C2CD2">
        <w:rPr>
          <w:rFonts w:eastAsiaTheme="minorEastAsia"/>
          <w:sz w:val="24"/>
          <w:szCs w:val="24"/>
          <w:vertAlign w:val="subscript"/>
        </w:rPr>
        <w:tab/>
      </w:r>
    </w:p>
    <w:p w14:paraId="7FC4C51B" w14:textId="3C649D57" w:rsidR="000C2CD2" w:rsidRDefault="00742ADD" w:rsidP="00742ADD">
      <w:pPr>
        <w:jc w:val="both"/>
        <w:rPr>
          <w:sz w:val="24"/>
          <w:szCs w:val="24"/>
        </w:rPr>
      </w:pPr>
      <w:r w:rsidRPr="000C2CD2">
        <w:rPr>
          <w:sz w:val="24"/>
          <w:szCs w:val="24"/>
        </w:rPr>
        <w:t xml:space="preserve">This specific derivation </w:t>
      </w:r>
      <w:r w:rsidR="00AB10AF" w:rsidRPr="000C2CD2">
        <w:rPr>
          <w:sz w:val="24"/>
          <w:szCs w:val="24"/>
        </w:rPr>
        <w:t xml:space="preserve">of the autocorrelation function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vertAlign w:val="subscript"/>
              </w:rPr>
              <m:t>corε</m:t>
            </m:r>
          </m:e>
          <m:sub>
            <m:r>
              <w:rPr>
                <w:rFonts w:ascii="Cambria Math" w:hAnsi="Cambria Math"/>
                <w:sz w:val="24"/>
                <w:szCs w:val="24"/>
                <w:vertAlign w:val="subscript"/>
              </w:rPr>
              <m:t>j,k</m:t>
            </m:r>
          </m:sub>
        </m:sSub>
        <m:r>
          <w:rPr>
            <w:rFonts w:ascii="Cambria Math" w:hAnsi="Cambria Math"/>
            <w:sz w:val="24"/>
            <w:szCs w:val="24"/>
            <w:vertAlign w:val="subscript"/>
          </w:rPr>
          <m:t xml:space="preserve"> </m:t>
        </m:r>
      </m:oMath>
      <w:r w:rsidR="00AB10AF" w:rsidRPr="000C2CD2">
        <w:rPr>
          <w:sz w:val="24"/>
          <w:szCs w:val="24"/>
        </w:rPr>
        <w:t>comes from the fact that</w:t>
      </w:r>
      <w:r w:rsidRPr="000C2CD2">
        <w:rPr>
          <w:sz w:val="24"/>
          <w:szCs w:val="24"/>
        </w:rPr>
        <w:t xml:space="preserve"> the intra-individual variability of the base pain is characterised by a Brownian motion and that this variability has an additive effect on the modelled outcome variable. </w:t>
      </w:r>
      <w:r w:rsidR="000C2CD2" w:rsidRPr="000C2CD2">
        <w:rPr>
          <w:sz w:val="24"/>
          <w:szCs w:val="24"/>
        </w:rPr>
        <w:t xml:space="preserve">As such, this formula is not universally applicable to each case and other equations for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vertAlign w:val="subscript"/>
              </w:rPr>
              <m:t>corε</m:t>
            </m:r>
          </m:e>
          <m:sub>
            <m:r>
              <w:rPr>
                <w:rFonts w:ascii="Cambria Math" w:hAnsi="Cambria Math"/>
                <w:sz w:val="24"/>
                <w:szCs w:val="24"/>
                <w:vertAlign w:val="subscript"/>
              </w:rPr>
              <m:t>j,k</m:t>
            </m:r>
          </m:sub>
        </m:sSub>
        <m:r>
          <w:rPr>
            <w:rFonts w:ascii="Cambria Math" w:hAnsi="Cambria Math"/>
            <w:sz w:val="24"/>
            <w:szCs w:val="24"/>
            <w:vertAlign w:val="subscript"/>
          </w:rPr>
          <m:t xml:space="preserve"> </m:t>
        </m:r>
      </m:oMath>
      <w:r w:rsidR="000C2CD2" w:rsidRPr="000C2CD2">
        <w:rPr>
          <w:sz w:val="24"/>
          <w:szCs w:val="24"/>
        </w:rPr>
        <w:t>may more appropriately characterize the autocorrelation in the data</w:t>
      </w:r>
      <w:r w:rsidR="0089140A">
        <w:rPr>
          <w:sz w:val="24"/>
          <w:szCs w:val="24"/>
        </w:rPr>
        <w:t xml:space="preserve">. This </w:t>
      </w:r>
      <w:r w:rsidR="000C2CD2" w:rsidRPr="000C2CD2">
        <w:rPr>
          <w:sz w:val="24"/>
          <w:szCs w:val="24"/>
        </w:rPr>
        <w:t xml:space="preserve">may or may not originate from a Brownian motion of underlying model parameter(s). </w:t>
      </w:r>
    </w:p>
    <w:p w14:paraId="6A087CC2" w14:textId="415B17BD" w:rsidR="002F42E3" w:rsidRPr="002F42E3" w:rsidRDefault="002F42E3" w:rsidP="00742ADD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Empirical autocorrelation functions</w:t>
      </w:r>
    </w:p>
    <w:p w14:paraId="3CE49F38" w14:textId="33D22D1D" w:rsidR="00742ADD" w:rsidRPr="000C2CD2" w:rsidRDefault="000C2CD2" w:rsidP="00742ADD">
      <w:pPr>
        <w:jc w:val="both"/>
        <w:rPr>
          <w:sz w:val="24"/>
          <w:szCs w:val="24"/>
        </w:rPr>
      </w:pPr>
      <w:r w:rsidRPr="000C2CD2">
        <w:rPr>
          <w:sz w:val="24"/>
          <w:szCs w:val="24"/>
        </w:rPr>
        <w:t xml:space="preserve">In many cases, the exact mechanism of </w:t>
      </w:r>
      <w:r w:rsidR="005460E7">
        <w:rPr>
          <w:sz w:val="24"/>
          <w:szCs w:val="24"/>
        </w:rPr>
        <w:t>behind the</w:t>
      </w:r>
      <w:r w:rsidRPr="000C2CD2">
        <w:rPr>
          <w:sz w:val="24"/>
          <w:szCs w:val="24"/>
        </w:rPr>
        <w:t xml:space="preserve"> </w:t>
      </w:r>
      <w:r w:rsidR="002F42E3" w:rsidRPr="000C2CD2">
        <w:rPr>
          <w:sz w:val="24"/>
          <w:szCs w:val="24"/>
        </w:rPr>
        <w:t>auto</w:t>
      </w:r>
      <w:r w:rsidR="002F42E3">
        <w:rPr>
          <w:sz w:val="24"/>
          <w:szCs w:val="24"/>
        </w:rPr>
        <w:t>correlation</w:t>
      </w:r>
      <w:r w:rsidRPr="000C2CD2">
        <w:rPr>
          <w:sz w:val="24"/>
          <w:szCs w:val="24"/>
        </w:rPr>
        <w:t xml:space="preserve"> may not be </w:t>
      </w:r>
      <w:r w:rsidR="0089140A">
        <w:rPr>
          <w:sz w:val="24"/>
          <w:szCs w:val="24"/>
        </w:rPr>
        <w:t>known</w:t>
      </w:r>
      <w:r w:rsidRPr="000C2CD2">
        <w:rPr>
          <w:sz w:val="24"/>
          <w:szCs w:val="24"/>
        </w:rPr>
        <w:t xml:space="preserve"> or</w:t>
      </w:r>
      <w:r w:rsidR="00711E43">
        <w:rPr>
          <w:sz w:val="24"/>
          <w:szCs w:val="24"/>
        </w:rPr>
        <w:t>, even if it is,</w:t>
      </w:r>
      <w:r w:rsidRPr="000C2CD2">
        <w:rPr>
          <w:sz w:val="24"/>
          <w:szCs w:val="24"/>
        </w:rPr>
        <w:t xml:space="preserve"> the derivation of the exact autocorrelation function may be nontrivial. In such cases, one may consider the use of empirical functions to characterize the </w:t>
      </w:r>
      <w:r w:rsidR="002F42E3" w:rsidRPr="000C2CD2">
        <w:rPr>
          <w:sz w:val="24"/>
          <w:szCs w:val="24"/>
        </w:rPr>
        <w:t>autocorrelation</w:t>
      </w:r>
      <w:r w:rsidRPr="000C2CD2">
        <w:rPr>
          <w:sz w:val="24"/>
          <w:szCs w:val="24"/>
        </w:rPr>
        <w:t xml:space="preserve"> and avoid bias in the estimated exposure-response relationship for titration studies in the presence of intra-individual variability. </w:t>
      </w:r>
      <w:r w:rsidR="0089140A">
        <w:rPr>
          <w:sz w:val="24"/>
          <w:szCs w:val="24"/>
        </w:rPr>
        <w:t xml:space="preserve">These autocorrelation functions can be applied to different error models that characterize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varε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j</m:t>
            </m:r>
          </m:sub>
        </m:sSub>
      </m:oMath>
      <w:r w:rsidR="0089140A">
        <w:rPr>
          <w:sz w:val="24"/>
          <w:szCs w:val="24"/>
        </w:rPr>
        <w:t xml:space="preserve"> and its (</w:t>
      </w:r>
      <w:r w:rsidR="006F6BDD">
        <w:rPr>
          <w:sz w:val="24"/>
          <w:szCs w:val="24"/>
        </w:rPr>
        <w:t>in)</w:t>
      </w:r>
      <w:r w:rsidR="0089140A">
        <w:rPr>
          <w:sz w:val="24"/>
          <w:szCs w:val="24"/>
        </w:rPr>
        <w:t xml:space="preserve">dependence </w:t>
      </w:r>
      <w:r w:rsidR="006F6BDD">
        <w:rPr>
          <w:sz w:val="24"/>
          <w:szCs w:val="24"/>
        </w:rPr>
        <w:t>of</w:t>
      </w:r>
      <w:r w:rsidR="0089140A">
        <w:rPr>
          <w:sz w:val="24"/>
          <w:szCs w:val="24"/>
        </w:rPr>
        <w:t xml:space="preserve"> model predictions (</w:t>
      </w:r>
      <w:r w:rsidR="00196D0B">
        <w:rPr>
          <w:sz w:val="24"/>
          <w:szCs w:val="24"/>
        </w:rPr>
        <w:t xml:space="preserve">e.g., </w:t>
      </w:r>
      <w:r w:rsidR="0089140A">
        <w:rPr>
          <w:sz w:val="24"/>
          <w:szCs w:val="24"/>
        </w:rPr>
        <w:t>additive, proportional, combined</w:t>
      </w:r>
      <w:r w:rsidR="009E690D">
        <w:rPr>
          <w:sz w:val="24"/>
          <w:szCs w:val="24"/>
        </w:rPr>
        <w:t xml:space="preserve"> error models</w:t>
      </w:r>
      <w:r w:rsidR="0089140A">
        <w:rPr>
          <w:sz w:val="24"/>
          <w:szCs w:val="24"/>
        </w:rPr>
        <w:t>).</w:t>
      </w:r>
    </w:p>
    <w:p w14:paraId="12FCD618" w14:textId="77777777" w:rsidR="000C2CD2" w:rsidRPr="000C2CD2" w:rsidRDefault="000C2CD2" w:rsidP="00742ADD">
      <w:pPr>
        <w:jc w:val="both"/>
        <w:rPr>
          <w:sz w:val="24"/>
          <w:szCs w:val="24"/>
        </w:rPr>
      </w:pPr>
      <w:r w:rsidRPr="000C2CD2">
        <w:rPr>
          <w:sz w:val="24"/>
          <w:szCs w:val="24"/>
        </w:rPr>
        <w:t>Karlsson, Beal and Sheiner in 1995</w:t>
      </w:r>
      <w:r w:rsidRPr="000C2CD2">
        <w:rPr>
          <w:sz w:val="24"/>
          <w:szCs w:val="24"/>
          <w:vertAlign w:val="superscript"/>
        </w:rPr>
        <w:t>1</w:t>
      </w:r>
      <w:r w:rsidRPr="000C2CD2">
        <w:rPr>
          <w:sz w:val="24"/>
          <w:szCs w:val="24"/>
        </w:rPr>
        <w:t xml:space="preserve"> proposed an exponential autocorrelation function:</w:t>
      </w:r>
    </w:p>
    <w:p w14:paraId="54326651" w14:textId="77777777" w:rsidR="000C2CD2" w:rsidRPr="000C2CD2" w:rsidRDefault="00692C35" w:rsidP="000C2CD2">
      <w:pPr>
        <w:jc w:val="center"/>
        <w:rPr>
          <w:rFonts w:eastAsiaTheme="minorEastAsia"/>
          <w:sz w:val="24"/>
          <w:szCs w:val="24"/>
          <w:vertAlign w:val="subscript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  <w:vertAlign w:val="subscript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  <w:vertAlign w:val="subscript"/>
                </w:rPr>
                <m:t>corε</m:t>
              </m:r>
            </m:e>
            <m:sub>
              <m:r>
                <w:rPr>
                  <w:rFonts w:ascii="Cambria Math" w:hAnsi="Cambria Math"/>
                  <w:sz w:val="24"/>
                  <w:szCs w:val="24"/>
                  <w:vertAlign w:val="subscript"/>
                </w:rPr>
                <m:t>j,k</m:t>
              </m:r>
            </m:sub>
          </m:sSub>
          <m:r>
            <w:rPr>
              <w:rFonts w:ascii="Cambria Math" w:hAnsi="Cambria Math"/>
              <w:sz w:val="24"/>
              <w:szCs w:val="24"/>
              <w:vertAlign w:val="subscript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  <w:vertAlign w:val="subscript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  <w:vertAlign w:val="subscript"/>
                </w:rPr>
                <m:t>e</m:t>
              </m:r>
            </m:e>
            <m:sup>
              <m:r>
                <w:rPr>
                  <w:rFonts w:ascii="Cambria Math" w:hAnsi="Cambria Math"/>
                  <w:sz w:val="24"/>
                  <w:szCs w:val="24"/>
                  <w:vertAlign w:val="subscript"/>
                </w:rPr>
                <m:t>θ ×(</m:t>
              </m:r>
              <w:bookmarkStart w:id="2" w:name="_Hlk187933091"/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vertAlign w:val="subscript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vertAlign w:val="subscript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vertAlign w:val="subscript"/>
                    </w:rPr>
                    <m:t>j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vertAlign w:val="subscript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vertAlign w:val="subscript"/>
                    </w:rPr>
                    <m:t>-t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vertAlign w:val="subscript"/>
                    </w:rPr>
                    <m:t>k</m:t>
                  </m:r>
                </m:sub>
              </m:sSub>
              <w:bookmarkEnd w:id="2"/>
              <m:r>
                <w:rPr>
                  <w:rFonts w:ascii="Cambria Math" w:hAnsi="Cambria Math"/>
                  <w:sz w:val="24"/>
                  <w:szCs w:val="24"/>
                  <w:vertAlign w:val="subscript"/>
                </w:rPr>
                <m:t>)</m:t>
              </m:r>
            </m:sup>
          </m:sSup>
        </m:oMath>
      </m:oMathPara>
    </w:p>
    <w:p w14:paraId="2C8C0319" w14:textId="3241A74D" w:rsidR="000C2CD2" w:rsidRPr="000C2CD2" w:rsidRDefault="000C2CD2" w:rsidP="000C2CD2">
      <w:pPr>
        <w:jc w:val="both"/>
        <w:rPr>
          <w:rFonts w:eastAsiaTheme="minorEastAsia"/>
          <w:sz w:val="24"/>
          <w:szCs w:val="24"/>
          <w:vertAlign w:val="subscript"/>
        </w:rPr>
      </w:pPr>
      <w:r w:rsidRPr="000C2CD2">
        <w:rPr>
          <w:rFonts w:eastAsiaTheme="minorEastAsia"/>
          <w:sz w:val="24"/>
          <w:szCs w:val="24"/>
        </w:rPr>
        <w:t xml:space="preserve">Where </w:t>
      </w:r>
      <m:oMath>
        <m:r>
          <w:rPr>
            <w:rFonts w:ascii="Cambria Math" w:hAnsi="Cambria Math"/>
            <w:sz w:val="24"/>
            <w:szCs w:val="24"/>
            <w:vertAlign w:val="subscript"/>
          </w:rPr>
          <m:t>θ</m:t>
        </m:r>
        <m:r>
          <m:rPr>
            <m:sty m:val="p"/>
          </m:rPr>
          <w:rPr>
            <w:rFonts w:ascii="Cambria Math" w:eastAsiaTheme="minorEastAsia" w:hAnsi="Cambria Math"/>
            <w:sz w:val="24"/>
            <w:szCs w:val="24"/>
            <w:vertAlign w:val="subscript"/>
          </w:rPr>
          <m:t>&lt;0</m:t>
        </m:r>
      </m:oMath>
      <w:r w:rsidRPr="000C2CD2">
        <w:rPr>
          <w:rFonts w:eastAsiaTheme="minorEastAsia"/>
          <w:sz w:val="24"/>
          <w:szCs w:val="24"/>
          <w:vertAlign w:val="subscript"/>
        </w:rPr>
        <w:t>.</w:t>
      </w:r>
    </w:p>
    <w:p w14:paraId="4A64C6C7" w14:textId="19040E10" w:rsidR="000C2CD2" w:rsidRPr="0089140A" w:rsidRDefault="000C2CD2" w:rsidP="000C2CD2">
      <w:pPr>
        <w:jc w:val="both"/>
        <w:rPr>
          <w:rFonts w:eastAsiaTheme="minorEastAsia"/>
          <w:sz w:val="24"/>
          <w:szCs w:val="24"/>
        </w:rPr>
      </w:pPr>
      <w:r w:rsidRPr="000C2CD2">
        <w:rPr>
          <w:sz w:val="24"/>
          <w:szCs w:val="24"/>
        </w:rPr>
        <w:t xml:space="preserve">With this equation, the correlation between observation j and previous observation k depends exponentially on the time difference between the observations, with the estimated parameter </w:t>
      </w:r>
      <m:oMath>
        <m:r>
          <w:rPr>
            <w:rFonts w:ascii="Cambria Math" w:hAnsi="Cambria Math"/>
            <w:sz w:val="24"/>
            <w:szCs w:val="24"/>
            <w:vertAlign w:val="subscript"/>
          </w:rPr>
          <m:t>θ</m:t>
        </m:r>
      </m:oMath>
      <w:r w:rsidRPr="000C2CD2">
        <w:rPr>
          <w:rFonts w:eastAsiaTheme="minorEastAsia"/>
          <w:sz w:val="24"/>
          <w:szCs w:val="24"/>
          <w:vertAlign w:val="subscript"/>
        </w:rPr>
        <w:t xml:space="preserve"> </w:t>
      </w:r>
      <w:r w:rsidRPr="000C2CD2">
        <w:rPr>
          <w:rFonts w:eastAsiaTheme="minorEastAsia"/>
          <w:sz w:val="24"/>
          <w:szCs w:val="24"/>
        </w:rPr>
        <w:t>determining the rate at which the correlation declines from 1 to 0.</w:t>
      </w:r>
      <w:r>
        <w:rPr>
          <w:rFonts w:eastAsiaTheme="minorEastAsia"/>
          <w:sz w:val="24"/>
          <w:szCs w:val="24"/>
        </w:rPr>
        <w:t xml:space="preserve"> </w:t>
      </w:r>
      <w:r w:rsidR="0089140A">
        <w:rPr>
          <w:rFonts w:eastAsiaTheme="minorEastAsia"/>
          <w:sz w:val="24"/>
          <w:szCs w:val="24"/>
        </w:rPr>
        <w:t xml:space="preserve">This function may not apply to each case. For example, the autocorrelation between two different observations becomes 1 as the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vertAlign w:val="subscript"/>
              </w:rPr>
              <m:t>t</m:t>
            </m:r>
          </m:e>
          <m:sub>
            <m:r>
              <w:rPr>
                <w:rFonts w:ascii="Cambria Math" w:hAnsi="Cambria Math"/>
                <w:sz w:val="24"/>
                <w:szCs w:val="24"/>
                <w:vertAlign w:val="subscript"/>
              </w:rPr>
              <m:t>j</m:t>
            </m:r>
          </m:sub>
        </m:sSub>
        <m:sSub>
          <m:sSub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vertAlign w:val="subscript"/>
              </w:rPr>
              <m:t>-t</m:t>
            </m:r>
          </m:e>
          <m:sub>
            <m:r>
              <w:rPr>
                <w:rFonts w:ascii="Cambria Math" w:hAnsi="Cambria Math"/>
                <w:sz w:val="24"/>
                <w:szCs w:val="24"/>
                <w:vertAlign w:val="subscript"/>
              </w:rPr>
              <m:t>k</m:t>
            </m:r>
          </m:sub>
        </m:sSub>
      </m:oMath>
      <w:r w:rsidR="0089140A">
        <w:rPr>
          <w:rFonts w:eastAsiaTheme="minorEastAsia"/>
          <w:sz w:val="24"/>
          <w:szCs w:val="24"/>
          <w:vertAlign w:val="subscript"/>
        </w:rPr>
        <w:t xml:space="preserve"> </w:t>
      </w:r>
      <w:r w:rsidR="0089140A">
        <w:rPr>
          <w:rFonts w:eastAsiaTheme="minorEastAsia"/>
          <w:sz w:val="24"/>
          <w:szCs w:val="24"/>
        </w:rPr>
        <w:t>goes towards 0, which will not be realistic in many cases. For example, a biomarker measured twice in two blood samples taken at the same time (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vertAlign w:val="subscript"/>
              </w:rPr>
              <m:t>t</m:t>
            </m:r>
          </m:e>
          <m:sub>
            <m:r>
              <w:rPr>
                <w:rFonts w:ascii="Cambria Math" w:hAnsi="Cambria Math"/>
                <w:sz w:val="24"/>
                <w:szCs w:val="24"/>
                <w:vertAlign w:val="subscript"/>
              </w:rPr>
              <m:t>j</m:t>
            </m:r>
          </m:sub>
        </m:sSub>
        <m:sSub>
          <m:sSub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vertAlign w:val="subscript"/>
              </w:rPr>
              <m:t>=t</m:t>
            </m:r>
          </m:e>
          <m:sub>
            <m:r>
              <w:rPr>
                <w:rFonts w:ascii="Cambria Math" w:hAnsi="Cambria Math"/>
                <w:sz w:val="24"/>
                <w:szCs w:val="24"/>
                <w:vertAlign w:val="subscript"/>
              </w:rPr>
              <m:t>k</m:t>
            </m:r>
          </m:sub>
        </m:sSub>
        <m:r>
          <w:rPr>
            <w:rFonts w:ascii="Cambria Math" w:eastAsiaTheme="minorEastAsia" w:hAnsi="Cambria Math"/>
            <w:sz w:val="24"/>
            <w:szCs w:val="24"/>
            <w:vertAlign w:val="subscript"/>
          </w:rPr>
          <m:t>)</m:t>
        </m:r>
      </m:oMath>
      <w:r w:rsidR="0089140A">
        <w:rPr>
          <w:rFonts w:eastAsiaTheme="minorEastAsia"/>
          <w:sz w:val="24"/>
          <w:szCs w:val="24"/>
        </w:rPr>
        <w:t xml:space="preserve"> will</w:t>
      </w:r>
      <w:r w:rsidR="00711E43">
        <w:rPr>
          <w:rFonts w:eastAsiaTheme="minorEastAsia"/>
          <w:sz w:val="24"/>
          <w:szCs w:val="24"/>
        </w:rPr>
        <w:t xml:space="preserve">, due to bioanalytical measurement error, generally not result in the same observed value. </w:t>
      </w:r>
    </w:p>
    <w:p w14:paraId="47701821" w14:textId="5BF013F3" w:rsidR="005460E7" w:rsidRDefault="005460E7" w:rsidP="00742ADD">
      <w:pPr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We can extend the formula proposed by Karlsson et al. that estimates the correlation when (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vertAlign w:val="subscript"/>
              </w:rPr>
              <m:t>t</m:t>
            </m:r>
          </m:e>
          <m:sub>
            <m:r>
              <w:rPr>
                <w:rFonts w:ascii="Cambria Math" w:hAnsi="Cambria Math"/>
                <w:sz w:val="24"/>
                <w:szCs w:val="24"/>
                <w:vertAlign w:val="subscript"/>
              </w:rPr>
              <m:t>j</m:t>
            </m:r>
          </m:sub>
        </m:sSub>
        <m:sSub>
          <m:sSub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vertAlign w:val="subscript"/>
              </w:rPr>
              <m:t>=t</m:t>
            </m:r>
          </m:e>
          <m:sub>
            <m:r>
              <w:rPr>
                <w:rFonts w:ascii="Cambria Math" w:hAnsi="Cambria Math"/>
                <w:sz w:val="24"/>
                <w:szCs w:val="24"/>
                <w:vertAlign w:val="subscript"/>
              </w:rPr>
              <m:t>k</m:t>
            </m:r>
          </m:sub>
        </m:sSub>
        <m:r>
          <w:rPr>
            <w:rFonts w:ascii="Cambria Math" w:eastAsiaTheme="minorEastAsia" w:hAnsi="Cambria Math"/>
            <w:sz w:val="24"/>
            <w:szCs w:val="24"/>
            <w:vertAlign w:val="subscript"/>
          </w:rPr>
          <m:t>)</m:t>
        </m:r>
      </m:oMath>
      <w:r>
        <w:rPr>
          <w:rFonts w:eastAsiaTheme="minorEastAsia"/>
          <w:sz w:val="24"/>
          <w:szCs w:val="24"/>
        </w:rPr>
        <w:t xml:space="preserve"> rather than assuming it is equal to 1:</w:t>
      </w:r>
    </w:p>
    <w:p w14:paraId="218521FE" w14:textId="0FD565EB" w:rsidR="00F4787D" w:rsidRPr="000C2CD2" w:rsidRDefault="00F4787D" w:rsidP="00742ADD">
      <w:pPr>
        <w:jc w:val="both"/>
        <w:rPr>
          <w:rFonts w:eastAsiaTheme="minorEastAsia"/>
          <w:sz w:val="24"/>
          <w:szCs w:val="24"/>
        </w:rPr>
      </w:pPr>
    </w:p>
    <w:p w14:paraId="6EF5D43A" w14:textId="7409E9CF" w:rsidR="000F23CF" w:rsidRPr="000C2CD2" w:rsidRDefault="00692C35" w:rsidP="00F4787D">
      <w:pPr>
        <w:jc w:val="both"/>
        <w:rPr>
          <w:rFonts w:eastAsiaTheme="minorEastAsia"/>
          <w:sz w:val="24"/>
          <w:szCs w:val="24"/>
          <w:vertAlign w:val="subscript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  <w:vertAlign w:val="subscript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  <w:vertAlign w:val="subscript"/>
                </w:rPr>
                <m:t>corε</m:t>
              </m:r>
            </m:e>
            <m:sub>
              <m:r>
                <w:rPr>
                  <w:rFonts w:ascii="Cambria Math" w:hAnsi="Cambria Math"/>
                  <w:sz w:val="24"/>
                  <w:szCs w:val="24"/>
                  <w:vertAlign w:val="subscript"/>
                </w:rPr>
                <m:t>j,k</m:t>
              </m:r>
            </m:sub>
          </m:sSub>
          <m:r>
            <w:rPr>
              <w:rFonts w:ascii="Cambria Math" w:hAnsi="Cambria Math"/>
              <w:sz w:val="24"/>
              <w:szCs w:val="24"/>
              <w:vertAlign w:val="subscript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  <w:vertAlign w:val="subscript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  <w:vertAlign w:val="subscript"/>
                </w:rPr>
                <m:t>θ</m:t>
              </m:r>
            </m:e>
            <m:sub>
              <m:r>
                <w:rPr>
                  <w:rFonts w:ascii="Cambria Math" w:hAnsi="Cambria Math"/>
                  <w:sz w:val="24"/>
                  <w:szCs w:val="24"/>
                  <w:vertAlign w:val="subscript"/>
                </w:rPr>
                <m:t>1</m:t>
              </m:r>
            </m:sub>
          </m:sSub>
          <m:r>
            <w:rPr>
              <w:rFonts w:ascii="Cambria Math" w:hAnsi="Cambria Math"/>
              <w:sz w:val="24"/>
              <w:szCs w:val="24"/>
              <w:vertAlign w:val="subscript"/>
            </w:rPr>
            <m:t>×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  <w:vertAlign w:val="subscript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  <w:vertAlign w:val="subscript"/>
                </w:rPr>
                <m:t>e</m:t>
              </m:r>
            </m:e>
            <m:sup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vertAlign w:val="subscript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vertAlign w:val="subscript"/>
                    </w:rPr>
                    <m:t>θ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vertAlign w:val="subscript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  <w:vertAlign w:val="subscript"/>
                </w:rPr>
                <m:t xml:space="preserve"> ×(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vertAlign w:val="subscript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vertAlign w:val="subscript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vertAlign w:val="subscript"/>
                    </w:rPr>
                    <m:t>j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vertAlign w:val="subscript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vertAlign w:val="subscript"/>
                    </w:rPr>
                    <m:t>-t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vertAlign w:val="subscript"/>
                    </w:rPr>
                    <m:t>k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  <w:vertAlign w:val="subscript"/>
                </w:rPr>
                <m:t>)</m:t>
              </m:r>
            </m:sup>
          </m:sSup>
        </m:oMath>
      </m:oMathPara>
    </w:p>
    <w:p w14:paraId="25A52D50" w14:textId="45C88DC6" w:rsidR="000F23CF" w:rsidRDefault="000F23CF" w:rsidP="000F23CF">
      <w:pPr>
        <w:jc w:val="both"/>
        <w:rPr>
          <w:rFonts w:eastAsiaTheme="minorEastAsia"/>
          <w:sz w:val="24"/>
          <w:szCs w:val="24"/>
        </w:rPr>
      </w:pPr>
      <w:r w:rsidRPr="00711E43">
        <w:rPr>
          <w:rFonts w:eastAsiaTheme="minorEastAsia"/>
          <w:sz w:val="24"/>
          <w:szCs w:val="24"/>
        </w:rPr>
        <w:t xml:space="preserve">Where </w:t>
      </w:r>
      <m:oMath>
        <m:r>
          <w:rPr>
            <w:rFonts w:ascii="Cambria Math" w:eastAsiaTheme="minorEastAsia" w:hAnsi="Cambria Math"/>
            <w:sz w:val="24"/>
            <w:szCs w:val="24"/>
          </w:rPr>
          <m:t>0≤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vertAlign w:val="subscript"/>
              </w:rPr>
              <m:t>θ</m:t>
            </m:r>
          </m:e>
          <m:sub>
            <m:r>
              <w:rPr>
                <w:rFonts w:ascii="Cambria Math" w:hAnsi="Cambria Math"/>
                <w:sz w:val="24"/>
                <w:szCs w:val="24"/>
                <w:vertAlign w:val="subscript"/>
              </w:rPr>
              <m:t>1</m:t>
            </m:r>
          </m:sub>
        </m:sSub>
        <m:r>
          <w:rPr>
            <w:rFonts w:ascii="Cambria Math" w:hAnsi="Cambria Math"/>
            <w:sz w:val="24"/>
            <w:szCs w:val="24"/>
            <w:vertAlign w:val="subscript"/>
          </w:rPr>
          <m:t xml:space="preserve">≤1, 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vertAlign w:val="subscript"/>
              </w:rPr>
              <m:t>θ</m:t>
            </m:r>
          </m:e>
          <m:sub>
            <m:r>
              <w:rPr>
                <w:rFonts w:ascii="Cambria Math" w:hAnsi="Cambria Math"/>
                <w:sz w:val="24"/>
                <w:szCs w:val="24"/>
                <w:vertAlign w:val="subscript"/>
              </w:rPr>
              <m:t>2</m:t>
            </m:r>
          </m:sub>
        </m:sSub>
        <m:r>
          <w:rPr>
            <w:rFonts w:ascii="Cambria Math" w:hAnsi="Cambria Math"/>
            <w:sz w:val="24"/>
            <w:szCs w:val="24"/>
            <w:vertAlign w:val="subscript"/>
          </w:rPr>
          <m:t>&lt;0</m:t>
        </m:r>
      </m:oMath>
      <w:r w:rsidRPr="000C2CD2">
        <w:rPr>
          <w:rFonts w:eastAsiaTheme="minorEastAsia"/>
          <w:sz w:val="24"/>
          <w:szCs w:val="24"/>
          <w:vertAlign w:val="subscript"/>
        </w:rPr>
        <w:t xml:space="preserve">. </w:t>
      </w:r>
      <w:r w:rsidR="00711E43">
        <w:rPr>
          <w:rFonts w:eastAsiaTheme="minorEastAsia"/>
          <w:sz w:val="24"/>
          <w:szCs w:val="24"/>
        </w:rPr>
        <w:t xml:space="preserve"> </w:t>
      </w:r>
    </w:p>
    <w:p w14:paraId="2EB60536" w14:textId="7E37588B" w:rsidR="00711E43" w:rsidRPr="00711E43" w:rsidRDefault="00711E43" w:rsidP="000F23CF">
      <w:pPr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It is also possible that autocorrelation may be better described by a bi-exponential function, with a relatively rapid initial decline of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vertAlign w:val="subscript"/>
              </w:rPr>
              <m:t>corε</m:t>
            </m:r>
          </m:e>
          <m:sub>
            <m:r>
              <w:rPr>
                <w:rFonts w:ascii="Cambria Math" w:hAnsi="Cambria Math"/>
                <w:sz w:val="24"/>
                <w:szCs w:val="24"/>
                <w:vertAlign w:val="subscript"/>
              </w:rPr>
              <m:t>j,k</m:t>
            </m:r>
          </m:sub>
        </m:sSub>
      </m:oMath>
      <w:r>
        <w:rPr>
          <w:rFonts w:eastAsiaTheme="minorEastAsia"/>
          <w:sz w:val="24"/>
          <w:szCs w:val="24"/>
        </w:rPr>
        <w:t xml:space="preserve">, followed by a slower decline towards 0 with increasing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vertAlign w:val="subscript"/>
              </w:rPr>
              <m:t>t</m:t>
            </m:r>
          </m:e>
          <m:sub>
            <m:r>
              <w:rPr>
                <w:rFonts w:ascii="Cambria Math" w:hAnsi="Cambria Math"/>
                <w:sz w:val="24"/>
                <w:szCs w:val="24"/>
                <w:vertAlign w:val="subscript"/>
              </w:rPr>
              <m:t>j</m:t>
            </m:r>
          </m:sub>
        </m:sSub>
        <m:sSub>
          <m:sSub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vertAlign w:val="subscript"/>
              </w:rPr>
              <m:t>-t</m:t>
            </m:r>
          </m:e>
          <m:sub>
            <m:r>
              <w:rPr>
                <w:rFonts w:ascii="Cambria Math" w:hAnsi="Cambria Math"/>
                <w:sz w:val="24"/>
                <w:szCs w:val="24"/>
                <w:vertAlign w:val="subscript"/>
              </w:rPr>
              <m:t>k</m:t>
            </m:r>
          </m:sub>
        </m:sSub>
      </m:oMath>
      <w:r>
        <w:rPr>
          <w:rFonts w:eastAsiaTheme="minorEastAsia"/>
          <w:sz w:val="24"/>
          <w:szCs w:val="24"/>
        </w:rPr>
        <w:t>:</w:t>
      </w:r>
    </w:p>
    <w:p w14:paraId="26A5686C" w14:textId="77777777" w:rsidR="00711E43" w:rsidRPr="00711E43" w:rsidRDefault="00711E43" w:rsidP="000F23CF">
      <w:pPr>
        <w:jc w:val="both"/>
        <w:rPr>
          <w:rFonts w:eastAsiaTheme="minorEastAsia"/>
          <w:sz w:val="24"/>
          <w:szCs w:val="24"/>
        </w:rPr>
      </w:pPr>
    </w:p>
    <w:p w14:paraId="6514C6EF" w14:textId="19F76668" w:rsidR="00805485" w:rsidRPr="000C2CD2" w:rsidRDefault="00692C35" w:rsidP="00805485">
      <w:pPr>
        <w:jc w:val="both"/>
        <w:rPr>
          <w:rFonts w:eastAsiaTheme="minorEastAsia"/>
          <w:sz w:val="24"/>
          <w:szCs w:val="24"/>
          <w:vertAlign w:val="subscript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  <w:vertAlign w:val="subscript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  <w:vertAlign w:val="subscript"/>
                </w:rPr>
                <m:t>corε</m:t>
              </m:r>
            </m:e>
            <m:sub>
              <m:r>
                <w:rPr>
                  <w:rFonts w:ascii="Cambria Math" w:hAnsi="Cambria Math"/>
                  <w:sz w:val="24"/>
                  <w:szCs w:val="24"/>
                  <w:vertAlign w:val="subscript"/>
                </w:rPr>
                <m:t>j,k</m:t>
              </m:r>
            </m:sub>
          </m:sSub>
          <m:r>
            <w:rPr>
              <w:rFonts w:ascii="Cambria Math" w:hAnsi="Cambria Math"/>
              <w:sz w:val="24"/>
              <w:szCs w:val="24"/>
              <w:vertAlign w:val="subscript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  <w:vertAlign w:val="subscript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  <w:vertAlign w:val="subscript"/>
                </w:rPr>
                <m:t>θ</m:t>
              </m:r>
            </m:e>
            <m:sub>
              <m:r>
                <w:rPr>
                  <w:rFonts w:ascii="Cambria Math" w:hAnsi="Cambria Math"/>
                  <w:sz w:val="24"/>
                  <w:szCs w:val="24"/>
                  <w:vertAlign w:val="subscript"/>
                </w:rPr>
                <m:t>1</m:t>
              </m:r>
            </m:sub>
          </m:sSub>
          <m:r>
            <w:rPr>
              <w:rFonts w:ascii="Cambria Math" w:hAnsi="Cambria Math"/>
              <w:sz w:val="24"/>
              <w:szCs w:val="24"/>
              <w:vertAlign w:val="subscript"/>
            </w:rPr>
            <m:t>×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  <w:vertAlign w:val="subscript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  <w:vertAlign w:val="subscript"/>
                </w:rPr>
                <m:t>e</m:t>
              </m:r>
            </m:e>
            <m:sup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vertAlign w:val="subscript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vertAlign w:val="subscript"/>
                    </w:rPr>
                    <m:t>θ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vertAlign w:val="subscript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  <w:vertAlign w:val="subscript"/>
                </w:rPr>
                <m:t xml:space="preserve"> ×(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vertAlign w:val="subscript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vertAlign w:val="subscript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vertAlign w:val="subscript"/>
                    </w:rPr>
                    <m:t>j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vertAlign w:val="subscript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vertAlign w:val="subscript"/>
                    </w:rPr>
                    <m:t>-t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vertAlign w:val="subscript"/>
                    </w:rPr>
                    <m:t>k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  <w:vertAlign w:val="subscript"/>
                </w:rPr>
                <m:t>)</m:t>
              </m:r>
            </m:sup>
          </m:sSup>
          <m:r>
            <w:rPr>
              <w:rFonts w:ascii="Cambria Math" w:hAnsi="Cambria Math"/>
              <w:sz w:val="24"/>
              <w:szCs w:val="24"/>
              <w:vertAlign w:val="subscript"/>
            </w:rPr>
            <m:t>+(1-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  <w:vertAlign w:val="subscript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  <w:vertAlign w:val="subscript"/>
                </w:rPr>
                <m:t>θ</m:t>
              </m:r>
            </m:e>
            <m:sub>
              <m:r>
                <w:rPr>
                  <w:rFonts w:ascii="Cambria Math" w:hAnsi="Cambria Math"/>
                  <w:sz w:val="24"/>
                  <w:szCs w:val="24"/>
                  <w:vertAlign w:val="subscript"/>
                </w:rPr>
                <m:t>1</m:t>
              </m:r>
            </m:sub>
          </m:sSub>
          <m:r>
            <w:rPr>
              <w:rFonts w:ascii="Cambria Math" w:hAnsi="Cambria Math"/>
              <w:sz w:val="24"/>
              <w:szCs w:val="24"/>
              <w:vertAlign w:val="subscript"/>
            </w:rPr>
            <m:t>)×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  <w:vertAlign w:val="subscript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  <w:vertAlign w:val="subscript"/>
                </w:rPr>
                <m:t>e</m:t>
              </m:r>
            </m:e>
            <m:sup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vertAlign w:val="subscript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vertAlign w:val="subscript"/>
                    </w:rPr>
                    <m:t>θ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vertAlign w:val="subscript"/>
                    </w:rPr>
                    <m:t>3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  <w:vertAlign w:val="subscript"/>
                </w:rPr>
                <m:t xml:space="preserve"> ×(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vertAlign w:val="subscript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vertAlign w:val="subscript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vertAlign w:val="subscript"/>
                    </w:rPr>
                    <m:t>j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vertAlign w:val="subscript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vertAlign w:val="subscript"/>
                    </w:rPr>
                    <m:t>-t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vertAlign w:val="subscript"/>
                    </w:rPr>
                    <m:t>k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  <w:vertAlign w:val="subscript"/>
                </w:rPr>
                <m:t>)</m:t>
              </m:r>
            </m:sup>
          </m:sSup>
        </m:oMath>
      </m:oMathPara>
    </w:p>
    <w:p w14:paraId="0701448D" w14:textId="57EEE999" w:rsidR="00742ADD" w:rsidRPr="000C2CD2" w:rsidRDefault="00805485" w:rsidP="00742ADD">
      <w:pPr>
        <w:jc w:val="both"/>
        <w:rPr>
          <w:rFonts w:eastAsiaTheme="minorEastAsia"/>
          <w:sz w:val="24"/>
          <w:szCs w:val="24"/>
        </w:rPr>
      </w:pPr>
      <w:r w:rsidRPr="00692C35">
        <w:rPr>
          <w:rFonts w:eastAsiaTheme="minorEastAsia"/>
          <w:sz w:val="24"/>
          <w:szCs w:val="24"/>
        </w:rPr>
        <w:t xml:space="preserve">Where </w:t>
      </w:r>
      <m:oMath>
        <m:r>
          <w:rPr>
            <w:rFonts w:ascii="Cambria Math" w:eastAsiaTheme="minorEastAsia" w:hAnsi="Cambria Math"/>
            <w:sz w:val="24"/>
            <w:szCs w:val="24"/>
          </w:rPr>
          <m:t>0≤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vertAlign w:val="subscript"/>
              </w:rPr>
              <m:t>θ</m:t>
            </m:r>
          </m:e>
          <m:sub>
            <m:r>
              <w:rPr>
                <w:rFonts w:ascii="Cambria Math" w:hAnsi="Cambria Math"/>
                <w:sz w:val="24"/>
                <w:szCs w:val="24"/>
                <w:vertAlign w:val="subscript"/>
              </w:rPr>
              <m:t>1</m:t>
            </m:r>
          </m:sub>
        </m:sSub>
        <m:r>
          <w:rPr>
            <w:rFonts w:ascii="Cambria Math" w:hAnsi="Cambria Math"/>
            <w:sz w:val="24"/>
            <w:szCs w:val="24"/>
            <w:vertAlign w:val="subscript"/>
          </w:rPr>
          <m:t xml:space="preserve">≤1, 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vertAlign w:val="subscript"/>
              </w:rPr>
              <m:t>θ</m:t>
            </m:r>
          </m:e>
          <m:sub>
            <m:r>
              <w:rPr>
                <w:rFonts w:ascii="Cambria Math" w:hAnsi="Cambria Math"/>
                <w:sz w:val="24"/>
                <w:szCs w:val="24"/>
                <w:vertAlign w:val="subscript"/>
              </w:rPr>
              <m:t>2</m:t>
            </m:r>
          </m:sub>
        </m:sSub>
        <m:r>
          <w:rPr>
            <w:rFonts w:ascii="Cambria Math" w:hAnsi="Cambria Math"/>
            <w:sz w:val="24"/>
            <w:szCs w:val="24"/>
            <w:vertAlign w:val="subscript"/>
          </w:rPr>
          <m:t xml:space="preserve">&lt;0, 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vertAlign w:val="subscript"/>
              </w:rPr>
              <m:t>θ</m:t>
            </m:r>
          </m:e>
          <m:sub>
            <m:r>
              <w:rPr>
                <w:rFonts w:ascii="Cambria Math" w:hAnsi="Cambria Math"/>
                <w:sz w:val="24"/>
                <w:szCs w:val="24"/>
                <w:vertAlign w:val="subscript"/>
              </w:rPr>
              <m:t>3</m:t>
            </m:r>
          </m:sub>
        </m:sSub>
        <m:r>
          <w:rPr>
            <w:rFonts w:ascii="Cambria Math" w:hAnsi="Cambria Math"/>
            <w:sz w:val="24"/>
            <w:szCs w:val="24"/>
            <w:vertAlign w:val="subscript"/>
          </w:rPr>
          <m:t>&lt;0</m:t>
        </m:r>
      </m:oMath>
      <w:r w:rsidRPr="000C2CD2">
        <w:rPr>
          <w:rFonts w:eastAsiaTheme="minorEastAsia"/>
          <w:sz w:val="24"/>
          <w:szCs w:val="24"/>
          <w:vertAlign w:val="subscript"/>
        </w:rPr>
        <w:t xml:space="preserve">. </w:t>
      </w:r>
      <w:r w:rsidR="00F4787D" w:rsidRPr="000C2CD2">
        <w:rPr>
          <w:rFonts w:eastAsiaTheme="minorEastAsia"/>
          <w:sz w:val="24"/>
          <w:szCs w:val="24"/>
        </w:rPr>
        <w:t xml:space="preserve"> </w:t>
      </w:r>
    </w:p>
    <w:p w14:paraId="12C7591D" w14:textId="4E49DD24" w:rsidR="00805485" w:rsidRDefault="00711E43" w:rsidP="00742ADD">
      <w:pPr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Similar behaviours can also be implemented without using an exponential function, such as the three functions below. </w:t>
      </w:r>
    </w:p>
    <w:p w14:paraId="1569C797" w14:textId="5B24D090" w:rsidR="00805485" w:rsidRPr="000C2CD2" w:rsidRDefault="00692C35" w:rsidP="009E26EF">
      <w:pPr>
        <w:jc w:val="center"/>
        <w:rPr>
          <w:rFonts w:eastAsiaTheme="minorEastAsia"/>
          <w:sz w:val="24"/>
          <w:szCs w:val="24"/>
          <w:vertAlign w:val="subscript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  <w:vertAlign w:val="subscript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  <w:vertAlign w:val="subscript"/>
                </w:rPr>
                <m:t>corε</m:t>
              </m:r>
            </m:e>
            <m:sub>
              <m:r>
                <w:rPr>
                  <w:rFonts w:ascii="Cambria Math" w:hAnsi="Cambria Math"/>
                  <w:sz w:val="24"/>
                  <w:szCs w:val="24"/>
                  <w:vertAlign w:val="subscript"/>
                </w:rPr>
                <m:t>j,k</m:t>
              </m:r>
            </m:sub>
          </m:sSub>
          <m:r>
            <w:rPr>
              <w:rFonts w:ascii="Cambria Math" w:hAnsi="Cambria Math"/>
              <w:sz w:val="24"/>
              <w:szCs w:val="24"/>
              <w:vertAlign w:val="subscript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  <w:vertAlign w:val="subscript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  <w:vertAlign w:val="subscript"/>
                </w:rPr>
                <m:t>1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  <w:vertAlign w:val="subscript"/>
                </w:rPr>
                <m:t>1+ θ ×(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vertAlign w:val="subscript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vertAlign w:val="subscript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vertAlign w:val="subscript"/>
                    </w:rPr>
                    <m:t>j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vertAlign w:val="subscript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vertAlign w:val="subscript"/>
                    </w:rPr>
                    <m:t>-t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vertAlign w:val="subscript"/>
                    </w:rPr>
                    <m:t>k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  <w:vertAlign w:val="subscript"/>
                </w:rPr>
                <m:t>)</m:t>
              </m:r>
            </m:den>
          </m:f>
        </m:oMath>
      </m:oMathPara>
    </w:p>
    <w:p w14:paraId="161A9AC3" w14:textId="3B12856A" w:rsidR="00805485" w:rsidRPr="000C2CD2" w:rsidRDefault="00805485" w:rsidP="00805485">
      <w:pPr>
        <w:jc w:val="both"/>
        <w:rPr>
          <w:rFonts w:eastAsiaTheme="minorEastAsia"/>
          <w:sz w:val="24"/>
          <w:szCs w:val="24"/>
          <w:vertAlign w:val="subscript"/>
        </w:rPr>
      </w:pPr>
      <w:r w:rsidRPr="000C2CD2">
        <w:rPr>
          <w:rFonts w:eastAsiaTheme="minorEastAsia"/>
          <w:sz w:val="24"/>
          <w:szCs w:val="24"/>
          <w:lang w:val="nl-NL"/>
        </w:rPr>
        <w:t xml:space="preserve">Where </w:t>
      </w:r>
      <m:oMath>
        <m:r>
          <w:rPr>
            <w:rFonts w:ascii="Cambria Math" w:hAnsi="Cambria Math"/>
            <w:sz w:val="24"/>
            <w:szCs w:val="24"/>
            <w:vertAlign w:val="subscript"/>
          </w:rPr>
          <m:t>θ</m:t>
        </m:r>
        <m:r>
          <m:rPr>
            <m:sty m:val="p"/>
          </m:rPr>
          <w:rPr>
            <w:rFonts w:ascii="Cambria Math" w:eastAsiaTheme="minorEastAsia" w:hAnsi="Cambria Math"/>
            <w:sz w:val="24"/>
            <w:szCs w:val="24"/>
            <w:vertAlign w:val="subscript"/>
          </w:rPr>
          <m:t>&gt;0</m:t>
        </m:r>
      </m:oMath>
      <w:r w:rsidRPr="000C2CD2">
        <w:rPr>
          <w:rFonts w:eastAsiaTheme="minorEastAsia"/>
          <w:sz w:val="24"/>
          <w:szCs w:val="24"/>
          <w:vertAlign w:val="subscript"/>
        </w:rPr>
        <w:t>.</w:t>
      </w:r>
    </w:p>
    <w:p w14:paraId="1B012C49" w14:textId="1DF21BA4" w:rsidR="00805485" w:rsidRPr="000C2CD2" w:rsidRDefault="00692C35" w:rsidP="00805485">
      <w:pPr>
        <w:jc w:val="both"/>
        <w:rPr>
          <w:rFonts w:eastAsiaTheme="minorEastAsia"/>
          <w:sz w:val="24"/>
          <w:szCs w:val="24"/>
          <w:vertAlign w:val="subscript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  <w:vertAlign w:val="subscript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  <w:vertAlign w:val="subscript"/>
                </w:rPr>
                <m:t>corε</m:t>
              </m:r>
            </m:e>
            <m:sub>
              <m:r>
                <w:rPr>
                  <w:rFonts w:ascii="Cambria Math" w:hAnsi="Cambria Math"/>
                  <w:sz w:val="24"/>
                  <w:szCs w:val="24"/>
                  <w:vertAlign w:val="subscript"/>
                </w:rPr>
                <m:t>j,k</m:t>
              </m:r>
            </m:sub>
          </m:sSub>
          <m:r>
            <w:rPr>
              <w:rFonts w:ascii="Cambria Math" w:hAnsi="Cambria Math"/>
              <w:sz w:val="24"/>
              <w:szCs w:val="24"/>
              <w:vertAlign w:val="subscript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  <w:vertAlign w:val="subscript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vertAlign w:val="subscript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vertAlign w:val="subscript"/>
                    </w:rPr>
                    <m:t>θ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vertAlign w:val="subscript"/>
                    </w:rPr>
                    <m:t>1</m:t>
                  </m:r>
                </m:sub>
              </m:sSub>
            </m:num>
            <m:den>
              <m:r>
                <w:rPr>
                  <w:rFonts w:ascii="Cambria Math" w:hAnsi="Cambria Math"/>
                  <w:sz w:val="24"/>
                  <w:szCs w:val="24"/>
                  <w:vertAlign w:val="subscript"/>
                </w:rPr>
                <m:t xml:space="preserve">1+ 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vertAlign w:val="subscript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vertAlign w:val="subscript"/>
                    </w:rPr>
                    <m:t>θ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vertAlign w:val="subscript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  <w:vertAlign w:val="subscript"/>
                </w:rPr>
                <m:t xml:space="preserve"> ×(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vertAlign w:val="subscript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vertAlign w:val="subscript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vertAlign w:val="subscript"/>
                    </w:rPr>
                    <m:t>j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vertAlign w:val="subscript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vertAlign w:val="subscript"/>
                    </w:rPr>
                    <m:t>-t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vertAlign w:val="subscript"/>
                    </w:rPr>
                    <m:t>k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  <w:vertAlign w:val="subscript"/>
                </w:rPr>
                <m:t>)</m:t>
              </m:r>
            </m:den>
          </m:f>
        </m:oMath>
      </m:oMathPara>
    </w:p>
    <w:p w14:paraId="170CA3E5" w14:textId="04170ED7" w:rsidR="00805485" w:rsidRPr="000C2CD2" w:rsidRDefault="00805485" w:rsidP="00805485">
      <w:pPr>
        <w:jc w:val="both"/>
        <w:rPr>
          <w:rFonts w:eastAsiaTheme="minorEastAsia"/>
          <w:sz w:val="24"/>
          <w:szCs w:val="24"/>
          <w:vertAlign w:val="subscript"/>
        </w:rPr>
      </w:pPr>
      <w:r w:rsidRPr="000C2CD2">
        <w:rPr>
          <w:rFonts w:eastAsiaTheme="minorEastAsia"/>
          <w:sz w:val="24"/>
          <w:szCs w:val="24"/>
          <w:lang w:val="nl-NL"/>
        </w:rPr>
        <w:t xml:space="preserve">Where </w:t>
      </w:r>
      <m:oMath>
        <m:r>
          <w:rPr>
            <w:rFonts w:ascii="Cambria Math" w:eastAsiaTheme="minorEastAsia" w:hAnsi="Cambria Math"/>
            <w:sz w:val="24"/>
            <w:szCs w:val="24"/>
            <w:lang w:val="nl-NL"/>
          </w:rPr>
          <m:t>0≤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vertAlign w:val="subscript"/>
              </w:rPr>
              <m:t>θ</m:t>
            </m:r>
          </m:e>
          <m:sub>
            <m:r>
              <w:rPr>
                <w:rFonts w:ascii="Cambria Math" w:hAnsi="Cambria Math"/>
                <w:sz w:val="24"/>
                <w:szCs w:val="24"/>
                <w:vertAlign w:val="subscript"/>
              </w:rPr>
              <m:t>1</m:t>
            </m:r>
          </m:sub>
        </m:sSub>
        <m:r>
          <w:rPr>
            <w:rFonts w:ascii="Cambria Math" w:hAnsi="Cambria Math"/>
            <w:sz w:val="24"/>
            <w:szCs w:val="24"/>
            <w:vertAlign w:val="subscript"/>
          </w:rPr>
          <m:t xml:space="preserve">≤1, 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vertAlign w:val="subscript"/>
              </w:rPr>
              <m:t>θ</m:t>
            </m:r>
          </m:e>
          <m:sub>
            <m:r>
              <w:rPr>
                <w:rFonts w:ascii="Cambria Math" w:hAnsi="Cambria Math"/>
                <w:sz w:val="24"/>
                <w:szCs w:val="24"/>
                <w:vertAlign w:val="subscript"/>
              </w:rPr>
              <m:t>2</m:t>
            </m:r>
          </m:sub>
        </m:sSub>
        <m:r>
          <w:rPr>
            <w:rFonts w:ascii="Cambria Math" w:hAnsi="Cambria Math"/>
            <w:sz w:val="24"/>
            <w:szCs w:val="24"/>
            <w:vertAlign w:val="subscript"/>
          </w:rPr>
          <m:t>&gt;0</m:t>
        </m:r>
      </m:oMath>
      <w:r w:rsidRPr="000C2CD2">
        <w:rPr>
          <w:rFonts w:eastAsiaTheme="minorEastAsia"/>
          <w:sz w:val="24"/>
          <w:szCs w:val="24"/>
          <w:vertAlign w:val="subscript"/>
        </w:rPr>
        <w:t xml:space="preserve">. </w:t>
      </w:r>
    </w:p>
    <w:p w14:paraId="21F3D6ED" w14:textId="39F0B385" w:rsidR="00805485" w:rsidRPr="000C2CD2" w:rsidRDefault="00692C35" w:rsidP="00805485">
      <w:pPr>
        <w:jc w:val="both"/>
        <w:rPr>
          <w:rFonts w:eastAsiaTheme="minorEastAsia"/>
          <w:sz w:val="24"/>
          <w:szCs w:val="24"/>
          <w:vertAlign w:val="subscript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  <w:vertAlign w:val="subscript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  <w:vertAlign w:val="subscript"/>
                </w:rPr>
                <m:t>corε</m:t>
              </m:r>
            </m:e>
            <m:sub>
              <m:r>
                <w:rPr>
                  <w:rFonts w:ascii="Cambria Math" w:hAnsi="Cambria Math"/>
                  <w:sz w:val="24"/>
                  <w:szCs w:val="24"/>
                  <w:vertAlign w:val="subscript"/>
                </w:rPr>
                <m:t>j,k</m:t>
              </m:r>
            </m:sub>
          </m:sSub>
          <m:r>
            <w:rPr>
              <w:rFonts w:ascii="Cambria Math" w:hAnsi="Cambria Math"/>
              <w:sz w:val="24"/>
              <w:szCs w:val="24"/>
              <w:vertAlign w:val="subscript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  <w:vertAlign w:val="subscript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vertAlign w:val="subscript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vertAlign w:val="subscript"/>
                    </w:rPr>
                    <m:t>θ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vertAlign w:val="subscript"/>
                    </w:rPr>
                    <m:t>1</m:t>
                  </m:r>
                </m:sub>
              </m:sSub>
            </m:num>
            <m:den>
              <m:r>
                <w:rPr>
                  <w:rFonts w:ascii="Cambria Math" w:hAnsi="Cambria Math"/>
                  <w:sz w:val="24"/>
                  <w:szCs w:val="24"/>
                  <w:vertAlign w:val="subscript"/>
                </w:rPr>
                <m:t xml:space="preserve">1+ 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vertAlign w:val="subscript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vertAlign w:val="subscript"/>
                    </w:rPr>
                    <m:t>θ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vertAlign w:val="subscript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  <w:vertAlign w:val="subscript"/>
                </w:rPr>
                <m:t xml:space="preserve"> ×(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vertAlign w:val="subscript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vertAlign w:val="subscript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vertAlign w:val="subscript"/>
                    </w:rPr>
                    <m:t>j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vertAlign w:val="subscript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vertAlign w:val="subscript"/>
                    </w:rPr>
                    <m:t>-t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vertAlign w:val="subscript"/>
                    </w:rPr>
                    <m:t>k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  <w:vertAlign w:val="subscript"/>
                </w:rPr>
                <m:t>)</m:t>
              </m:r>
            </m:den>
          </m:f>
          <m:r>
            <w:rPr>
              <w:rFonts w:ascii="Cambria Math" w:hAnsi="Cambria Math"/>
              <w:sz w:val="24"/>
              <w:szCs w:val="24"/>
              <w:vertAlign w:val="subscript"/>
            </w:rPr>
            <m:t xml:space="preserve">+ 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  <w:vertAlign w:val="subscript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  <w:vertAlign w:val="subscript"/>
                </w:rPr>
                <m:t>1-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vertAlign w:val="subscript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vertAlign w:val="subscript"/>
                    </w:rPr>
                    <m:t>θ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vertAlign w:val="subscript"/>
                    </w:rPr>
                    <m:t>1</m:t>
                  </m:r>
                </m:sub>
              </m:sSub>
            </m:num>
            <m:den>
              <m:r>
                <w:rPr>
                  <w:rFonts w:ascii="Cambria Math" w:hAnsi="Cambria Math"/>
                  <w:sz w:val="24"/>
                  <w:szCs w:val="24"/>
                  <w:vertAlign w:val="subscript"/>
                </w:rPr>
                <m:t xml:space="preserve">1+ 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vertAlign w:val="subscript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vertAlign w:val="subscript"/>
                    </w:rPr>
                    <m:t>θ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vertAlign w:val="subscript"/>
                    </w:rPr>
                    <m:t>3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  <w:vertAlign w:val="subscript"/>
                </w:rPr>
                <m:t xml:space="preserve"> ×(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vertAlign w:val="subscript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vertAlign w:val="subscript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vertAlign w:val="subscript"/>
                    </w:rPr>
                    <m:t>j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vertAlign w:val="subscript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vertAlign w:val="subscript"/>
                    </w:rPr>
                    <m:t>-t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vertAlign w:val="subscript"/>
                    </w:rPr>
                    <m:t>k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  <w:vertAlign w:val="subscript"/>
                </w:rPr>
                <m:t>)</m:t>
              </m:r>
            </m:den>
          </m:f>
          <m:r>
            <w:rPr>
              <w:rFonts w:ascii="Cambria Math" w:hAnsi="Cambria Math"/>
              <w:sz w:val="24"/>
              <w:szCs w:val="24"/>
              <w:vertAlign w:val="subscript"/>
            </w:rPr>
            <m:t xml:space="preserve"> </m:t>
          </m:r>
        </m:oMath>
      </m:oMathPara>
    </w:p>
    <w:p w14:paraId="22891366" w14:textId="187F6546" w:rsidR="00805485" w:rsidRPr="000C2CD2" w:rsidRDefault="00805485" w:rsidP="00805485">
      <w:pPr>
        <w:jc w:val="both"/>
        <w:rPr>
          <w:rFonts w:eastAsiaTheme="minorEastAsia"/>
          <w:sz w:val="24"/>
          <w:szCs w:val="24"/>
          <w:vertAlign w:val="subscript"/>
        </w:rPr>
      </w:pPr>
      <w:r w:rsidRPr="005460E7">
        <w:rPr>
          <w:rFonts w:eastAsiaTheme="minorEastAsia"/>
          <w:sz w:val="24"/>
          <w:szCs w:val="24"/>
        </w:rPr>
        <w:t xml:space="preserve">Where </w:t>
      </w:r>
      <m:oMath>
        <m:r>
          <w:rPr>
            <w:rFonts w:ascii="Cambria Math" w:eastAsiaTheme="minorEastAsia" w:hAnsi="Cambria Math"/>
            <w:sz w:val="24"/>
            <w:szCs w:val="24"/>
          </w:rPr>
          <m:t>0≤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vertAlign w:val="subscript"/>
              </w:rPr>
              <m:t>θ</m:t>
            </m:r>
          </m:e>
          <m:sub>
            <m:r>
              <w:rPr>
                <w:rFonts w:ascii="Cambria Math" w:hAnsi="Cambria Math"/>
                <w:sz w:val="24"/>
                <w:szCs w:val="24"/>
                <w:vertAlign w:val="subscript"/>
              </w:rPr>
              <m:t>1</m:t>
            </m:r>
          </m:sub>
        </m:sSub>
        <m:r>
          <w:rPr>
            <w:rFonts w:ascii="Cambria Math" w:hAnsi="Cambria Math"/>
            <w:sz w:val="24"/>
            <w:szCs w:val="24"/>
            <w:vertAlign w:val="subscript"/>
          </w:rPr>
          <m:t xml:space="preserve">≤1, 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vertAlign w:val="subscript"/>
              </w:rPr>
              <m:t>θ</m:t>
            </m:r>
          </m:e>
          <m:sub>
            <m:r>
              <w:rPr>
                <w:rFonts w:ascii="Cambria Math" w:hAnsi="Cambria Math"/>
                <w:sz w:val="24"/>
                <w:szCs w:val="24"/>
                <w:vertAlign w:val="subscript"/>
              </w:rPr>
              <m:t>2</m:t>
            </m:r>
          </m:sub>
        </m:sSub>
        <m:r>
          <w:rPr>
            <w:rFonts w:ascii="Cambria Math" w:hAnsi="Cambria Math"/>
            <w:sz w:val="24"/>
            <w:szCs w:val="24"/>
            <w:vertAlign w:val="subscript"/>
          </w:rPr>
          <m:t xml:space="preserve">&gt;0, 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  <w:vertAlign w:val="subscript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vertAlign w:val="subscript"/>
              </w:rPr>
              <m:t>θ</m:t>
            </m:r>
          </m:e>
          <m:sub>
            <m:r>
              <w:rPr>
                <w:rFonts w:ascii="Cambria Math" w:hAnsi="Cambria Math"/>
                <w:sz w:val="24"/>
                <w:szCs w:val="24"/>
                <w:vertAlign w:val="subscript"/>
              </w:rPr>
              <m:t>3</m:t>
            </m:r>
          </m:sub>
        </m:sSub>
        <m:r>
          <w:rPr>
            <w:rFonts w:ascii="Cambria Math" w:hAnsi="Cambria Math"/>
            <w:sz w:val="24"/>
            <w:szCs w:val="24"/>
            <w:vertAlign w:val="subscript"/>
          </w:rPr>
          <m:t>&gt;0</m:t>
        </m:r>
      </m:oMath>
      <w:r w:rsidRPr="000C2CD2">
        <w:rPr>
          <w:rFonts w:eastAsiaTheme="minorEastAsia"/>
          <w:sz w:val="24"/>
          <w:szCs w:val="24"/>
          <w:vertAlign w:val="subscript"/>
        </w:rPr>
        <w:t xml:space="preserve">. </w:t>
      </w:r>
    </w:p>
    <w:p w14:paraId="6563480B" w14:textId="5C360819" w:rsidR="00711E43" w:rsidRPr="000C2CD2" w:rsidRDefault="005460E7" w:rsidP="00805485">
      <w:pPr>
        <w:jc w:val="both"/>
        <w:rPr>
          <w:rFonts w:eastAsiaTheme="minorEastAsia"/>
          <w:sz w:val="24"/>
          <w:szCs w:val="24"/>
          <w:vertAlign w:val="subscript"/>
        </w:rPr>
      </w:pPr>
      <w:r>
        <w:rPr>
          <w:rFonts w:eastAsiaTheme="minorEastAsia"/>
          <w:sz w:val="24"/>
          <w:szCs w:val="24"/>
        </w:rPr>
        <w:t xml:space="preserve">The proposed equations above are intended as a non-exhaustive source of inspiration to the reader, and one may consider different equations to be more appropriate </w:t>
      </w:r>
      <w:r w:rsidR="006F6BDD">
        <w:rPr>
          <w:rFonts w:eastAsiaTheme="minorEastAsia"/>
          <w:sz w:val="24"/>
          <w:szCs w:val="24"/>
        </w:rPr>
        <w:t>for specific analyses</w:t>
      </w:r>
      <w:r>
        <w:rPr>
          <w:rFonts w:eastAsiaTheme="minorEastAsia"/>
          <w:sz w:val="24"/>
          <w:szCs w:val="24"/>
        </w:rPr>
        <w:t>.</w:t>
      </w:r>
    </w:p>
    <w:p w14:paraId="6CD06484" w14:textId="77777777" w:rsidR="005A58E1" w:rsidRPr="000C2CD2" w:rsidRDefault="005A58E1" w:rsidP="00805485">
      <w:pPr>
        <w:jc w:val="both"/>
        <w:rPr>
          <w:rFonts w:eastAsiaTheme="minorEastAsia"/>
          <w:sz w:val="24"/>
          <w:szCs w:val="24"/>
          <w:vertAlign w:val="subscript"/>
        </w:rPr>
      </w:pPr>
    </w:p>
    <w:p w14:paraId="3718938F" w14:textId="79948565" w:rsidR="005A58E1" w:rsidRPr="000C2CD2" w:rsidRDefault="005A58E1" w:rsidP="00805485">
      <w:pPr>
        <w:jc w:val="both"/>
        <w:rPr>
          <w:rFonts w:eastAsiaTheme="minorEastAsia"/>
          <w:b/>
          <w:bCs/>
          <w:sz w:val="24"/>
          <w:szCs w:val="24"/>
        </w:rPr>
      </w:pPr>
      <w:r w:rsidRPr="000C2CD2">
        <w:rPr>
          <w:rFonts w:eastAsiaTheme="minorEastAsia"/>
          <w:b/>
          <w:bCs/>
          <w:sz w:val="24"/>
          <w:szCs w:val="24"/>
        </w:rPr>
        <w:t>References</w:t>
      </w:r>
    </w:p>
    <w:p w14:paraId="4DE9979A" w14:textId="6B464F5B" w:rsidR="00805485" w:rsidRPr="000C2CD2" w:rsidRDefault="005A58E1" w:rsidP="005A58E1">
      <w:pPr>
        <w:pStyle w:val="ListParagraph"/>
        <w:numPr>
          <w:ilvl w:val="0"/>
          <w:numId w:val="1"/>
        </w:numPr>
        <w:jc w:val="both"/>
        <w:rPr>
          <w:rFonts w:eastAsiaTheme="minorEastAsia"/>
          <w:sz w:val="24"/>
          <w:szCs w:val="24"/>
        </w:rPr>
      </w:pPr>
      <w:r w:rsidRPr="000C2CD2">
        <w:rPr>
          <w:rFonts w:eastAsiaTheme="minorEastAsia"/>
          <w:sz w:val="24"/>
          <w:szCs w:val="24"/>
        </w:rPr>
        <w:t>Karlsson MO, Beal SL, Sheiner LB. Three new residual error models for population PK/PD analyses. J Pharmacokinet Biopharm. 1995;23(6):651–72.</w:t>
      </w:r>
    </w:p>
    <w:p w14:paraId="1DA67EED" w14:textId="77777777" w:rsidR="00742ADD" w:rsidRPr="000C2CD2" w:rsidRDefault="00742ADD" w:rsidP="00742ADD">
      <w:pPr>
        <w:jc w:val="both"/>
        <w:rPr>
          <w:rFonts w:eastAsiaTheme="minorEastAsia"/>
          <w:sz w:val="24"/>
          <w:szCs w:val="24"/>
        </w:rPr>
      </w:pPr>
    </w:p>
    <w:p w14:paraId="18DD1099" w14:textId="77777777" w:rsidR="00742ADD" w:rsidRPr="000C2CD2" w:rsidRDefault="00742ADD" w:rsidP="00742ADD">
      <w:pPr>
        <w:jc w:val="both"/>
        <w:rPr>
          <w:sz w:val="24"/>
          <w:szCs w:val="24"/>
          <w:vertAlign w:val="superscript"/>
        </w:rPr>
      </w:pPr>
    </w:p>
    <w:p w14:paraId="6487E493" w14:textId="2A7E9076" w:rsidR="004475A5" w:rsidRPr="000C2CD2" w:rsidRDefault="004475A5">
      <w:pPr>
        <w:rPr>
          <w:sz w:val="24"/>
          <w:szCs w:val="24"/>
        </w:rPr>
      </w:pPr>
    </w:p>
    <w:p w14:paraId="06722C0E" w14:textId="77777777" w:rsidR="004475A5" w:rsidRPr="000C2CD2" w:rsidRDefault="004475A5">
      <w:pPr>
        <w:rPr>
          <w:sz w:val="24"/>
          <w:szCs w:val="24"/>
        </w:rPr>
      </w:pPr>
    </w:p>
    <w:sectPr w:rsidR="004475A5" w:rsidRPr="000C2CD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5B4989"/>
    <w:multiLevelType w:val="hybridMultilevel"/>
    <w:tmpl w:val="0A1C2B5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80098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E14"/>
    <w:rsid w:val="000171A2"/>
    <w:rsid w:val="00027917"/>
    <w:rsid w:val="0004147B"/>
    <w:rsid w:val="000C2CD2"/>
    <w:rsid w:val="000F0E14"/>
    <w:rsid w:val="000F23CF"/>
    <w:rsid w:val="00164E1A"/>
    <w:rsid w:val="00196D0B"/>
    <w:rsid w:val="001F1529"/>
    <w:rsid w:val="00204D3F"/>
    <w:rsid w:val="002A0EEF"/>
    <w:rsid w:val="002D31AF"/>
    <w:rsid w:val="002F42E3"/>
    <w:rsid w:val="003B4898"/>
    <w:rsid w:val="004475A5"/>
    <w:rsid w:val="004E442B"/>
    <w:rsid w:val="005460E7"/>
    <w:rsid w:val="005741D4"/>
    <w:rsid w:val="005A58E1"/>
    <w:rsid w:val="005F2EE5"/>
    <w:rsid w:val="00681AE1"/>
    <w:rsid w:val="00692C35"/>
    <w:rsid w:val="006F6BDD"/>
    <w:rsid w:val="00711E43"/>
    <w:rsid w:val="00742ADD"/>
    <w:rsid w:val="007E214D"/>
    <w:rsid w:val="007E58F5"/>
    <w:rsid w:val="00805485"/>
    <w:rsid w:val="0089140A"/>
    <w:rsid w:val="008F5F4A"/>
    <w:rsid w:val="009373F6"/>
    <w:rsid w:val="009E26EF"/>
    <w:rsid w:val="009E690D"/>
    <w:rsid w:val="00A6559C"/>
    <w:rsid w:val="00AB10AF"/>
    <w:rsid w:val="00AD438F"/>
    <w:rsid w:val="00BD16FC"/>
    <w:rsid w:val="00BD482F"/>
    <w:rsid w:val="00DA3E78"/>
    <w:rsid w:val="00F4787D"/>
    <w:rsid w:val="00F8660C"/>
    <w:rsid w:val="00FC1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7CB66E"/>
  <w15:chartTrackingRefBased/>
  <w15:docId w15:val="{FFA3BA7C-BDC3-406A-B580-E38BED96D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75A5"/>
  </w:style>
  <w:style w:type="paragraph" w:styleId="Heading1">
    <w:name w:val="heading 1"/>
    <w:basedOn w:val="Normal"/>
    <w:next w:val="Normal"/>
    <w:link w:val="Heading1Char"/>
    <w:uiPriority w:val="9"/>
    <w:qFormat/>
    <w:rsid w:val="000F0E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0E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0E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0E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0E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0E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0E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0E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0E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0E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0E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0E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0E1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0E1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0E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0E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0E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0E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F0E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F0E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0E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F0E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F0E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F0E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F0E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F0E1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0E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0E1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F0E14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4475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475A5"/>
    <w:pPr>
      <w:spacing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475A5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787D"/>
    <w:rPr>
      <w:b/>
      <w:bCs/>
      <w:kern w:val="2"/>
      <w14:ligatures w14:val="standardContextu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787D"/>
    <w:rPr>
      <w:b/>
      <w:bCs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BD16FC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692C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.c.goulooze@lacdr.leidenuniv.nl" TargetMode="External"/><Relationship Id="rId5" Type="http://schemas.openxmlformats.org/officeDocument/2006/relationships/hyperlink" Target="mailto:b.goulooze@lapp.n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695</Words>
  <Characters>3964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 Goulooze</dc:creator>
  <cp:keywords/>
  <dc:description/>
  <cp:lastModifiedBy>Bas Goulooze</cp:lastModifiedBy>
  <cp:revision>3</cp:revision>
  <dcterms:created xsi:type="dcterms:W3CDTF">2025-01-16T16:19:00Z</dcterms:created>
  <dcterms:modified xsi:type="dcterms:W3CDTF">2025-01-20T08:58:00Z</dcterms:modified>
</cp:coreProperties>
</file>