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76CDC" w14:textId="77777777" w:rsidR="00BD4B9A" w:rsidRPr="00640FD1" w:rsidRDefault="00BD4B9A" w:rsidP="00BD4B9A">
      <w:pPr>
        <w:rPr>
          <w:b/>
          <w:bCs/>
          <w:sz w:val="28"/>
          <w:szCs w:val="28"/>
          <w:lang w:val="en-GB"/>
        </w:rPr>
      </w:pPr>
      <w:r w:rsidRPr="00640FD1">
        <w:rPr>
          <w:b/>
          <w:bCs/>
          <w:sz w:val="40"/>
          <w:szCs w:val="40"/>
          <w:lang w:val="en-GB"/>
        </w:rPr>
        <w:t xml:space="preserve">Machine learning predicts direct compression drug release profiles and Kinetic Parameters </w:t>
      </w:r>
    </w:p>
    <w:p w14:paraId="0C6F26C1" w14:textId="77777777" w:rsidR="005A28E8" w:rsidRDefault="005A28E8">
      <w:pPr>
        <w:rPr>
          <w:lang w:val="en-GB"/>
        </w:rPr>
      </w:pPr>
    </w:p>
    <w:p w14:paraId="6F856C15" w14:textId="6560BD1C" w:rsidR="00640FD1" w:rsidRPr="00640FD1" w:rsidRDefault="00640FD1" w:rsidP="00640FD1">
      <w:pPr>
        <w:spacing w:line="240" w:lineRule="auto"/>
        <w:jc w:val="both"/>
        <w:rPr>
          <w:rFonts w:eastAsia="Times New Roman"/>
          <w:color w:val="000000"/>
          <w:sz w:val="24"/>
          <w:szCs w:val="24"/>
          <w:lang w:val="en-GB"/>
        </w:rPr>
      </w:pPr>
      <w:r w:rsidRPr="00640FD1">
        <w:rPr>
          <w:rFonts w:eastAsia="Times New Roman"/>
          <w:color w:val="000000"/>
          <w:sz w:val="24"/>
          <w:szCs w:val="24"/>
          <w:lang w:val="en-GB"/>
        </w:rPr>
        <w:t>Chrystalla Protopapa</w:t>
      </w: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>a</w:t>
      </w:r>
      <w:r w:rsidRPr="00640FD1">
        <w:rPr>
          <w:rFonts w:eastAsia="Times New Roman"/>
          <w:color w:val="000000"/>
          <w:sz w:val="24"/>
          <w:szCs w:val="24"/>
          <w:lang w:val="en-GB"/>
        </w:rPr>
        <w:t>, Angeliki Siamidi</w:t>
      </w: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>a</w:t>
      </w:r>
      <w:r w:rsidRPr="00640FD1">
        <w:rPr>
          <w:rFonts w:eastAsia="Times New Roman"/>
          <w:color w:val="000000"/>
          <w:sz w:val="24"/>
          <w:szCs w:val="24"/>
          <w:lang w:val="en-GB"/>
        </w:rPr>
        <w:t xml:space="preserve">, </w:t>
      </w:r>
      <w:r w:rsidR="00C64CAE" w:rsidRPr="009A7F41">
        <w:rPr>
          <w:rFonts w:eastAsia="Times New Roman"/>
          <w:color w:val="000000"/>
          <w:sz w:val="24"/>
          <w:szCs w:val="24"/>
          <w:lang w:val="en-GB"/>
        </w:rPr>
        <w:t>Amelia Adibe Eneli</w:t>
      </w:r>
      <w:r w:rsidR="00C64CAE">
        <w:rPr>
          <w:rFonts w:eastAsia="Times New Roman"/>
          <w:color w:val="000000"/>
          <w:szCs w:val="24"/>
          <w:vertAlign w:val="superscript"/>
          <w:lang w:val="it-IT"/>
        </w:rPr>
        <w:t>b</w:t>
      </w:r>
      <w:r w:rsidRPr="00640FD1">
        <w:rPr>
          <w:rFonts w:eastAsia="Times New Roman"/>
          <w:color w:val="000000"/>
          <w:sz w:val="24"/>
          <w:szCs w:val="24"/>
          <w:lang w:val="en-GB"/>
        </w:rPr>
        <w:t>, Moe Elbadawi*</w:t>
      </w: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>b</w:t>
      </w:r>
      <w:r w:rsidRPr="00640FD1">
        <w:rPr>
          <w:rFonts w:eastAsia="Times New Roman"/>
          <w:color w:val="000000"/>
          <w:sz w:val="24"/>
          <w:szCs w:val="24"/>
          <w:lang w:val="en-GB"/>
        </w:rPr>
        <w:t>, Marilena Vlachou*</w:t>
      </w: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>a</w:t>
      </w:r>
    </w:p>
    <w:p w14:paraId="6C9061FB" w14:textId="77777777" w:rsidR="00640FD1" w:rsidRPr="00640FD1" w:rsidRDefault="00640FD1" w:rsidP="00640FD1">
      <w:pPr>
        <w:spacing w:line="240" w:lineRule="auto"/>
        <w:jc w:val="both"/>
        <w:rPr>
          <w:rFonts w:eastAsia="Times New Roman"/>
          <w:b/>
          <w:bCs/>
          <w:color w:val="000000"/>
          <w:sz w:val="28"/>
          <w:szCs w:val="28"/>
          <w:lang w:val="en-GB"/>
        </w:rPr>
      </w:pPr>
    </w:p>
    <w:p w14:paraId="7A0BB9DD" w14:textId="77777777" w:rsidR="00640FD1" w:rsidRPr="00640FD1" w:rsidRDefault="00640FD1" w:rsidP="00640FD1">
      <w:pPr>
        <w:spacing w:line="240" w:lineRule="auto"/>
        <w:jc w:val="both"/>
        <w:rPr>
          <w:rFonts w:eastAsia="Times New Roman"/>
          <w:color w:val="000000"/>
          <w:sz w:val="24"/>
          <w:szCs w:val="24"/>
          <w:lang w:val="en-GB"/>
        </w:rPr>
      </w:pP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>a</w:t>
      </w:r>
      <w:r w:rsidRPr="00640FD1">
        <w:rPr>
          <w:rFonts w:eastAsia="Times New Roman"/>
          <w:color w:val="000000"/>
          <w:sz w:val="24"/>
          <w:szCs w:val="24"/>
          <w:lang w:val="en-GB"/>
        </w:rPr>
        <w:t xml:space="preserve"> Section of Pharmaceutical Technology, Department of Pharmacy, National and Kapodistrian University of Athens, 157 84 Athens, Greece</w:t>
      </w:r>
    </w:p>
    <w:p w14:paraId="2EE651D7" w14:textId="329C7FD4" w:rsidR="00640FD1" w:rsidRPr="00640FD1" w:rsidRDefault="00640FD1" w:rsidP="00640FD1">
      <w:pPr>
        <w:spacing w:line="240" w:lineRule="auto"/>
        <w:jc w:val="both"/>
        <w:rPr>
          <w:rFonts w:eastAsia="Times New Roman"/>
          <w:color w:val="000000"/>
          <w:sz w:val="24"/>
          <w:szCs w:val="24"/>
          <w:highlight w:val="yellow"/>
          <w:lang w:val="en-GB"/>
        </w:rPr>
      </w:pPr>
      <w:r w:rsidRPr="00640FD1">
        <w:rPr>
          <w:rFonts w:eastAsia="Times New Roman"/>
          <w:color w:val="000000"/>
          <w:sz w:val="24"/>
          <w:szCs w:val="24"/>
          <w:vertAlign w:val="superscript"/>
          <w:lang w:val="en-GB"/>
        </w:rPr>
        <w:t xml:space="preserve">b </w:t>
      </w:r>
      <w:r w:rsidR="00131F70" w:rsidRPr="00131F70">
        <w:rPr>
          <w:rFonts w:eastAsia="Times New Roman"/>
          <w:color w:val="000000"/>
          <w:sz w:val="24"/>
          <w:szCs w:val="24"/>
          <w:lang w:val="en-GB"/>
        </w:rPr>
        <w:t>School of Biological and Behavioural Sciences, Faculty of Science and Engineering Queen Mary University of London Dept W, 81 Mile End Rd, London E1 4UJ</w:t>
      </w:r>
    </w:p>
    <w:p w14:paraId="7588294B" w14:textId="77777777" w:rsidR="00640FD1" w:rsidRPr="00640FD1" w:rsidRDefault="00640FD1" w:rsidP="00640FD1">
      <w:pPr>
        <w:spacing w:line="240" w:lineRule="auto"/>
        <w:jc w:val="both"/>
        <w:rPr>
          <w:rFonts w:eastAsia="Times New Roman"/>
          <w:b/>
          <w:bCs/>
          <w:color w:val="000000"/>
          <w:sz w:val="28"/>
          <w:szCs w:val="28"/>
          <w:lang w:val="en-GB"/>
        </w:rPr>
      </w:pPr>
    </w:p>
    <w:p w14:paraId="0D512620" w14:textId="07615A91" w:rsidR="00BD4B9A" w:rsidRDefault="009B4553">
      <w:pPr>
        <w:rPr>
          <w:lang w:val="en-GB"/>
        </w:rPr>
      </w:pPr>
      <w:r w:rsidRPr="009B4553">
        <w:rPr>
          <w:rFonts w:eastAsia="Times New Roman"/>
          <w:color w:val="000000"/>
          <w:sz w:val="24"/>
          <w:szCs w:val="24"/>
          <w:lang w:val="en-GB"/>
        </w:rPr>
        <w:t>*Corresponding authors: m.elbadawi@qmul.ac.uk, vlachou@pharm.uoa.gr</w:t>
      </w:r>
    </w:p>
    <w:p w14:paraId="435515BC" w14:textId="77777777" w:rsidR="00BD4B9A" w:rsidRDefault="00BD4B9A">
      <w:pPr>
        <w:rPr>
          <w:lang w:val="en-GB"/>
        </w:rPr>
      </w:pPr>
    </w:p>
    <w:p w14:paraId="699EB636" w14:textId="77777777" w:rsidR="00BD4B9A" w:rsidRDefault="00BD4B9A">
      <w:pPr>
        <w:rPr>
          <w:lang w:val="en-GB"/>
        </w:rPr>
      </w:pPr>
    </w:p>
    <w:p w14:paraId="75745F64" w14:textId="77777777" w:rsidR="00BD4B9A" w:rsidRDefault="00BD4B9A">
      <w:pPr>
        <w:rPr>
          <w:lang w:val="en-GB"/>
        </w:rPr>
      </w:pPr>
    </w:p>
    <w:p w14:paraId="0168CFD7" w14:textId="77777777" w:rsidR="00BD4B9A" w:rsidRDefault="00BD4B9A">
      <w:pPr>
        <w:rPr>
          <w:lang w:val="en-GB"/>
        </w:rPr>
      </w:pPr>
    </w:p>
    <w:p w14:paraId="12D2E78A" w14:textId="77777777" w:rsidR="00BD4B9A" w:rsidRDefault="00BD4B9A">
      <w:pPr>
        <w:rPr>
          <w:lang w:val="en-GB"/>
        </w:rPr>
      </w:pPr>
    </w:p>
    <w:p w14:paraId="3E52CF5A" w14:textId="77777777" w:rsidR="00BD4B9A" w:rsidRDefault="00BD4B9A">
      <w:pPr>
        <w:rPr>
          <w:lang w:val="en-GB"/>
        </w:rPr>
      </w:pPr>
    </w:p>
    <w:p w14:paraId="5D17D7EB" w14:textId="77777777" w:rsidR="00BD4B9A" w:rsidRDefault="00BD4B9A">
      <w:pPr>
        <w:rPr>
          <w:lang w:val="en-GB"/>
        </w:rPr>
      </w:pPr>
    </w:p>
    <w:p w14:paraId="39613B55" w14:textId="77777777" w:rsidR="00BD4B9A" w:rsidRDefault="00BD4B9A">
      <w:pPr>
        <w:rPr>
          <w:lang w:val="en-GB"/>
        </w:rPr>
      </w:pPr>
    </w:p>
    <w:p w14:paraId="19004824" w14:textId="77777777" w:rsidR="00BD4B9A" w:rsidRDefault="00BD4B9A">
      <w:pPr>
        <w:rPr>
          <w:lang w:val="en-GB"/>
        </w:rPr>
      </w:pPr>
    </w:p>
    <w:p w14:paraId="3145FAFF" w14:textId="77777777" w:rsidR="00BD4B9A" w:rsidRDefault="00BD4B9A">
      <w:pPr>
        <w:rPr>
          <w:lang w:val="en-GB"/>
        </w:rPr>
      </w:pPr>
    </w:p>
    <w:p w14:paraId="6FB4BDD1" w14:textId="77777777" w:rsidR="00BD4B9A" w:rsidRDefault="00BD4B9A">
      <w:pPr>
        <w:rPr>
          <w:lang w:val="en-GB"/>
        </w:rPr>
      </w:pPr>
    </w:p>
    <w:p w14:paraId="36A928A6" w14:textId="77777777" w:rsidR="00BD4B9A" w:rsidRDefault="00BD4B9A">
      <w:pPr>
        <w:rPr>
          <w:lang w:val="en-GB"/>
        </w:rPr>
      </w:pPr>
    </w:p>
    <w:p w14:paraId="3587C4F4" w14:textId="77777777" w:rsidR="00BD4B9A" w:rsidRDefault="00BD4B9A">
      <w:pPr>
        <w:rPr>
          <w:lang w:val="en-GB"/>
        </w:rPr>
      </w:pPr>
    </w:p>
    <w:p w14:paraId="4E21E8A0" w14:textId="77777777" w:rsidR="00BD4B9A" w:rsidRDefault="00BD4B9A">
      <w:pPr>
        <w:rPr>
          <w:lang w:val="en-GB"/>
        </w:rPr>
      </w:pPr>
    </w:p>
    <w:p w14:paraId="6A696644" w14:textId="77777777" w:rsidR="00BD4B9A" w:rsidRDefault="00BD4B9A">
      <w:pPr>
        <w:rPr>
          <w:lang w:val="en-GB"/>
        </w:rPr>
      </w:pPr>
    </w:p>
    <w:p w14:paraId="5A8EBEAB" w14:textId="77777777" w:rsidR="00BD4B9A" w:rsidRDefault="00BD4B9A">
      <w:pPr>
        <w:rPr>
          <w:lang w:val="en-GB"/>
        </w:rPr>
      </w:pPr>
    </w:p>
    <w:p w14:paraId="6DE221DF" w14:textId="77777777" w:rsidR="00BD4B9A" w:rsidRDefault="00BD4B9A">
      <w:pPr>
        <w:rPr>
          <w:lang w:val="en-GB"/>
        </w:rPr>
      </w:pPr>
    </w:p>
    <w:p w14:paraId="343614E7" w14:textId="77777777" w:rsidR="00BD4B9A" w:rsidRDefault="00BD4B9A">
      <w:pPr>
        <w:rPr>
          <w:lang w:val="en-GB"/>
        </w:rPr>
      </w:pPr>
    </w:p>
    <w:p w14:paraId="5B8B92D5" w14:textId="77777777" w:rsidR="00BD4B9A" w:rsidRDefault="00BD4B9A">
      <w:pPr>
        <w:rPr>
          <w:lang w:val="en-GB"/>
        </w:rPr>
      </w:pPr>
    </w:p>
    <w:p w14:paraId="7AB9B4B5" w14:textId="77777777" w:rsidR="00BD4B9A" w:rsidRDefault="00BD4B9A">
      <w:pPr>
        <w:rPr>
          <w:lang w:val="en-GB"/>
        </w:rPr>
      </w:pPr>
    </w:p>
    <w:p w14:paraId="2FC637AE" w14:textId="77777777" w:rsidR="00BD4B9A" w:rsidRDefault="00BD4B9A">
      <w:pPr>
        <w:rPr>
          <w:lang w:val="en-GB"/>
        </w:rPr>
      </w:pPr>
    </w:p>
    <w:p w14:paraId="1F38C7F1" w14:textId="77777777" w:rsidR="00BD4B9A" w:rsidRDefault="00BD4B9A">
      <w:pPr>
        <w:rPr>
          <w:lang w:val="en-GB"/>
        </w:rPr>
      </w:pPr>
    </w:p>
    <w:p w14:paraId="274E30AB" w14:textId="77777777" w:rsidR="00BD4B9A" w:rsidRDefault="00BD4B9A">
      <w:pPr>
        <w:rPr>
          <w:lang w:val="en-GB"/>
        </w:rPr>
      </w:pPr>
    </w:p>
    <w:p w14:paraId="0F46A9F9" w14:textId="77777777" w:rsidR="00BD4B9A" w:rsidRDefault="00BD4B9A">
      <w:pPr>
        <w:rPr>
          <w:lang w:val="en-GB"/>
        </w:rPr>
      </w:pPr>
    </w:p>
    <w:p w14:paraId="27D138B9" w14:textId="77777777" w:rsidR="00BD4B9A" w:rsidRDefault="00BD4B9A">
      <w:pPr>
        <w:rPr>
          <w:lang w:val="en-GB"/>
        </w:rPr>
      </w:pPr>
    </w:p>
    <w:p w14:paraId="7F1B89F6" w14:textId="77777777" w:rsidR="00BD4B9A" w:rsidRDefault="00BD4B9A">
      <w:pPr>
        <w:rPr>
          <w:lang w:val="en-GB"/>
        </w:rPr>
      </w:pPr>
    </w:p>
    <w:p w14:paraId="3944DEA2" w14:textId="77777777" w:rsidR="00BD4B9A" w:rsidRDefault="00BD4B9A">
      <w:pPr>
        <w:rPr>
          <w:lang w:val="en-GB"/>
        </w:rPr>
      </w:pPr>
    </w:p>
    <w:p w14:paraId="6B53A65C" w14:textId="77777777" w:rsidR="00BD4B9A" w:rsidRDefault="00BD4B9A">
      <w:pPr>
        <w:rPr>
          <w:lang w:val="en-GB"/>
        </w:rPr>
      </w:pPr>
    </w:p>
    <w:p w14:paraId="49FA7499" w14:textId="77777777" w:rsidR="00BD4B9A" w:rsidRDefault="00BD4B9A">
      <w:pPr>
        <w:rPr>
          <w:lang w:val="en-GB"/>
        </w:rPr>
      </w:pPr>
    </w:p>
    <w:p w14:paraId="517F04EF" w14:textId="77777777" w:rsidR="00BD4B9A" w:rsidRDefault="00BD4B9A">
      <w:pPr>
        <w:rPr>
          <w:lang w:val="en-GB"/>
        </w:rPr>
      </w:pPr>
    </w:p>
    <w:p w14:paraId="72B5BD53" w14:textId="77777777" w:rsidR="00BD4B9A" w:rsidRDefault="00BD4B9A">
      <w:pPr>
        <w:rPr>
          <w:lang w:val="en-GB"/>
        </w:rPr>
      </w:pPr>
    </w:p>
    <w:p w14:paraId="7974D256" w14:textId="77777777" w:rsidR="00BD4B9A" w:rsidRDefault="00BD4B9A">
      <w:pPr>
        <w:rPr>
          <w:lang w:val="en-GB"/>
        </w:rPr>
      </w:pPr>
    </w:p>
    <w:p w14:paraId="16788EE3" w14:textId="77777777" w:rsidR="00BD4B9A" w:rsidRDefault="00BD4B9A">
      <w:pPr>
        <w:rPr>
          <w:lang w:val="en-GB"/>
        </w:rPr>
      </w:pPr>
    </w:p>
    <w:p w14:paraId="5F16F14E" w14:textId="77777777" w:rsidR="00BB6A5F" w:rsidRDefault="00BB6A5F">
      <w:pPr>
        <w:rPr>
          <w:lang w:val="en-GB"/>
        </w:rPr>
      </w:pPr>
    </w:p>
    <w:p w14:paraId="36BFF51B" w14:textId="196C199B" w:rsidR="00BB6A5F" w:rsidRDefault="00BB6A5F" w:rsidP="00BB6A5F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74D1B94" wp14:editId="14952F3E">
            <wp:extent cx="6480000" cy="3797244"/>
            <wp:effectExtent l="0" t="0" r="0" b="0"/>
            <wp:docPr id="7115644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797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D8D9CC" w14:textId="450258AF" w:rsidR="00BD4B9A" w:rsidRPr="00BB6A5F" w:rsidRDefault="00BB6A5F">
      <w:pPr>
        <w:rPr>
          <w:lang w:val="en-GB"/>
        </w:rPr>
      </w:pPr>
      <w:r w:rsidRPr="00640FD1">
        <w:rPr>
          <w:b/>
          <w:bCs/>
          <w:lang w:val="en-GB"/>
        </w:rPr>
        <w:t xml:space="preserve">Figure </w:t>
      </w:r>
      <w:r w:rsidRPr="00BD4B9A">
        <w:rPr>
          <w:b/>
          <w:bCs/>
          <w:lang w:val="en-GB"/>
        </w:rPr>
        <w:t>S</w:t>
      </w:r>
      <w:r>
        <w:rPr>
          <w:b/>
          <w:bCs/>
          <w:lang w:val="en-GB"/>
        </w:rPr>
        <w:t>1</w:t>
      </w:r>
      <w:r w:rsidRPr="0075313A">
        <w:rPr>
          <w:b/>
          <w:bCs/>
          <w:lang w:val="en-GB"/>
        </w:rPr>
        <w:t>.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 xml:space="preserve">The release kinetic for all 377 formulations, grouped by the release type (A) Immediate, (B) Sustained and (C) Delayed release. Note, (A) contains 10 release profiles that are superimposed. </w:t>
      </w:r>
    </w:p>
    <w:p w14:paraId="190E4AE0" w14:textId="090C192D" w:rsidR="00BD4B9A" w:rsidRDefault="004C4752" w:rsidP="00BD4B9A">
      <w:pPr>
        <w:keepNext/>
      </w:pPr>
      <w:r w:rsidRPr="004C4752">
        <w:rPr>
          <w:rFonts w:ascii="Aptos" w:eastAsia="Aptos" w:hAnsi="Aptos" w:cs="Times New Roman"/>
          <w:noProof/>
          <w:lang w:val="en-GB" w:eastAsia="en-US"/>
          <w14:ligatures w14:val="standardContextual"/>
        </w:rPr>
        <w:lastRenderedPageBreak/>
        <w:drawing>
          <wp:inline distT="0" distB="0" distL="0" distR="0" wp14:anchorId="302E86F9" wp14:editId="1A2462B9">
            <wp:extent cx="5731510" cy="6842125"/>
            <wp:effectExtent l="0" t="0" r="2540" b="0"/>
            <wp:docPr id="2052" name="Picture 4" descr="A group of graphs showing different colore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65558EB-7034-9A9F-3164-D16504476D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A group of graphs showing different colore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C65558EB-7034-9A9F-3164-D16504476DA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4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67E4FE" w14:textId="60073EA7" w:rsidR="004C4752" w:rsidRDefault="004C4752" w:rsidP="004C4752">
      <w:pPr>
        <w:pStyle w:val="Caption"/>
        <w:rPr>
          <w:b/>
          <w:bCs/>
          <w:lang w:val="en-GB"/>
        </w:rPr>
      </w:pPr>
    </w:p>
    <w:p w14:paraId="7A80555F" w14:textId="3755B269" w:rsidR="004C4752" w:rsidRPr="00B85C5F" w:rsidRDefault="004C4752" w:rsidP="004C4752">
      <w:pPr>
        <w:rPr>
          <w:iCs/>
          <w:sz w:val="24"/>
          <w:szCs w:val="18"/>
          <w:lang w:val="en-GB"/>
        </w:rPr>
      </w:pPr>
      <w:r w:rsidRPr="00640FD1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</w:t>
      </w:r>
      <w:r w:rsidR="00BB6A5F">
        <w:rPr>
          <w:b/>
          <w:bCs/>
          <w:lang w:val="en-GB"/>
        </w:rPr>
        <w:t>2</w:t>
      </w:r>
      <w:r w:rsidRPr="0075313A">
        <w:rPr>
          <w:b/>
          <w:bCs/>
          <w:iCs/>
          <w:sz w:val="24"/>
          <w:szCs w:val="18"/>
          <w:lang w:val="en-GB"/>
        </w:rPr>
        <w:t>.</w:t>
      </w:r>
      <w:r w:rsidRPr="00B85C5F">
        <w:rPr>
          <w:rFonts w:eastAsia="Calibri" w:cs="Times New Roman"/>
          <w:color w:val="C00000"/>
          <w:sz w:val="24"/>
          <w:lang w:val="en-GB"/>
        </w:rPr>
        <w:t xml:space="preserve"> </w:t>
      </w:r>
      <w:r w:rsidRPr="00B85C5F">
        <w:rPr>
          <w:iCs/>
          <w:sz w:val="24"/>
          <w:szCs w:val="18"/>
          <w:lang w:val="en-GB"/>
        </w:rPr>
        <w:t>The residual plot for each of the six MLTs at each cross-validation fold</w:t>
      </w:r>
    </w:p>
    <w:p w14:paraId="0EC9AFE2" w14:textId="07E3ADAA" w:rsidR="004C4752" w:rsidRDefault="004C4752" w:rsidP="004C4752">
      <w:pPr>
        <w:pStyle w:val="Caption"/>
        <w:rPr>
          <w:b/>
          <w:bCs/>
          <w:lang w:val="en-GB"/>
        </w:rPr>
      </w:pPr>
    </w:p>
    <w:p w14:paraId="76410908" w14:textId="67705BB5" w:rsidR="004C4752" w:rsidRDefault="004C4752" w:rsidP="004C4752">
      <w:pPr>
        <w:pStyle w:val="Caption"/>
        <w:rPr>
          <w:b/>
          <w:bCs/>
          <w:lang w:val="en-GB"/>
        </w:rPr>
      </w:pPr>
    </w:p>
    <w:p w14:paraId="1E1640C8" w14:textId="21D501B6" w:rsidR="004C4752" w:rsidRDefault="004C4752" w:rsidP="004C4752">
      <w:pPr>
        <w:pStyle w:val="Caption"/>
        <w:rPr>
          <w:b/>
          <w:bCs/>
          <w:lang w:val="en-GB"/>
        </w:rPr>
      </w:pPr>
    </w:p>
    <w:p w14:paraId="1DB2B06E" w14:textId="10FB7D10" w:rsidR="004C4752" w:rsidRDefault="004C4752" w:rsidP="004C4752">
      <w:pPr>
        <w:pStyle w:val="Caption"/>
        <w:rPr>
          <w:b/>
          <w:bCs/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05B53431" wp14:editId="06111D53">
            <wp:simplePos x="0" y="0"/>
            <wp:positionH relativeFrom="column">
              <wp:posOffset>-52388</wp:posOffset>
            </wp:positionH>
            <wp:positionV relativeFrom="paragraph">
              <wp:posOffset>420370</wp:posOffset>
            </wp:positionV>
            <wp:extent cx="5731510" cy="1881163"/>
            <wp:effectExtent l="0" t="0" r="2540" b="5080"/>
            <wp:wrapSquare wrapText="bothSides"/>
            <wp:docPr id="1593670302" name="Picture 4" descr="A comparison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70302" name="Picture 4" descr="A comparison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81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35BA20" w14:textId="0B03239A" w:rsidR="004C4752" w:rsidRDefault="004C4752" w:rsidP="004C4752">
      <w:pPr>
        <w:pStyle w:val="Caption"/>
        <w:rPr>
          <w:b/>
          <w:bCs/>
          <w:lang w:val="en-GB"/>
        </w:rPr>
      </w:pPr>
    </w:p>
    <w:p w14:paraId="0BE1F585" w14:textId="3565CF3D" w:rsidR="00BD4B9A" w:rsidRPr="00BD4B9A" w:rsidRDefault="00BD4B9A" w:rsidP="004C4752">
      <w:pPr>
        <w:pStyle w:val="Caption"/>
        <w:rPr>
          <w:lang w:val="en-GB"/>
        </w:rPr>
      </w:pPr>
      <w:r w:rsidRPr="00640FD1">
        <w:rPr>
          <w:b/>
          <w:bCs/>
          <w:lang w:val="en-GB"/>
        </w:rPr>
        <w:t xml:space="preserve">Figure </w:t>
      </w:r>
      <w:r w:rsidRPr="00BD4B9A">
        <w:rPr>
          <w:b/>
          <w:bCs/>
          <w:lang w:val="en-GB"/>
        </w:rPr>
        <w:t>S</w:t>
      </w:r>
      <w:r w:rsidR="00BB6A5F">
        <w:rPr>
          <w:b/>
          <w:bCs/>
          <w:lang w:val="en-GB"/>
        </w:rPr>
        <w:t>3</w:t>
      </w:r>
      <w:r w:rsidRPr="0075313A">
        <w:rPr>
          <w:b/>
          <w:bCs/>
          <w:lang w:val="en-GB"/>
        </w:rPr>
        <w:t>.</w:t>
      </w:r>
      <w:r>
        <w:rPr>
          <w:lang w:val="en-GB"/>
        </w:rPr>
        <w:t>The (A) R</w:t>
      </w:r>
      <w:r w:rsidRPr="00BD4B9A">
        <w:rPr>
          <w:vertAlign w:val="superscript"/>
          <w:lang w:val="en-GB"/>
        </w:rPr>
        <w:t xml:space="preserve">2 </w:t>
      </w:r>
      <w:r>
        <w:rPr>
          <w:lang w:val="en-GB"/>
        </w:rPr>
        <w:t>and (B) RMSE for predicting the Weibull Parameters (n=5). Note, Adaboost R</w:t>
      </w:r>
      <w:r>
        <w:rPr>
          <w:vertAlign w:val="superscript"/>
          <w:lang w:val="en-GB"/>
        </w:rPr>
        <w:t>2</w:t>
      </w:r>
      <w:r>
        <w:rPr>
          <w:lang w:val="en-GB"/>
        </w:rPr>
        <w:t xml:space="preserve"> values were below 0 and hence are not visible in the figure.</w:t>
      </w:r>
    </w:p>
    <w:p w14:paraId="655338A9" w14:textId="77777777" w:rsidR="00BD4B9A" w:rsidRDefault="00BD4B9A">
      <w:pPr>
        <w:rPr>
          <w:lang w:val="en-GB"/>
        </w:rPr>
      </w:pPr>
    </w:p>
    <w:p w14:paraId="7C874A49" w14:textId="77777777" w:rsidR="00BD4B9A" w:rsidRDefault="00BD4B9A" w:rsidP="00BD4B9A">
      <w:pPr>
        <w:keepNext/>
      </w:pPr>
      <w:r>
        <w:rPr>
          <w:noProof/>
          <w:lang w:val="en-GB"/>
        </w:rPr>
        <w:drawing>
          <wp:inline distT="0" distB="0" distL="0" distR="0" wp14:anchorId="48395EA7" wp14:editId="70906A9F">
            <wp:extent cx="6120000" cy="2030234"/>
            <wp:effectExtent l="0" t="0" r="0" b="8255"/>
            <wp:docPr id="13140705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030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4EE56F" w14:textId="3E21976E" w:rsidR="00BD4B9A" w:rsidRDefault="00BD4B9A" w:rsidP="00BD4B9A">
      <w:pPr>
        <w:pStyle w:val="Caption"/>
        <w:rPr>
          <w:lang w:val="en-GB"/>
        </w:rPr>
      </w:pPr>
      <w:r w:rsidRPr="00640FD1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</w:t>
      </w:r>
      <w:r w:rsidR="00BB6A5F">
        <w:rPr>
          <w:b/>
          <w:bCs/>
          <w:lang w:val="en-GB"/>
        </w:rPr>
        <w:t>4</w:t>
      </w:r>
      <w:r w:rsidRPr="0075313A">
        <w:rPr>
          <w:b/>
          <w:bCs/>
          <w:lang w:val="en-GB"/>
        </w:rPr>
        <w:t>.</w:t>
      </w:r>
      <w:r>
        <w:rPr>
          <w:lang w:val="en-GB"/>
        </w:rPr>
        <w:t xml:space="preserve"> </w:t>
      </w:r>
      <w:r w:rsidRPr="00D645A5">
        <w:rPr>
          <w:lang w:val="en-GB"/>
        </w:rPr>
        <w:t xml:space="preserve">The (A) R2 and (B) RMSE for predicting the </w:t>
      </w:r>
      <w:r>
        <w:rPr>
          <w:lang w:val="en-GB"/>
        </w:rPr>
        <w:t>modified first-order kinetic</w:t>
      </w:r>
      <w:r w:rsidRPr="00D645A5">
        <w:rPr>
          <w:lang w:val="en-GB"/>
        </w:rPr>
        <w:t xml:space="preserve"> Parameters</w:t>
      </w:r>
      <w:r>
        <w:rPr>
          <w:lang w:val="en-GB"/>
        </w:rPr>
        <w:t xml:space="preserve"> (n=5)</w:t>
      </w:r>
      <w:r w:rsidRPr="00D645A5">
        <w:rPr>
          <w:lang w:val="en-GB"/>
        </w:rPr>
        <w:t>.</w:t>
      </w:r>
    </w:p>
    <w:p w14:paraId="19E42B81" w14:textId="298E9CC9" w:rsidR="0076749C" w:rsidRDefault="0076749C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tbl>
      <w:tblPr>
        <w:tblpPr w:leftFromText="180" w:rightFromText="180" w:horzAnchor="margin" w:tblpY="638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6074"/>
      </w:tblGrid>
      <w:tr w:rsidR="0076749C" w:rsidRPr="0076749C" w14:paraId="4608902F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030D8" w14:textId="072C06D4" w:rsidR="0076749C" w:rsidRPr="0076749C" w:rsidRDefault="00375A0B" w:rsidP="00375A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API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E95E0" w14:textId="336FE511" w:rsidR="0076749C" w:rsidRPr="0076749C" w:rsidRDefault="0076749C" w:rsidP="00375A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6749C">
              <w:rPr>
                <w:rFonts w:eastAsia="Times New Roman"/>
                <w:b/>
                <w:bCs/>
                <w:color w:val="000000"/>
                <w:sz w:val="24"/>
                <w:szCs w:val="24"/>
                <w:lang w:val="en-GB"/>
              </w:rPr>
              <w:t>Supplier</w:t>
            </w:r>
          </w:p>
        </w:tc>
      </w:tr>
      <w:tr w:rsidR="00771974" w:rsidRPr="00E17953" w14:paraId="36048B6C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044CC" w14:textId="66B385A1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Melatonin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C2B44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Tokyo Chemical Industry (Tokyo, Japan)</w:t>
            </w:r>
          </w:p>
        </w:tc>
      </w:tr>
      <w:tr w:rsidR="00771974" w:rsidRPr="00E17953" w14:paraId="1C7431CE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657F28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Ketoprofen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C01F7" w14:textId="7868B348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4EA9C8BA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A773D8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SQ109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3EE4D" w14:textId="574684DE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E17953" w14:paraId="68218E6E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866FB8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Bromocriptine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8D21D" w14:textId="5B6C5CC8" w:rsidR="0076749C" w:rsidRPr="00771974" w:rsidRDefault="002524CD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25F72A58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20161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Amiodarone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BC3E6" w14:textId="3ACF090E" w:rsidR="0076749C" w:rsidRPr="00771974" w:rsidRDefault="002524CD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088F12D9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03901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Propranolol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79654" w14:textId="00E63E31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06E9620F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2CBE5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Diclofenac sodium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511D0" w14:textId="614E40C2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26DE5A77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398EA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Acetaminophen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EE1D15" w14:textId="5EC3A9B5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2875C1BE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144AD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N-acetylserotonin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F4693A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MP Biomedicals (Santa Ana, California, USA).</w:t>
            </w:r>
          </w:p>
        </w:tc>
      </w:tr>
      <w:tr w:rsidR="00771974" w:rsidRPr="00E17953" w14:paraId="0BE5436A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67089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Lobaplatin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821CB" w14:textId="3E4E6656" w:rsidR="0076749C" w:rsidRPr="00771974" w:rsidRDefault="002524CD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B962AC3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7E4BD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Isoniazid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F1F72" w14:textId="14ACD125" w:rsidR="0076749C" w:rsidRPr="00771974" w:rsidRDefault="002524CD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0522AA99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34639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Mesalasine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9A1D8" w14:textId="6064DC48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59FCB125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75BDE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Caffeine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C148A" w14:textId="05493DBE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44FA96E0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4CF6D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Theobromine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67384" w14:textId="387A87EF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7D22600B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AD608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Theophyline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71D5C2" w14:textId="78F90202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40D2A2A3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B8DD8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Hydrocortisone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D5715" w14:textId="2E4B8BFF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7B5E2631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6112B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Naltrexone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D832D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Tokyo Chemical Industry (Tokyo, Japan)</w:t>
            </w:r>
          </w:p>
        </w:tc>
      </w:tr>
      <w:tr w:rsidR="00771974" w:rsidRPr="00E17953" w14:paraId="6CB1CEF2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EC25A0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Bupropion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6C66D5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Tokyo Chemical Industry (Tokyo, Japan)</w:t>
            </w:r>
          </w:p>
        </w:tc>
      </w:tr>
      <w:tr w:rsidR="00771974" w:rsidRPr="00E17953" w14:paraId="5DD72015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5D0462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Furosemide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E2827" w14:textId="7D41DD6E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4334877B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69D26" w14:textId="77777777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Omeprazole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77447" w14:textId="7195A254" w:rsidR="0076749C" w:rsidRPr="00771974" w:rsidRDefault="0076749C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Tokyo Chemical Industry (Tokyo, Japan)</w:t>
            </w:r>
          </w:p>
        </w:tc>
      </w:tr>
      <w:tr w:rsidR="00811281" w:rsidRPr="00E17953" w14:paraId="38EF2ED0" w14:textId="77777777" w:rsidTr="002F0C4D"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ECA8" w14:textId="5FAE9D42" w:rsidR="00811281" w:rsidRPr="00771974" w:rsidRDefault="00811281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Experimental drug</w:t>
            </w:r>
          </w:p>
        </w:tc>
        <w:tc>
          <w:tcPr>
            <w:tcW w:w="6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6A259" w14:textId="3377EB30" w:rsidR="00811281" w:rsidRPr="00771974" w:rsidRDefault="00811281" w:rsidP="002F0C4D">
            <w:pPr>
              <w:spacing w:line="240" w:lineRule="auto"/>
              <w:jc w:val="both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 xml:space="preserve">Department of Pharmaceutical chemistry, National and Kapodistrian University of Athens, Athens, Greece </w:t>
            </w:r>
          </w:p>
        </w:tc>
      </w:tr>
    </w:tbl>
    <w:p w14:paraId="16BCC7F7" w14:textId="77777777" w:rsidR="0076749C" w:rsidRPr="00771974" w:rsidRDefault="0076749C" w:rsidP="002F0C4D">
      <w:pPr>
        <w:spacing w:line="240" w:lineRule="auto"/>
        <w:jc w:val="both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177A9C1F" w14:textId="55612CBE" w:rsidR="0076749C" w:rsidRPr="006568BD" w:rsidRDefault="00375A0B" w:rsidP="00771974">
      <w:pPr>
        <w:spacing w:after="160" w:line="259" w:lineRule="auto"/>
        <w:rPr>
          <w:iCs/>
          <w:sz w:val="24"/>
          <w:szCs w:val="18"/>
          <w:lang w:val="en-GB"/>
        </w:rPr>
      </w:pPr>
      <w:r w:rsidRPr="006568BD">
        <w:rPr>
          <w:b/>
          <w:bCs/>
          <w:iCs/>
          <w:sz w:val="24"/>
          <w:szCs w:val="18"/>
          <w:lang w:val="en-GB"/>
        </w:rPr>
        <w:t xml:space="preserve">Table </w:t>
      </w:r>
      <w:r w:rsidR="006F7A5C">
        <w:rPr>
          <w:b/>
          <w:bCs/>
          <w:iCs/>
          <w:sz w:val="24"/>
          <w:szCs w:val="18"/>
          <w:lang w:val="en-GB"/>
        </w:rPr>
        <w:t>S</w:t>
      </w:r>
      <w:r w:rsidRPr="006568BD">
        <w:rPr>
          <w:b/>
          <w:bCs/>
          <w:iCs/>
          <w:sz w:val="24"/>
          <w:szCs w:val="18"/>
          <w:lang w:val="en-GB"/>
        </w:rPr>
        <w:t>1</w:t>
      </w:r>
      <w:r w:rsidR="00771974" w:rsidRPr="006568BD">
        <w:rPr>
          <w:b/>
          <w:bCs/>
          <w:iCs/>
          <w:sz w:val="24"/>
          <w:szCs w:val="18"/>
          <w:lang w:val="en-GB"/>
        </w:rPr>
        <w:t>.</w:t>
      </w:r>
      <w:r w:rsidRPr="00771974">
        <w:rPr>
          <w:color w:val="0D0D0D" w:themeColor="text1" w:themeTint="F2"/>
          <w:lang w:val="en-GB"/>
        </w:rPr>
        <w:t xml:space="preserve">  </w:t>
      </w:r>
      <w:r w:rsidRPr="006568BD">
        <w:rPr>
          <w:iCs/>
          <w:sz w:val="24"/>
          <w:szCs w:val="18"/>
          <w:lang w:val="en-GB"/>
        </w:rPr>
        <w:t>The different API</w:t>
      </w:r>
      <w:r w:rsidR="00817FE0" w:rsidRPr="006568BD">
        <w:rPr>
          <w:iCs/>
          <w:sz w:val="24"/>
          <w:szCs w:val="18"/>
          <w:lang w:val="en-GB"/>
        </w:rPr>
        <w:t>s</w:t>
      </w:r>
      <w:r w:rsidRPr="006568BD">
        <w:rPr>
          <w:iCs/>
          <w:sz w:val="24"/>
          <w:szCs w:val="18"/>
          <w:lang w:val="en-GB"/>
        </w:rPr>
        <w:t xml:space="preserve"> used to train the algorithms </w:t>
      </w:r>
    </w:p>
    <w:p w14:paraId="5BC89A66" w14:textId="77777777" w:rsidR="0076749C" w:rsidRPr="00771974" w:rsidRDefault="0076749C" w:rsidP="002F0C4D">
      <w:pPr>
        <w:spacing w:line="240" w:lineRule="auto"/>
        <w:jc w:val="both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35B6F80C" w14:textId="77777777" w:rsidR="0076749C" w:rsidRPr="00771974" w:rsidRDefault="0076749C" w:rsidP="002F0C4D">
      <w:pPr>
        <w:spacing w:line="240" w:lineRule="auto"/>
        <w:jc w:val="both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6660F579" w14:textId="58E8602A" w:rsidR="0076749C" w:rsidRPr="00771974" w:rsidRDefault="0076749C" w:rsidP="002F0C4D">
      <w:pPr>
        <w:spacing w:line="240" w:lineRule="auto"/>
        <w:jc w:val="both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  <w:r w:rsidRPr="00771974"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  <w:br w:type="page"/>
      </w:r>
    </w:p>
    <w:p w14:paraId="543AD884" w14:textId="77777777" w:rsidR="008D0632" w:rsidRPr="00771974" w:rsidRDefault="008D0632">
      <w:pPr>
        <w:spacing w:after="160" w:line="259" w:lineRule="auto"/>
        <w:rPr>
          <w:color w:val="0D0D0D" w:themeColor="text1" w:themeTint="F2"/>
          <w:lang w:val="en-GB"/>
        </w:rPr>
      </w:pPr>
    </w:p>
    <w:p w14:paraId="0311194D" w14:textId="0BFE5875" w:rsidR="008D0632" w:rsidRPr="00771974" w:rsidRDefault="008D0632">
      <w:pPr>
        <w:spacing w:after="160" w:line="259" w:lineRule="auto"/>
        <w:rPr>
          <w:color w:val="0D0D0D" w:themeColor="text1" w:themeTint="F2"/>
          <w:lang w:val="en-GB"/>
        </w:rPr>
      </w:pPr>
      <w:r w:rsidRPr="006568BD">
        <w:rPr>
          <w:b/>
          <w:bCs/>
          <w:iCs/>
          <w:sz w:val="24"/>
          <w:szCs w:val="18"/>
          <w:lang w:val="en-GB"/>
        </w:rPr>
        <w:t xml:space="preserve">Table </w:t>
      </w:r>
      <w:r w:rsidR="006F7A5C">
        <w:rPr>
          <w:b/>
          <w:bCs/>
          <w:iCs/>
          <w:sz w:val="24"/>
          <w:szCs w:val="18"/>
          <w:lang w:val="en-GB"/>
        </w:rPr>
        <w:t>S</w:t>
      </w:r>
      <w:r w:rsidRPr="006568BD">
        <w:rPr>
          <w:b/>
          <w:bCs/>
          <w:iCs/>
          <w:sz w:val="24"/>
          <w:szCs w:val="18"/>
          <w:lang w:val="en-GB"/>
        </w:rPr>
        <w:t>2</w:t>
      </w:r>
      <w:r w:rsidR="00771974" w:rsidRPr="006568BD">
        <w:rPr>
          <w:b/>
          <w:bCs/>
          <w:iCs/>
          <w:sz w:val="24"/>
          <w:szCs w:val="18"/>
          <w:lang w:val="en-GB"/>
        </w:rPr>
        <w:t>.</w:t>
      </w:r>
      <w:r w:rsidRPr="00771974">
        <w:rPr>
          <w:color w:val="0D0D0D" w:themeColor="text1" w:themeTint="F2"/>
          <w:lang w:val="en-GB"/>
        </w:rPr>
        <w:t xml:space="preserve"> </w:t>
      </w:r>
      <w:r w:rsidRPr="006568BD">
        <w:rPr>
          <w:iCs/>
          <w:sz w:val="24"/>
          <w:szCs w:val="18"/>
          <w:lang w:val="en-GB"/>
        </w:rPr>
        <w:t>The excipients used in the formulations</w:t>
      </w: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7"/>
        <w:gridCol w:w="5359"/>
      </w:tblGrid>
      <w:tr w:rsidR="00771974" w:rsidRPr="00771974" w14:paraId="72DBE3C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7A32B3" w14:textId="77777777" w:rsidR="0076749C" w:rsidRPr="00771974" w:rsidRDefault="0076749C" w:rsidP="007674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GB"/>
              </w:rPr>
            </w:pPr>
            <w:r w:rsidRPr="00771974">
              <w:rPr>
                <w:rFonts w:eastAsia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Excipients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F7BB5F" w14:textId="77777777" w:rsidR="0076749C" w:rsidRPr="00771974" w:rsidRDefault="0076749C" w:rsidP="007674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GB"/>
              </w:rPr>
            </w:pPr>
            <w:r w:rsidRPr="00771974">
              <w:rPr>
                <w:rFonts w:eastAsia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Supplier </w:t>
            </w:r>
          </w:p>
        </w:tc>
      </w:tr>
      <w:tr w:rsidR="00771974" w:rsidRPr="00E17953" w14:paraId="544F0B5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8BE594D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Avicel PH101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4E3AC" w14:textId="77777777" w:rsidR="0076749C" w:rsidRPr="00771974" w:rsidRDefault="0076749C" w:rsidP="0076749C">
            <w:pPr>
              <w:spacing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53A867DA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72B18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Avicel PH102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0F58A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02F2F6EB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A5034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Cabosil M-5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C19B5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Able Sales Company, Inc, Puerto Rico, USA</w:t>
            </w:r>
          </w:p>
        </w:tc>
      </w:tr>
      <w:tr w:rsidR="00771974" w:rsidRPr="00E17953" w14:paraId="5D685B7F" w14:textId="77777777" w:rsidTr="0076749C">
        <w:trPr>
          <w:trHeight w:val="21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F757C2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Carbopol 974P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E84C5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Lubrizol Pharmaceuticals, Cleveland, Ohio, USA</w:t>
            </w:r>
          </w:p>
        </w:tc>
      </w:tr>
      <w:tr w:rsidR="00771974" w:rsidRPr="00E17953" w14:paraId="2D49F28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8B007D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Carrageenan Type 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E7DB8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090BE1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EA1A76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Cellulose acetate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5C62F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27C711CE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  <w:hideMark/>
          </w:tcPr>
          <w:p w14:paraId="3BD910A2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Cellulose acetate propionate ( 482-20)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FEB00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785F162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02C529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CENLY VH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267A5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Nisso Chemical Europe GmbH, Dusseldorf, Germany </w:t>
            </w:r>
          </w:p>
        </w:tc>
      </w:tr>
      <w:tr w:rsidR="00771974" w:rsidRPr="00E17953" w14:paraId="4AF3F49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E1E7F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Chitosan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D4DF1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6BDC98E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FAF6C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Chitosan HCl (CS-HCl)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94944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E17953" w14:paraId="3177AA8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E2E902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Chitosan high MW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1946C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5FF7A77F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6D5FF3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Chitosan-OCNC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BE832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E17953" w14:paraId="61A677E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E18B1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Dextran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247B9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DA287CA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52776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Ethylcellulose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BF493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2CAEECB5" w14:textId="77777777" w:rsidTr="002F0C4D">
        <w:trPr>
          <w:trHeight w:val="336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4028CD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E100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A00D5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1378C45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BBA30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L100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979F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0FBDE1EE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10D549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L100-55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3144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7EB66EF0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911DF0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RL100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635B0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1B0875C2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CAE167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RS100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5FBC3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6BCB04B3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9A4827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Eudragit S100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ECE3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Evonik, Essen, Germany </w:t>
            </w:r>
          </w:p>
        </w:tc>
      </w:tr>
      <w:tr w:rsidR="00771974" w:rsidRPr="00771974" w14:paraId="70D04D2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8041AF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GLY-PCL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4BDC0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E17953" w14:paraId="749B9ACA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2CF2A4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Guar Gum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541D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0E9B6C3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8E256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HPC 100.000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CC69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Nisso Chemical Europe GmbH, Dusseldorf, Germany </w:t>
            </w:r>
          </w:p>
        </w:tc>
      </w:tr>
      <w:tr w:rsidR="00771974" w:rsidRPr="00E17953" w14:paraId="46BA109B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B93604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HPC 80.000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09B7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Nisso Chemical Europe GmbH, Dusseldorf, Germany </w:t>
            </w:r>
          </w:p>
        </w:tc>
      </w:tr>
      <w:tr w:rsidR="00771974" w:rsidRPr="00E17953" w14:paraId="335A28F7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1BF05C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HPC 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0E266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Nisso Chemical Europe GmbH, Dusseldorf, Germany </w:t>
            </w:r>
          </w:p>
        </w:tc>
      </w:tr>
      <w:tr w:rsidR="00771974" w:rsidRPr="00E17953" w14:paraId="55F6FE23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E25144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HPC 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466C3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Nisso Chemical Europe GmbH, Dusseldorf, Germany </w:t>
            </w:r>
          </w:p>
        </w:tc>
      </w:tr>
      <w:tr w:rsidR="00771974" w:rsidRPr="006F7A5C" w14:paraId="3C86618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806080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HPMC 100M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2FBE4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Ashland Inc. Wilmington, Delaware, USA</w:t>
            </w:r>
          </w:p>
        </w:tc>
      </w:tr>
      <w:tr w:rsidR="00771974" w:rsidRPr="006F7A5C" w14:paraId="47D0FBEC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5829B9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lastRenderedPageBreak/>
              <w:t>HPMC 4K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5621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Ashland Inc. Wilmington, Delaware, USA</w:t>
            </w:r>
          </w:p>
        </w:tc>
      </w:tr>
      <w:tr w:rsidR="00771974" w:rsidRPr="006F7A5C" w14:paraId="2F080F4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5D7868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HPMCK15M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E1084C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Ashland Inc. Wilmington, Delaware, USA</w:t>
            </w:r>
          </w:p>
        </w:tc>
      </w:tr>
      <w:tr w:rsidR="00771974" w:rsidRPr="00E17953" w14:paraId="102412D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3EA4B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Lactose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6B8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Armor pharma, Maen Roch, France</w:t>
            </w:r>
          </w:p>
        </w:tc>
      </w:tr>
      <w:tr w:rsidR="00771974" w:rsidRPr="00E17953" w14:paraId="2ACCF2C2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F3215C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Mg-Stearate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3B829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Riedel-De Haen (Hannover, Germany)</w:t>
            </w:r>
          </w:p>
        </w:tc>
      </w:tr>
      <w:tr w:rsidR="00771974" w:rsidRPr="00771974" w14:paraId="5261791B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89CB9B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mPEG-PCL (1:1)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4A598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78497A5F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06FE63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mPEG-PCL (1:3)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E900F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</w:t>
            </w:r>
          </w:p>
        </w:tc>
      </w:tr>
      <w:tr w:rsidR="00771974" w:rsidRPr="00771974" w14:paraId="21EBB16C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E87B89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Neat PCL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D7F556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263667BF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023328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Neat PLA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164D6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30C6381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36C38F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PE-PCL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90F21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E17953" w14:paraId="3B09E37E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626854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Pectin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92B2B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5113DD0C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5692E92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PEO (7x10^6)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2C49B1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1F0EFF69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213F5B9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PLA-GLycerol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65DF2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4E559483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69183E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PLA-Pentaerythritol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3C5BB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7E56902F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42F4FE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PLA-Sorbitol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19942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7253F541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E6555B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PLA/PBAd [75/25]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56EA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58E9A7C7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F4BC1F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PLA/PBAd [90/10]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1AE54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3C5F873B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D66047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PLA/PEAd [75/25]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8353F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459F7A11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D3B80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PLA/PEAd [90/10]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6C279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Proprietary </w:t>
            </w:r>
          </w:p>
        </w:tc>
      </w:tr>
      <w:tr w:rsidR="00771974" w:rsidRPr="00771974" w14:paraId="2973C42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21ABD6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Polyox 0.9x10^6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139D1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Union Carbide, Antwerpen, Belgium </w:t>
            </w:r>
          </w:p>
        </w:tc>
      </w:tr>
      <w:tr w:rsidR="00771974" w:rsidRPr="00771974" w14:paraId="32B611F9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388247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Polyox 4x10^6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AB887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Union Carbide, Antwerpen, Belgium</w:t>
            </w:r>
          </w:p>
        </w:tc>
      </w:tr>
      <w:tr w:rsidR="00771974" w:rsidRPr="00771974" w14:paraId="2BA08063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DC4BC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Polyox 5x10^6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32432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Union Carbide, Antwerpen, Belgium</w:t>
            </w:r>
          </w:p>
        </w:tc>
      </w:tr>
      <w:tr w:rsidR="00771974" w:rsidRPr="00771974" w14:paraId="169856C6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6A10DC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Polyox 7x10^6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598EB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Union Carbide, Antwerpen, Belgium</w:t>
            </w:r>
          </w:p>
        </w:tc>
      </w:tr>
      <w:tr w:rsidR="00771974" w:rsidRPr="00E17953" w14:paraId="74CF8E81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45B6E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PVP 10.000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5C47C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9864AA0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9AD350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PVP 29.000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985FF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1396E524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E99E6F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PVP 55.000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FFF02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201527F1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E161D5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Reta 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2F45B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Meggle GmbH, Wasserburg am Inn, Germany</w:t>
            </w:r>
          </w:p>
        </w:tc>
      </w:tr>
      <w:tr w:rsidR="00771974" w:rsidRPr="00E17953" w14:paraId="13E20328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AA1D1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RetaLac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A112F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Meggle GmbH, Wasserburg am Inn, Germany</w:t>
            </w:r>
          </w:p>
        </w:tc>
      </w:tr>
      <w:tr w:rsidR="00771974" w:rsidRPr="00E17953" w14:paraId="09BAAD3B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09FC928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F4E323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4955738F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94591E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Sod. Alginate (high viscosity)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BC5F1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1CF3ED43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3F19F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Sod. Alginate (medium viscosity)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379CA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AB63F47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E1E3A1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lastRenderedPageBreak/>
              <w:t>Sodium alginate (low viscosity)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66B7B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E17953" w14:paraId="3B8E01A5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A6485A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Starch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2A26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  <w:tr w:rsidR="00771974" w:rsidRPr="00771974" w14:paraId="27A255B4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E1ECCF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Ulvan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6A12E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Carbosynth Ltd., Berkshire, UK</w:t>
            </w:r>
          </w:p>
        </w:tc>
      </w:tr>
      <w:tr w:rsidR="00771974" w:rsidRPr="00E17953" w14:paraId="0B1EE420" w14:textId="77777777" w:rsidTr="0076749C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BE94C3" w14:textId="77777777" w:rsidR="0076749C" w:rsidRPr="00771974" w:rsidRDefault="0076749C" w:rsidP="002F0C4D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Xanthan gum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5DC36C" w14:textId="77777777" w:rsidR="0076749C" w:rsidRPr="00771974" w:rsidRDefault="0076749C" w:rsidP="0076749C">
            <w:pPr>
              <w:spacing w:line="240" w:lineRule="auto"/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</w:pPr>
            <w:r w:rsidRPr="00771974">
              <w:rPr>
                <w:rFonts w:eastAsia="Times New Roman"/>
                <w:color w:val="0D0D0D" w:themeColor="text1" w:themeTint="F2"/>
                <w:sz w:val="20"/>
                <w:szCs w:val="20"/>
                <w:shd w:val="clear" w:color="auto" w:fill="FFFFFF"/>
                <w:lang w:val="en-GB"/>
              </w:rPr>
              <w:t>Sigma-Aldrich, St. Louis, Missouri, USA</w:t>
            </w:r>
          </w:p>
        </w:tc>
      </w:tr>
    </w:tbl>
    <w:p w14:paraId="7A7E045F" w14:textId="77777777" w:rsidR="0076749C" w:rsidRDefault="0076749C" w:rsidP="002F0C4D">
      <w:pPr>
        <w:spacing w:line="240" w:lineRule="auto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3B6A811C" w14:textId="77777777" w:rsidR="00005E05" w:rsidRDefault="00005E05" w:rsidP="002F0C4D">
      <w:pPr>
        <w:spacing w:line="240" w:lineRule="auto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6E914A70" w14:textId="77777777" w:rsidR="00B85C5F" w:rsidRDefault="00B85C5F" w:rsidP="002F0C4D">
      <w:pPr>
        <w:spacing w:line="240" w:lineRule="auto"/>
        <w:rPr>
          <w:rFonts w:eastAsia="Times New Roman"/>
          <w:color w:val="0D0D0D" w:themeColor="text1" w:themeTint="F2"/>
          <w:sz w:val="20"/>
          <w:szCs w:val="20"/>
          <w:shd w:val="clear" w:color="auto" w:fill="FFFFFF"/>
          <w:lang w:val="en-GB"/>
        </w:rPr>
      </w:pPr>
    </w:p>
    <w:p w14:paraId="7B1FF515" w14:textId="522A53C2" w:rsidR="00005E05" w:rsidRPr="00E17953" w:rsidRDefault="00005E05" w:rsidP="002F0C4D">
      <w:pPr>
        <w:spacing w:line="240" w:lineRule="auto"/>
        <w:rPr>
          <w:noProof/>
          <w:lang w:val="en-GB"/>
          <w14:ligatures w14:val="standardContextual"/>
        </w:rPr>
      </w:pPr>
    </w:p>
    <w:p w14:paraId="49C72441" w14:textId="77777777" w:rsidR="00005E05" w:rsidRPr="00E17953" w:rsidRDefault="00005E05" w:rsidP="00005E05">
      <w:pPr>
        <w:rPr>
          <w:noProof/>
          <w:lang w:val="en-GB"/>
          <w14:ligatures w14:val="standardContextual"/>
        </w:rPr>
      </w:pPr>
    </w:p>
    <w:p w14:paraId="1D7C7394" w14:textId="77777777" w:rsidR="00005E05" w:rsidRPr="00005E05" w:rsidRDefault="00005E05" w:rsidP="00005E05">
      <w:pPr>
        <w:rPr>
          <w:rFonts w:eastAsia="Times New Roman"/>
          <w:sz w:val="20"/>
          <w:szCs w:val="20"/>
          <w:lang w:val="en-GB"/>
        </w:rPr>
      </w:pPr>
    </w:p>
    <w:sectPr w:rsidR="00005E05" w:rsidRPr="00005E0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B78E8" w14:textId="77777777" w:rsidR="000C16ED" w:rsidRDefault="000C16ED" w:rsidP="00BD4B9A">
      <w:pPr>
        <w:spacing w:line="240" w:lineRule="auto"/>
      </w:pPr>
      <w:r>
        <w:separator/>
      </w:r>
    </w:p>
  </w:endnote>
  <w:endnote w:type="continuationSeparator" w:id="0">
    <w:p w14:paraId="18DDD599" w14:textId="77777777" w:rsidR="000C16ED" w:rsidRDefault="000C16ED" w:rsidP="00BD4B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252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1BD64" w14:textId="3C340911" w:rsidR="00BD4B9A" w:rsidRDefault="00BD4B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CF39DA" w14:textId="77777777" w:rsidR="00BD4B9A" w:rsidRDefault="00BD4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94EB2" w14:textId="77777777" w:rsidR="000C16ED" w:rsidRDefault="000C16ED" w:rsidP="00BD4B9A">
      <w:pPr>
        <w:spacing w:line="240" w:lineRule="auto"/>
      </w:pPr>
      <w:r>
        <w:separator/>
      </w:r>
    </w:p>
  </w:footnote>
  <w:footnote w:type="continuationSeparator" w:id="0">
    <w:p w14:paraId="34434B71" w14:textId="77777777" w:rsidR="000C16ED" w:rsidRDefault="000C16ED" w:rsidP="00BD4B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9A"/>
    <w:rsid w:val="00005E05"/>
    <w:rsid w:val="00010D3D"/>
    <w:rsid w:val="00051A1D"/>
    <w:rsid w:val="00094ADD"/>
    <w:rsid w:val="00096B33"/>
    <w:rsid w:val="000C16ED"/>
    <w:rsid w:val="000D10DE"/>
    <w:rsid w:val="00131F70"/>
    <w:rsid w:val="001D6E01"/>
    <w:rsid w:val="001F49FB"/>
    <w:rsid w:val="00211FD4"/>
    <w:rsid w:val="002524CD"/>
    <w:rsid w:val="00281CDD"/>
    <w:rsid w:val="002B5255"/>
    <w:rsid w:val="002F0C4D"/>
    <w:rsid w:val="0033677B"/>
    <w:rsid w:val="00375A0B"/>
    <w:rsid w:val="00386C8A"/>
    <w:rsid w:val="004C4752"/>
    <w:rsid w:val="00552B02"/>
    <w:rsid w:val="00574C83"/>
    <w:rsid w:val="00581473"/>
    <w:rsid w:val="005A28E8"/>
    <w:rsid w:val="005B029D"/>
    <w:rsid w:val="00640FD1"/>
    <w:rsid w:val="006568BD"/>
    <w:rsid w:val="006700FA"/>
    <w:rsid w:val="006D6FA1"/>
    <w:rsid w:val="006F7A5C"/>
    <w:rsid w:val="00712D60"/>
    <w:rsid w:val="0075313A"/>
    <w:rsid w:val="0076749C"/>
    <w:rsid w:val="00771974"/>
    <w:rsid w:val="00811281"/>
    <w:rsid w:val="00817FE0"/>
    <w:rsid w:val="0087355E"/>
    <w:rsid w:val="008D0632"/>
    <w:rsid w:val="008F2D86"/>
    <w:rsid w:val="009A7F41"/>
    <w:rsid w:val="009B34F6"/>
    <w:rsid w:val="009B4553"/>
    <w:rsid w:val="00A66471"/>
    <w:rsid w:val="00A91ACC"/>
    <w:rsid w:val="00A93B63"/>
    <w:rsid w:val="00AC5E06"/>
    <w:rsid w:val="00B85C5F"/>
    <w:rsid w:val="00BB6A5F"/>
    <w:rsid w:val="00BD4B9A"/>
    <w:rsid w:val="00BD64BB"/>
    <w:rsid w:val="00C64CAE"/>
    <w:rsid w:val="00CF6F8E"/>
    <w:rsid w:val="00D211B5"/>
    <w:rsid w:val="00D53EF5"/>
    <w:rsid w:val="00DE6DBF"/>
    <w:rsid w:val="00E17953"/>
    <w:rsid w:val="00EF56CE"/>
    <w:rsid w:val="00F013F7"/>
    <w:rsid w:val="00F2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855BB"/>
  <w15:chartTrackingRefBased/>
  <w15:docId w15:val="{ADC091C5-B1D1-495A-9BDE-6760ACD1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B9A"/>
    <w:pPr>
      <w:spacing w:after="0" w:line="276" w:lineRule="auto"/>
    </w:pPr>
    <w:rPr>
      <w:rFonts w:ascii="Arial" w:eastAsia="Arial" w:hAnsi="Arial" w:cs="Arial"/>
      <w:kern w:val="0"/>
      <w:lang w:val="e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B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B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B9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B9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B9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B9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B9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B9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B9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4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B9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4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B9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4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B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4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B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4B9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B9A"/>
    <w:rPr>
      <w:rFonts w:ascii="Arial" w:eastAsia="Arial" w:hAnsi="Arial" w:cs="Arial"/>
      <w:kern w:val="0"/>
      <w:lang w:val="el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4B9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B9A"/>
    <w:rPr>
      <w:rFonts w:ascii="Arial" w:eastAsia="Arial" w:hAnsi="Arial" w:cs="Arial"/>
      <w:kern w:val="0"/>
      <w:lang w:val="el" w:eastAsia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D4B9A"/>
    <w:pPr>
      <w:spacing w:after="200" w:line="240" w:lineRule="auto"/>
    </w:pPr>
    <w:rPr>
      <w:iCs/>
      <w:sz w:val="24"/>
      <w:szCs w:val="18"/>
    </w:rPr>
  </w:style>
  <w:style w:type="paragraph" w:styleId="Revision">
    <w:name w:val="Revision"/>
    <w:hidden/>
    <w:uiPriority w:val="99"/>
    <w:semiHidden/>
    <w:rsid w:val="00F26E88"/>
    <w:pPr>
      <w:spacing w:after="0" w:line="240" w:lineRule="auto"/>
    </w:pPr>
    <w:rPr>
      <w:rFonts w:ascii="Arial" w:eastAsia="Arial" w:hAnsi="Arial" w:cs="Arial"/>
      <w:kern w:val="0"/>
      <w:lang w:val="e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Elbadawi</dc:creator>
  <cp:keywords/>
  <dc:description/>
  <cp:lastModifiedBy>Chrystalla Protopapa</cp:lastModifiedBy>
  <cp:revision>3</cp:revision>
  <dcterms:created xsi:type="dcterms:W3CDTF">2025-06-03T12:40:00Z</dcterms:created>
  <dcterms:modified xsi:type="dcterms:W3CDTF">2025-06-03T12:48:00Z</dcterms:modified>
</cp:coreProperties>
</file>