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F75D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2FF6874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56F06D" w14:textId="273C3B5C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 Figures for</w:t>
      </w:r>
    </w:p>
    <w:p w14:paraId="2152479D" w14:textId="128554DB" w:rsidR="0039031B" w:rsidRDefault="00202A48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Impacts</w:t>
      </w:r>
      <w:r w:rsidR="0039031B">
        <w:rPr>
          <w:rFonts w:ascii="Times New Roman" w:hAnsi="Times New Roman" w:cs="Times New Roman"/>
          <w:b/>
          <w:bCs/>
          <w:sz w:val="32"/>
          <w:szCs w:val="32"/>
        </w:rPr>
        <w:t xml:space="preserve"> of Antibody Structure and </w:t>
      </w:r>
      <w:r>
        <w:rPr>
          <w:rFonts w:ascii="Times New Roman" w:hAnsi="Times New Roman" w:cs="Times New Roman"/>
          <w:b/>
          <w:bCs/>
          <w:sz w:val="32"/>
          <w:szCs w:val="32"/>
        </w:rPr>
        <w:t>Mixtures</w:t>
      </w:r>
      <w:r w:rsidR="0039031B">
        <w:rPr>
          <w:rFonts w:ascii="Times New Roman" w:hAnsi="Times New Roman" w:cs="Times New Roman"/>
          <w:b/>
          <w:bCs/>
          <w:sz w:val="32"/>
          <w:szCs w:val="32"/>
        </w:rPr>
        <w:t xml:space="preserve"> on </w:t>
      </w:r>
    </w:p>
    <w:p w14:paraId="6C92067C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Receptor Signaling for Antibody Dependent Cellular Cytotoxicity </w:t>
      </w:r>
    </w:p>
    <w:p w14:paraId="390FA295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7DCF862" w14:textId="77777777" w:rsidR="0039031B" w:rsidRPr="009512E9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i/>
          <w:iCs/>
        </w:rPr>
      </w:pPr>
    </w:p>
    <w:p w14:paraId="6331A1AA" w14:textId="77777777" w:rsidR="0039031B" w:rsidDel="009512E9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213DD57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</w:rPr>
      </w:pPr>
    </w:p>
    <w:p w14:paraId="4F1EF945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Jiakun Guan</w:t>
      </w:r>
      <w:proofErr w:type="gramStart"/>
      <w:r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</w:rPr>
        <w:t>*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Tiexin</w:t>
      </w:r>
      <w:proofErr w:type="spellEnd"/>
      <w:r>
        <w:rPr>
          <w:rFonts w:ascii="Times New Roman" w:hAnsi="Times New Roman" w:cs="Times New Roman"/>
        </w:rPr>
        <w:t xml:space="preserve"> Wang</w:t>
      </w:r>
      <w:r>
        <w:rPr>
          <w:rFonts w:ascii="Times New Roman" w:hAnsi="Times New Roman" w:cs="Times New Roman"/>
          <w:vertAlign w:val="superscript"/>
        </w:rPr>
        <w:t>1,</w:t>
      </w:r>
      <w:proofErr w:type="gramStart"/>
      <w:r>
        <w:rPr>
          <w:rFonts w:ascii="Times New Roman" w:hAnsi="Times New Roman" w:cs="Times New Roman"/>
          <w:vertAlign w:val="superscript"/>
        </w:rPr>
        <w:t>4,</w:t>
      </w:r>
      <w:r>
        <w:rPr>
          <w:rFonts w:ascii="Times New Roman" w:hAnsi="Times New Roman" w:cs="Times New Roman"/>
        </w:rPr>
        <w:t>*</w:t>
      </w:r>
      <w:proofErr w:type="gramEnd"/>
      <w:r>
        <w:rPr>
          <w:rFonts w:ascii="Times New Roman" w:hAnsi="Times New Roman" w:cs="Times New Roman"/>
        </w:rPr>
        <w:t>, Peter Tessier</w:t>
      </w:r>
      <w:r>
        <w:rPr>
          <w:rFonts w:ascii="Times New Roman" w:hAnsi="Times New Roman" w:cs="Times New Roman"/>
          <w:vertAlign w:val="superscript"/>
        </w:rPr>
        <w:t>1,2,3,4,</w:t>
      </w:r>
      <w:r>
        <w:rPr>
          <w:rFonts w:ascii="Times New Roman" w:hAnsi="Times New Roman" w:cs="Times New Roman"/>
        </w:rPr>
        <w:t>’, Greg M. Thurber</w:t>
      </w:r>
      <w:r>
        <w:rPr>
          <w:rFonts w:ascii="Times New Roman" w:hAnsi="Times New Roman" w:cs="Times New Roman"/>
          <w:vertAlign w:val="superscript"/>
        </w:rPr>
        <w:t>1,2,5,</w:t>
      </w:r>
      <w:r>
        <w:rPr>
          <w:rFonts w:ascii="Times New Roman" w:hAnsi="Times New Roman" w:cs="Times New Roman"/>
        </w:rPr>
        <w:t>’</w:t>
      </w:r>
    </w:p>
    <w:p w14:paraId="724D9B6A" w14:textId="77777777" w:rsidR="0039031B" w:rsidRDefault="0039031B" w:rsidP="0039031B">
      <w:pPr>
        <w:spacing w:after="160" w:line="278" w:lineRule="auto"/>
        <w:jc w:val="center"/>
        <w:rPr>
          <w:rFonts w:ascii="Times New Roman" w:hAnsi="Times New Roman" w:cs="Times New Roman"/>
        </w:rPr>
      </w:pPr>
    </w:p>
    <w:p w14:paraId="26503010" w14:textId="77777777" w:rsidR="0039031B" w:rsidRPr="00CC0500" w:rsidRDefault="0039031B" w:rsidP="0039031B">
      <w:pPr>
        <w:contextualSpacing/>
        <w:jc w:val="both"/>
        <w:rPr>
          <w:rFonts w:ascii="Times New Roman" w:hAnsi="Times New Roman" w:cs="Times New Roman"/>
        </w:rPr>
      </w:pPr>
      <w:r w:rsidRPr="001F7982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 </w:t>
      </w:r>
      <w:r w:rsidRPr="001F7982">
        <w:rPr>
          <w:rFonts w:ascii="Times New Roman" w:hAnsi="Times New Roman" w:cs="Times New Roman"/>
        </w:rPr>
        <w:t>Department</w:t>
      </w:r>
      <w:r w:rsidRPr="00CC0500">
        <w:rPr>
          <w:rFonts w:ascii="Times New Roman" w:hAnsi="Times New Roman" w:cs="Times New Roman"/>
        </w:rPr>
        <w:t xml:space="preserve"> of Chemical Engineering, University of Michigan, Ann Arbor, MI 48109</w:t>
      </w:r>
    </w:p>
    <w:p w14:paraId="6D50A7B5" w14:textId="77777777" w:rsidR="0039031B" w:rsidRPr="00CC0500" w:rsidRDefault="0039031B" w:rsidP="0039031B">
      <w:pPr>
        <w:contextualSpacing/>
        <w:jc w:val="both"/>
        <w:rPr>
          <w:rFonts w:ascii="Times New Roman" w:hAnsi="Times New Roman" w:cs="Times New Roman"/>
        </w:rPr>
      </w:pPr>
      <w:r w:rsidRPr="001F7982">
        <w:rPr>
          <w:rFonts w:ascii="Times New Roman" w:hAnsi="Times New Roman" w:cs="Times New Roman" w:hint="eastAsia"/>
          <w:vertAlign w:val="superscript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 w:rsidRPr="001F7982">
        <w:rPr>
          <w:rFonts w:ascii="Times New Roman" w:hAnsi="Times New Roman" w:cs="Times New Roman"/>
        </w:rPr>
        <w:t>Department</w:t>
      </w:r>
      <w:r w:rsidRPr="00CC0500">
        <w:rPr>
          <w:rFonts w:ascii="Times New Roman" w:hAnsi="Times New Roman" w:cs="Times New Roman"/>
        </w:rPr>
        <w:t xml:space="preserve"> of Biomedical Engineering, University of Michigan, Ann Arbor, MI 48109</w:t>
      </w:r>
    </w:p>
    <w:p w14:paraId="4A3EB90C" w14:textId="77777777" w:rsidR="0039031B" w:rsidRDefault="0039031B" w:rsidP="0039031B">
      <w:pPr>
        <w:contextualSpacing/>
        <w:jc w:val="both"/>
        <w:rPr>
          <w:rFonts w:ascii="Times New Roman" w:hAnsi="Times New Roman" w:cs="Times New Roman"/>
        </w:rPr>
      </w:pPr>
      <w:r w:rsidRPr="001F7982">
        <w:rPr>
          <w:rFonts w:ascii="Times New Roman" w:hAnsi="Times New Roman" w:cs="Times New Roman" w:hint="eastAsia"/>
          <w:vertAlign w:val="superscript"/>
        </w:rPr>
        <w:t>3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>
        <w:rPr>
          <w:rFonts w:ascii="Times New Roman" w:hAnsi="Times New Roman" w:cs="Times New Roman"/>
        </w:rPr>
        <w:t>Department of Pharmaceutical Sciences, University of Michigan, Ann Arbor, MI 48109</w:t>
      </w:r>
    </w:p>
    <w:p w14:paraId="634DE995" w14:textId="77777777" w:rsidR="0039031B" w:rsidRDefault="0039031B" w:rsidP="0039031B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Biointerfaces Institute, University of Michigan, Ann Arbor, MI 48109</w:t>
      </w:r>
    </w:p>
    <w:p w14:paraId="3F06EC5E" w14:textId="77777777" w:rsidR="0039031B" w:rsidRDefault="0039031B" w:rsidP="0039031B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</w:t>
      </w:r>
      <w:r w:rsidRPr="00CC0500">
        <w:rPr>
          <w:rFonts w:ascii="Times New Roman" w:hAnsi="Times New Roman" w:cs="Times New Roman"/>
        </w:rPr>
        <w:t>Rogel Cancer Center, University of Michigan, Ann Arbor, MI 48109</w:t>
      </w:r>
    </w:p>
    <w:p w14:paraId="07A6B9EE" w14:textId="77777777" w:rsidR="0039031B" w:rsidRDefault="0039031B" w:rsidP="0039031B">
      <w:pPr>
        <w:spacing w:after="160" w:line="278" w:lineRule="auto"/>
        <w:rPr>
          <w:rFonts w:ascii="Times New Roman" w:hAnsi="Times New Roman" w:cs="Times New Roman"/>
        </w:rPr>
      </w:pPr>
    </w:p>
    <w:p w14:paraId="22378288" w14:textId="77777777" w:rsidR="0039031B" w:rsidRDefault="0039031B" w:rsidP="0039031B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- Denotes equal contribution of authors</w:t>
      </w:r>
    </w:p>
    <w:p w14:paraId="31AA3334" w14:textId="77777777" w:rsidR="0039031B" w:rsidRDefault="0039031B" w:rsidP="0039031B">
      <w:pPr>
        <w:spacing w:after="160" w:line="278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‘ –</w:t>
      </w:r>
      <w:proofErr w:type="gramEnd"/>
      <w:r>
        <w:rPr>
          <w:rFonts w:ascii="Times New Roman" w:hAnsi="Times New Roman" w:cs="Times New Roman"/>
        </w:rPr>
        <w:t xml:space="preserve"> Corresponding Authors</w:t>
      </w:r>
    </w:p>
    <w:p w14:paraId="34F8FA3A" w14:textId="77777777" w:rsidR="0039031B" w:rsidRDefault="0039031B" w:rsidP="0039031B">
      <w:pPr>
        <w:spacing w:after="160" w:line="278" w:lineRule="auto"/>
        <w:rPr>
          <w:rFonts w:ascii="Times New Roman" w:hAnsi="Times New Roman" w:cs="Times New Roman"/>
        </w:rPr>
      </w:pPr>
    </w:p>
    <w:p w14:paraId="12876894" w14:textId="77777777" w:rsidR="0039031B" w:rsidRDefault="0039031B" w:rsidP="0039031B">
      <w:pPr>
        <w:spacing w:after="160" w:line="278" w:lineRule="auto"/>
        <w:rPr>
          <w:rFonts w:ascii="Times New Roman" w:hAnsi="Times New Roman" w:cs="Times New Roman"/>
        </w:rPr>
      </w:pPr>
    </w:p>
    <w:p w14:paraId="79DA9D42" w14:textId="73660410" w:rsidR="0039031B" w:rsidRDefault="0039031B" w:rsidP="0039031B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Figures S1 – S</w:t>
      </w:r>
      <w:r w:rsidR="0084769E">
        <w:rPr>
          <w:rFonts w:ascii="Times New Roman" w:hAnsi="Times New Roman" w:cs="Times New Roman"/>
        </w:rPr>
        <w:t>10</w:t>
      </w:r>
    </w:p>
    <w:p w14:paraId="46974F2E" w14:textId="6FA72245" w:rsidR="0039031B" w:rsidRDefault="0039031B" w:rsidP="0039031B">
      <w:pPr>
        <w:spacing w:after="160" w:line="278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C1AE693" w14:textId="77777777" w:rsidR="00053443" w:rsidRDefault="00053443" w:rsidP="00053443">
      <w:pPr>
        <w:jc w:val="center"/>
        <w:rPr>
          <w:rFonts w:ascii="Times New Roman" w:hAnsi="Times New Roman" w:cs="Times New Roman"/>
          <w:sz w:val="21"/>
          <w:szCs w:val="21"/>
        </w:rPr>
      </w:pPr>
      <w:r w:rsidRPr="00CE2483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3A19EC1F" wp14:editId="1621FA72">
            <wp:extent cx="4514298" cy="3589867"/>
            <wp:effectExtent l="0" t="0" r="0" b="4445"/>
            <wp:docPr id="1823044672" name="Picture 1" descr="A graph of 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8782" name="Picture 1" descr="A graph of a graph of a functio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4335" cy="36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C7E86" w14:textId="3518B293" w:rsidR="00053443" w:rsidRPr="00287D6B" w:rsidRDefault="00053443" w:rsidP="00053443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Pr="00287D6B">
        <w:rPr>
          <w:rFonts w:ascii="Times New Roman" w:hAnsi="Times New Roman" w:cs="Times New Roman"/>
          <w:b/>
          <w:bCs/>
          <w:sz w:val="21"/>
          <w:szCs w:val="21"/>
        </w:rPr>
        <w:t>. Temporal Changes in Antibodies Species</w:t>
      </w:r>
    </w:p>
    <w:p w14:paraId="7D5ED4E2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Concentration of individual species changes over time </w:t>
      </w:r>
      <w:r w:rsidRPr="003B0989">
        <w:rPr>
          <w:rFonts w:ascii="Times New Roman" w:hAnsi="Times New Roman" w:cs="Times New Roman"/>
          <w:sz w:val="21"/>
          <w:szCs w:val="21"/>
        </w:rPr>
        <w:t>at high expression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0AECB3F1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1B6D9A9D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355444D8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693F79BB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00C934AC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46E8E164" w14:textId="77777777" w:rsidR="00053443" w:rsidRDefault="00053443" w:rsidP="00053443">
      <w:pPr>
        <w:jc w:val="center"/>
        <w:rPr>
          <w:rFonts w:ascii="Times New Roman" w:hAnsi="Times New Roman" w:cs="Times New Roman"/>
          <w:sz w:val="21"/>
          <w:szCs w:val="21"/>
        </w:rPr>
      </w:pPr>
      <w:r w:rsidRPr="00CE2483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1A6DFA81" wp14:editId="56B722B2">
            <wp:extent cx="5894402" cy="3251200"/>
            <wp:effectExtent l="0" t="0" r="0" b="0"/>
            <wp:docPr id="880598098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221458" name="Picture 1" descr="A diagram of a graph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9929" cy="327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B859A" w14:textId="4B37C77E" w:rsidR="00053443" w:rsidRPr="00287D6B" w:rsidRDefault="00053443" w:rsidP="00053443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3E77AE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Pr="00287D6B">
        <w:rPr>
          <w:rFonts w:ascii="Times New Roman" w:hAnsi="Times New Roman" w:cs="Times New Roman"/>
          <w:b/>
          <w:bCs/>
          <w:sz w:val="21"/>
          <w:szCs w:val="21"/>
        </w:rPr>
        <w:t>. Individual Species Concentrations as a Function of Antibody Concentration</w:t>
      </w:r>
    </w:p>
    <w:p w14:paraId="0DE161B4" w14:textId="275BE090" w:rsidR="00053443" w:rsidRPr="003B0989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The concentration profiles of individual species (varying antibody bound states) changes over antibody concentration </w:t>
      </w:r>
      <w:r w:rsidRPr="003B0989">
        <w:rPr>
          <w:rFonts w:ascii="Times New Roman" w:hAnsi="Times New Roman" w:cs="Times New Roman"/>
          <w:sz w:val="21"/>
          <w:szCs w:val="21"/>
        </w:rPr>
        <w:t>at high and low expression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20C21799" w14:textId="248909F0" w:rsidR="00053443" w:rsidRDefault="00053443">
      <w:pPr>
        <w:spacing w:after="160" w:line="278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384F0CF6" w14:textId="77777777" w:rsidR="00053443" w:rsidRDefault="00053443" w:rsidP="00053443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141C4905" w14:textId="77777777" w:rsidR="00053443" w:rsidRDefault="00053443" w:rsidP="00460BB2">
      <w:pPr>
        <w:jc w:val="center"/>
      </w:pPr>
    </w:p>
    <w:p w14:paraId="0288FA21" w14:textId="169959F2" w:rsidR="003B12B0" w:rsidRDefault="00CE2483" w:rsidP="00460BB2">
      <w:pPr>
        <w:jc w:val="center"/>
      </w:pPr>
      <w:r w:rsidRPr="00CE2483">
        <w:rPr>
          <w:noProof/>
        </w:rPr>
        <w:drawing>
          <wp:inline distT="0" distB="0" distL="0" distR="0" wp14:anchorId="13A698F5" wp14:editId="7F47DC6F">
            <wp:extent cx="4185920" cy="1395307"/>
            <wp:effectExtent l="0" t="0" r="5080" b="0"/>
            <wp:docPr id="15718047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047" name="Picture 1" descr="A graph of different colored line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03446" cy="14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EE14F" w14:textId="77777777" w:rsidR="0036497E" w:rsidRDefault="0036497E" w:rsidP="00460BB2">
      <w:pPr>
        <w:jc w:val="center"/>
      </w:pPr>
    </w:p>
    <w:p w14:paraId="44BC6580" w14:textId="0F877A03" w:rsidR="00460BB2" w:rsidRPr="00287D6B" w:rsidRDefault="00460BB2" w:rsidP="0036497E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053443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="00287D6B" w:rsidRPr="00287D6B">
        <w:rPr>
          <w:rFonts w:ascii="Times New Roman" w:hAnsi="Times New Roman" w:cs="Times New Roman"/>
          <w:b/>
          <w:bCs/>
          <w:sz w:val="21"/>
          <w:szCs w:val="21"/>
        </w:rPr>
        <w:t>. Kinetic Model Sensitivity Analysis</w:t>
      </w:r>
    </w:p>
    <w:p w14:paraId="197A574D" w14:textId="296BE636" w:rsidR="00460BB2" w:rsidRDefault="00460BB2" w:rsidP="0036497E">
      <w:pPr>
        <w:ind w:left="720"/>
        <w:rPr>
          <w:rFonts w:ascii="Times New Roman" w:hAnsi="Times New Roman" w:cs="Times New Roman"/>
          <w:sz w:val="21"/>
          <w:szCs w:val="21"/>
        </w:rPr>
      </w:pPr>
      <w:r w:rsidRPr="001A1F0B">
        <w:rPr>
          <w:rFonts w:ascii="Times New Roman" w:hAnsi="Times New Roman" w:cs="Times New Roman"/>
          <w:sz w:val="21"/>
          <w:szCs w:val="21"/>
        </w:rPr>
        <w:t>Sensitivity analysis of parameters in the model at high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1A1F0B">
        <w:rPr>
          <w:rFonts w:ascii="Times New Roman" w:hAnsi="Times New Roman" w:cs="Times New Roman"/>
          <w:sz w:val="21"/>
          <w:szCs w:val="21"/>
        </w:rPr>
        <w:t>) and low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1A1F0B">
        <w:rPr>
          <w:rFonts w:ascii="Times New Roman" w:hAnsi="Times New Roman" w:cs="Times New Roman"/>
          <w:sz w:val="21"/>
          <w:szCs w:val="21"/>
        </w:rPr>
        <w:t>) antigen expression.</w:t>
      </w:r>
      <w:r w:rsidR="001A1F0B" w:rsidRPr="001A1F0B">
        <w:rPr>
          <w:rFonts w:ascii="Times New Roman" w:hAnsi="Times New Roman" w:cs="Times New Roman"/>
          <w:sz w:val="21"/>
          <w:szCs w:val="21"/>
        </w:rPr>
        <w:t xml:space="preserve"> Values are varied from WT </w:t>
      </w:r>
      <w:proofErr w:type="gramStart"/>
      <w:r w:rsidR="001A1F0B" w:rsidRPr="001A1F0B">
        <w:rPr>
          <w:rFonts w:ascii="Times New Roman" w:hAnsi="Times New Roman" w:cs="Times New Roman"/>
          <w:sz w:val="21"/>
          <w:szCs w:val="21"/>
        </w:rPr>
        <w:t>trastuzumab</w:t>
      </w:r>
      <w:proofErr w:type="gramEnd"/>
      <w:r w:rsidR="001A1F0B" w:rsidRPr="001A1F0B">
        <w:rPr>
          <w:rFonts w:ascii="Times New Roman" w:hAnsi="Times New Roman" w:cs="Times New Roman"/>
          <w:sz w:val="21"/>
          <w:szCs w:val="21"/>
        </w:rPr>
        <w:t xml:space="preserve"> and the results show the change of induction at an antibody concentration of 10nM.</w:t>
      </w:r>
    </w:p>
    <w:p w14:paraId="5B46B652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58D9DDF5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59CDF6B6" w14:textId="77777777" w:rsidR="003B0989" w:rsidRPr="001A1F0B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2D5472DC" w14:textId="77777777" w:rsidR="00460BB2" w:rsidRDefault="00460BB2" w:rsidP="00460BB2">
      <w:pPr>
        <w:rPr>
          <w:sz w:val="21"/>
          <w:szCs w:val="21"/>
        </w:rPr>
      </w:pPr>
    </w:p>
    <w:p w14:paraId="44A00145" w14:textId="77777777" w:rsidR="00460BB2" w:rsidRDefault="00460BB2" w:rsidP="00460BB2">
      <w:pPr>
        <w:rPr>
          <w:sz w:val="21"/>
          <w:szCs w:val="21"/>
        </w:rPr>
      </w:pPr>
    </w:p>
    <w:p w14:paraId="2797F23F" w14:textId="5B6078F0" w:rsidR="00460BB2" w:rsidRDefault="0091328C" w:rsidP="00460BB2">
      <w:pPr>
        <w:jc w:val="center"/>
        <w:rPr>
          <w:sz w:val="21"/>
          <w:szCs w:val="21"/>
        </w:rPr>
      </w:pPr>
      <w:r w:rsidRPr="0091328C">
        <w:rPr>
          <w:noProof/>
        </w:rPr>
        <w:t xml:space="preserve"> </w:t>
      </w:r>
      <w:r w:rsidR="004B24B4" w:rsidRPr="004B24B4">
        <w:rPr>
          <w:noProof/>
          <w:sz w:val="21"/>
          <w:szCs w:val="21"/>
        </w:rPr>
        <w:drawing>
          <wp:inline distT="0" distB="0" distL="0" distR="0" wp14:anchorId="65ACB775" wp14:editId="3A0A7A33">
            <wp:extent cx="3796588" cy="4504933"/>
            <wp:effectExtent l="0" t="0" r="1270" b="3810"/>
            <wp:docPr id="1053399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3994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2448" cy="453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F9EFF" w14:textId="77777777" w:rsidR="0036497E" w:rsidRDefault="0036497E" w:rsidP="00460BB2">
      <w:pPr>
        <w:jc w:val="center"/>
        <w:rPr>
          <w:sz w:val="21"/>
          <w:szCs w:val="21"/>
        </w:rPr>
      </w:pPr>
    </w:p>
    <w:p w14:paraId="4629DCDD" w14:textId="5AF35CB9" w:rsidR="00460BB2" w:rsidRPr="00287D6B" w:rsidRDefault="00460BB2" w:rsidP="0036497E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053443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287D6B" w:rsidRPr="00287D6B">
        <w:rPr>
          <w:rFonts w:ascii="Times New Roman" w:hAnsi="Times New Roman" w:cs="Times New Roman"/>
          <w:b/>
          <w:bCs/>
          <w:sz w:val="21"/>
          <w:szCs w:val="21"/>
        </w:rPr>
        <w:t>. Blocking Trastuzumab Signal Induction with LALAPG or Fab’2 Antibodies</w:t>
      </w:r>
    </w:p>
    <w:p w14:paraId="1CD2B182" w14:textId="7ACCD54D" w:rsidR="00460BB2" w:rsidRDefault="00460BB2" w:rsidP="0036497E">
      <w:pPr>
        <w:ind w:left="720"/>
        <w:rPr>
          <w:rFonts w:ascii="Times New Roman" w:hAnsi="Times New Roman" w:cs="Times New Roman"/>
          <w:sz w:val="21"/>
          <w:szCs w:val="21"/>
        </w:rPr>
      </w:pPr>
      <w:proofErr w:type="gramStart"/>
      <w:r w:rsidRPr="003D668A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1A1F0B">
        <w:rPr>
          <w:rFonts w:ascii="Times New Roman" w:hAnsi="Times New Roman" w:cs="Times New Roman"/>
          <w:sz w:val="21"/>
          <w:szCs w:val="21"/>
        </w:rPr>
        <w:t xml:space="preserve"> and</w:t>
      </w:r>
      <w:proofErr w:type="gramEnd"/>
      <w:r w:rsidRPr="001A1F0B">
        <w:rPr>
          <w:rFonts w:ascii="Times New Roman" w:hAnsi="Times New Roman" w:cs="Times New Roman"/>
          <w:sz w:val="21"/>
          <w:szCs w:val="21"/>
        </w:rPr>
        <w:t xml:space="preserve">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1A1F0B">
        <w:rPr>
          <w:rFonts w:ascii="Times New Roman" w:hAnsi="Times New Roman" w:cs="Times New Roman"/>
          <w:sz w:val="21"/>
          <w:szCs w:val="21"/>
        </w:rPr>
        <w:t xml:space="preserve">. </w:t>
      </w:r>
      <w:r w:rsidR="001A1F0B" w:rsidRPr="001A1F0B">
        <w:rPr>
          <w:rFonts w:ascii="Times New Roman" w:hAnsi="Times New Roman" w:cs="Times New Roman"/>
          <w:sz w:val="21"/>
          <w:szCs w:val="21"/>
        </w:rPr>
        <w:t xml:space="preserve">Comparison between </w:t>
      </w:r>
      <w:r w:rsidR="003B0989">
        <w:rPr>
          <w:rFonts w:ascii="Times New Roman" w:hAnsi="Times New Roman" w:cs="Times New Roman"/>
          <w:sz w:val="21"/>
          <w:szCs w:val="21"/>
        </w:rPr>
        <w:t xml:space="preserve">the </w:t>
      </w:r>
      <w:r w:rsidR="001A1F0B" w:rsidRPr="001A1F0B">
        <w:rPr>
          <w:rFonts w:ascii="Times New Roman" w:hAnsi="Times New Roman" w:cs="Times New Roman"/>
          <w:sz w:val="21"/>
          <w:szCs w:val="21"/>
        </w:rPr>
        <w:t>LALAPG</w:t>
      </w:r>
      <w:r w:rsidR="003B0989">
        <w:rPr>
          <w:rFonts w:ascii="Times New Roman" w:hAnsi="Times New Roman" w:cs="Times New Roman"/>
          <w:sz w:val="21"/>
          <w:szCs w:val="21"/>
        </w:rPr>
        <w:t xml:space="preserve"> variant</w:t>
      </w:r>
      <w:r w:rsidR="001A1F0B">
        <w:rPr>
          <w:rFonts w:ascii="Times New Roman" w:hAnsi="Times New Roman" w:cs="Times New Roman"/>
          <w:sz w:val="21"/>
          <w:szCs w:val="21"/>
        </w:rPr>
        <w:t xml:space="preserve"> </w:t>
      </w:r>
      <w:r w:rsidR="001A1F0B" w:rsidRPr="001A1F0B">
        <w:rPr>
          <w:rFonts w:ascii="Times New Roman" w:hAnsi="Times New Roman" w:cs="Times New Roman"/>
          <w:sz w:val="21"/>
          <w:szCs w:val="21"/>
        </w:rPr>
        <w:t>and F</w:t>
      </w:r>
      <w:r w:rsidR="00287D6B">
        <w:rPr>
          <w:rFonts w:ascii="Times New Roman" w:hAnsi="Times New Roman" w:cs="Times New Roman"/>
          <w:sz w:val="21"/>
          <w:szCs w:val="21"/>
        </w:rPr>
        <w:t>(</w:t>
      </w:r>
      <w:r w:rsidR="001A1F0B" w:rsidRPr="001A1F0B">
        <w:rPr>
          <w:rFonts w:ascii="Times New Roman" w:hAnsi="Times New Roman" w:cs="Times New Roman"/>
          <w:sz w:val="21"/>
          <w:szCs w:val="21"/>
        </w:rPr>
        <w:t>ab</w:t>
      </w:r>
      <w:r w:rsidR="00287D6B">
        <w:rPr>
          <w:rFonts w:ascii="Times New Roman" w:hAnsi="Times New Roman" w:cs="Times New Roman"/>
          <w:sz w:val="21"/>
          <w:szCs w:val="21"/>
        </w:rPr>
        <w:t>’</w:t>
      </w:r>
      <w:r w:rsidR="001A1F0B" w:rsidRPr="001A1F0B">
        <w:rPr>
          <w:rFonts w:ascii="Times New Roman" w:hAnsi="Times New Roman" w:cs="Times New Roman"/>
          <w:sz w:val="21"/>
          <w:szCs w:val="21"/>
        </w:rPr>
        <w:t xml:space="preserve">)2 shows the Fc </w:t>
      </w:r>
      <w:r w:rsidR="00287D6B">
        <w:rPr>
          <w:rFonts w:ascii="Times New Roman" w:hAnsi="Times New Roman" w:cs="Times New Roman"/>
          <w:sz w:val="21"/>
          <w:szCs w:val="21"/>
        </w:rPr>
        <w:t>domain</w:t>
      </w:r>
      <w:r w:rsidR="001A1F0B" w:rsidRPr="001A1F0B">
        <w:rPr>
          <w:rFonts w:ascii="Times New Roman" w:hAnsi="Times New Roman" w:cs="Times New Roman"/>
          <w:sz w:val="21"/>
          <w:szCs w:val="21"/>
        </w:rPr>
        <w:t xml:space="preserve"> of LALAPG is inactiv</w:t>
      </w:r>
      <w:r w:rsidR="00287D6B">
        <w:rPr>
          <w:rFonts w:ascii="Times New Roman" w:hAnsi="Times New Roman" w:cs="Times New Roman"/>
          <w:sz w:val="21"/>
          <w:szCs w:val="21"/>
        </w:rPr>
        <w:t>e</w:t>
      </w:r>
      <w:r w:rsidR="001A1F0B" w:rsidRPr="001A1F0B">
        <w:rPr>
          <w:rFonts w:ascii="Times New Roman" w:hAnsi="Times New Roman" w:cs="Times New Roman"/>
          <w:sz w:val="21"/>
          <w:szCs w:val="21"/>
        </w:rPr>
        <w:t>. The Fc region of LALAPG has no impact on the blocking</w:t>
      </w:r>
      <w:r w:rsidR="00287D6B">
        <w:rPr>
          <w:rFonts w:ascii="Times New Roman" w:hAnsi="Times New Roman" w:cs="Times New Roman"/>
          <w:sz w:val="21"/>
          <w:szCs w:val="21"/>
        </w:rPr>
        <w:t xml:space="preserve"> given the identical results with the F(ab’)2</w:t>
      </w:r>
      <w:r w:rsidR="001A1F0B" w:rsidRPr="001A1F0B">
        <w:rPr>
          <w:rFonts w:ascii="Times New Roman" w:hAnsi="Times New Roman" w:cs="Times New Roman"/>
          <w:sz w:val="21"/>
          <w:szCs w:val="21"/>
        </w:rPr>
        <w:t>.</w:t>
      </w:r>
      <w:r w:rsidR="00DD237D">
        <w:rPr>
          <w:rFonts w:ascii="Times New Roman" w:hAnsi="Times New Roman" w:cs="Times New Roman"/>
          <w:sz w:val="21"/>
          <w:szCs w:val="21"/>
        </w:rPr>
        <w:t xml:space="preserve">  </w:t>
      </w:r>
      <w:r w:rsidR="001A1F0B" w:rsidRPr="001A1F0B">
        <w:rPr>
          <w:rFonts w:ascii="Times New Roman" w:hAnsi="Times New Roman" w:cs="Times New Roman"/>
          <w:sz w:val="21"/>
          <w:szCs w:val="21"/>
        </w:rPr>
        <w:t xml:space="preserve"> </w:t>
      </w:r>
      <w:r w:rsidR="001A1F0B" w:rsidRPr="003D668A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="001A1F0B" w:rsidRPr="001A1F0B">
        <w:rPr>
          <w:rFonts w:ascii="Times New Roman" w:hAnsi="Times New Roman" w:cs="Times New Roman"/>
          <w:sz w:val="21"/>
          <w:szCs w:val="21"/>
        </w:rPr>
        <w:t xml:space="preserve">. </w:t>
      </w:r>
      <w:r w:rsidR="00287D6B">
        <w:rPr>
          <w:rFonts w:ascii="Times New Roman" w:hAnsi="Times New Roman" w:cs="Times New Roman"/>
          <w:sz w:val="21"/>
          <w:szCs w:val="21"/>
        </w:rPr>
        <w:t xml:space="preserve">A conceptual model of the </w:t>
      </w:r>
      <w:r w:rsidR="004B24B4">
        <w:rPr>
          <w:rFonts w:ascii="Times New Roman" w:hAnsi="Times New Roman" w:cs="Times New Roman"/>
          <w:sz w:val="21"/>
          <w:szCs w:val="21"/>
        </w:rPr>
        <w:t xml:space="preserve">synapse shows efficient clustering of Fc receptors by WT antibodies. </w:t>
      </w:r>
      <w:r w:rsidR="004B24B4" w:rsidRPr="002718F6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="004B24B4">
        <w:rPr>
          <w:rFonts w:ascii="Times New Roman" w:hAnsi="Times New Roman" w:cs="Times New Roman"/>
          <w:sz w:val="21"/>
          <w:szCs w:val="21"/>
        </w:rPr>
        <w:t xml:space="preserve">. However, </w:t>
      </w:r>
      <w:r w:rsidR="00287D6B">
        <w:rPr>
          <w:rFonts w:ascii="Times New Roman" w:hAnsi="Times New Roman" w:cs="Times New Roman"/>
          <w:sz w:val="21"/>
          <w:szCs w:val="21"/>
        </w:rPr>
        <w:t>t</w:t>
      </w:r>
      <w:r w:rsidR="003B0989">
        <w:rPr>
          <w:rFonts w:ascii="Times New Roman" w:hAnsi="Times New Roman" w:cs="Times New Roman"/>
          <w:sz w:val="21"/>
          <w:szCs w:val="21"/>
        </w:rPr>
        <w:t xml:space="preserve">he </w:t>
      </w:r>
      <w:r w:rsidR="001A1F0B">
        <w:rPr>
          <w:rFonts w:ascii="Times New Roman" w:hAnsi="Times New Roman" w:cs="Times New Roman"/>
          <w:sz w:val="21"/>
          <w:szCs w:val="21"/>
        </w:rPr>
        <w:t>LALAPG</w:t>
      </w:r>
      <w:r w:rsidR="003B0989">
        <w:rPr>
          <w:rFonts w:ascii="Times New Roman" w:hAnsi="Times New Roman" w:cs="Times New Roman"/>
          <w:sz w:val="21"/>
          <w:szCs w:val="21"/>
        </w:rPr>
        <w:t xml:space="preserve"> variant</w:t>
      </w:r>
      <w:r w:rsidR="001A1F0B">
        <w:rPr>
          <w:rFonts w:ascii="Times New Roman" w:hAnsi="Times New Roman" w:cs="Times New Roman"/>
          <w:sz w:val="21"/>
          <w:szCs w:val="21"/>
        </w:rPr>
        <w:t xml:space="preserve"> efficiently blocks</w:t>
      </w:r>
      <w:r w:rsidR="003B0989">
        <w:rPr>
          <w:rFonts w:ascii="Times New Roman" w:hAnsi="Times New Roman" w:cs="Times New Roman"/>
          <w:sz w:val="21"/>
          <w:szCs w:val="21"/>
        </w:rPr>
        <w:t xml:space="preserve"> the binding of WT antibodies </w:t>
      </w:r>
      <w:r w:rsidR="004B24B4">
        <w:rPr>
          <w:rFonts w:ascii="Times New Roman" w:hAnsi="Times New Roman" w:cs="Times New Roman"/>
          <w:sz w:val="21"/>
          <w:szCs w:val="21"/>
        </w:rPr>
        <w:t>within the</w:t>
      </w:r>
      <w:r w:rsidR="003B0989">
        <w:rPr>
          <w:rFonts w:ascii="Times New Roman" w:hAnsi="Times New Roman" w:cs="Times New Roman"/>
          <w:sz w:val="21"/>
          <w:szCs w:val="21"/>
        </w:rPr>
        <w:t xml:space="preserve"> confined area </w:t>
      </w:r>
      <w:r w:rsidR="004B24B4">
        <w:rPr>
          <w:rFonts w:ascii="Times New Roman" w:hAnsi="Times New Roman" w:cs="Times New Roman"/>
          <w:sz w:val="21"/>
          <w:szCs w:val="21"/>
        </w:rPr>
        <w:t xml:space="preserve">of the synapse. Even when the number of WT antibodies bound to HER2 is in excess of the total number of Fc receptors, </w:t>
      </w:r>
      <w:r w:rsidR="003B0989">
        <w:rPr>
          <w:rFonts w:ascii="Times New Roman" w:hAnsi="Times New Roman" w:cs="Times New Roman"/>
          <w:sz w:val="21"/>
          <w:szCs w:val="21"/>
        </w:rPr>
        <w:t>limited receptor diffusion</w:t>
      </w:r>
      <w:r w:rsidR="004B24B4">
        <w:rPr>
          <w:rFonts w:ascii="Times New Roman" w:hAnsi="Times New Roman" w:cs="Times New Roman"/>
          <w:sz w:val="21"/>
          <w:szCs w:val="21"/>
        </w:rPr>
        <w:t xml:space="preserve"> could prevent these bound </w:t>
      </w:r>
      <w:r w:rsidR="00053443">
        <w:rPr>
          <w:rFonts w:ascii="Times New Roman" w:hAnsi="Times New Roman" w:cs="Times New Roman"/>
          <w:sz w:val="21"/>
          <w:szCs w:val="21"/>
        </w:rPr>
        <w:t xml:space="preserve">WT </w:t>
      </w:r>
      <w:r w:rsidR="004B24B4">
        <w:rPr>
          <w:rFonts w:ascii="Times New Roman" w:hAnsi="Times New Roman" w:cs="Times New Roman"/>
          <w:sz w:val="21"/>
          <w:szCs w:val="21"/>
        </w:rPr>
        <w:t>antibodies from accessing FcR within the synapse</w:t>
      </w:r>
      <w:r w:rsidR="003B0989">
        <w:rPr>
          <w:rFonts w:ascii="Times New Roman" w:hAnsi="Times New Roman" w:cs="Times New Roman"/>
          <w:sz w:val="21"/>
          <w:szCs w:val="21"/>
        </w:rPr>
        <w:t>.</w:t>
      </w:r>
    </w:p>
    <w:p w14:paraId="26E4E630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09D069C4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0B22B59E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44AC1563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302B3385" w14:textId="2E36F72D" w:rsidR="003B0989" w:rsidRDefault="00CE2483" w:rsidP="00CE2483">
      <w:pPr>
        <w:jc w:val="center"/>
        <w:rPr>
          <w:rFonts w:ascii="Times New Roman" w:hAnsi="Times New Roman" w:cs="Times New Roman"/>
          <w:sz w:val="21"/>
          <w:szCs w:val="21"/>
        </w:rPr>
      </w:pPr>
      <w:r w:rsidRPr="00CE2483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0DB55450" wp14:editId="76A6EE15">
            <wp:extent cx="4967288" cy="2224701"/>
            <wp:effectExtent l="0" t="0" r="5080" b="4445"/>
            <wp:docPr id="1505824298" name="Picture 1" descr="A group of graphs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824298" name="Picture 1" descr="A group of graphs with numbers and letters&#10;&#10;AI-generated content may be incorrect."/>
                    <pic:cNvPicPr/>
                  </pic:nvPicPr>
                  <pic:blipFill rotWithShape="1">
                    <a:blip r:embed="rId8"/>
                    <a:srcRect t="1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096" cy="2229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8B1D2" w14:textId="77777777" w:rsidR="003B0989" w:rsidRDefault="003B0989" w:rsidP="00460BB2">
      <w:pPr>
        <w:rPr>
          <w:rFonts w:ascii="Times New Roman" w:hAnsi="Times New Roman" w:cs="Times New Roman"/>
          <w:sz w:val="21"/>
          <w:szCs w:val="21"/>
        </w:rPr>
      </w:pPr>
    </w:p>
    <w:p w14:paraId="212BE0EB" w14:textId="6D4148E7" w:rsidR="003B0989" w:rsidRDefault="003B0989" w:rsidP="003B0989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B8CD990" w14:textId="1F1FEF60" w:rsidR="003B0989" w:rsidRPr="00287D6B" w:rsidRDefault="003B0989" w:rsidP="0036497E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053443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="00287D6B" w:rsidRPr="00287D6B">
        <w:rPr>
          <w:rFonts w:ascii="Times New Roman" w:hAnsi="Times New Roman" w:cs="Times New Roman"/>
          <w:b/>
          <w:bCs/>
          <w:sz w:val="21"/>
          <w:szCs w:val="21"/>
        </w:rPr>
        <w:t>. Model Validation with enhanced Fc antibody Mixtures with wt Fab LALAPG antibodies</w:t>
      </w:r>
    </w:p>
    <w:p w14:paraId="5B08628A" w14:textId="03259741" w:rsidR="003B0989" w:rsidRPr="003B0989" w:rsidRDefault="003B0989" w:rsidP="0036497E">
      <w:pPr>
        <w:ind w:left="720"/>
        <w:rPr>
          <w:rFonts w:ascii="Times New Roman" w:hAnsi="Times New Roman" w:cs="Times New Roman"/>
          <w:sz w:val="21"/>
          <w:szCs w:val="21"/>
        </w:rPr>
      </w:pPr>
      <w:r w:rsidRPr="003B0989">
        <w:rPr>
          <w:rFonts w:ascii="Times New Roman" w:hAnsi="Times New Roman" w:cs="Times New Roman"/>
          <w:sz w:val="21"/>
          <w:szCs w:val="21"/>
        </w:rPr>
        <w:t>Reporter cell induction with the co-administration of</w:t>
      </w:r>
      <w:r>
        <w:rPr>
          <w:rFonts w:ascii="Times New Roman" w:hAnsi="Times New Roman" w:cs="Times New Roman"/>
          <w:sz w:val="21"/>
          <w:szCs w:val="21"/>
        </w:rPr>
        <w:t xml:space="preserve"> Fc enhanced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antibodies and the Fc inactivated mutant LALAPG at high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3B0989">
        <w:rPr>
          <w:rFonts w:ascii="Times New Roman" w:hAnsi="Times New Roman" w:cs="Times New Roman"/>
          <w:sz w:val="21"/>
          <w:szCs w:val="21"/>
        </w:rPr>
        <w:t>) and low expression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 xml:space="preserve"> D</w:t>
      </w:r>
      <w:r w:rsidRPr="003B0989">
        <w:rPr>
          <w:rFonts w:ascii="Times New Roman" w:hAnsi="Times New Roman" w:cs="Times New Roman"/>
          <w:sz w:val="21"/>
          <w:szCs w:val="21"/>
        </w:rPr>
        <w:t>) cell lines, compared with corresponding simulations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3B0989">
        <w:rPr>
          <w:rFonts w:ascii="Times New Roman" w:hAnsi="Times New Roman" w:cs="Times New Roman"/>
          <w:sz w:val="21"/>
          <w:szCs w:val="21"/>
        </w:rPr>
        <w:t>-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H</w:t>
      </w:r>
      <w:r w:rsidRPr="003B0989">
        <w:rPr>
          <w:rFonts w:ascii="Times New Roman" w:hAnsi="Times New Roman" w:cs="Times New Roman"/>
          <w:sz w:val="21"/>
          <w:szCs w:val="21"/>
        </w:rPr>
        <w:t>).</w:t>
      </w:r>
    </w:p>
    <w:p w14:paraId="36393401" w14:textId="77777777" w:rsidR="003B0989" w:rsidRDefault="003B0989" w:rsidP="003B0989">
      <w:pPr>
        <w:rPr>
          <w:rFonts w:ascii="Times New Roman" w:hAnsi="Times New Roman" w:cs="Times New Roman"/>
          <w:sz w:val="21"/>
          <w:szCs w:val="21"/>
        </w:rPr>
      </w:pPr>
    </w:p>
    <w:p w14:paraId="284F67CA" w14:textId="77777777" w:rsidR="003B0989" w:rsidRDefault="003B0989" w:rsidP="003B0989">
      <w:pPr>
        <w:rPr>
          <w:rFonts w:ascii="Times New Roman" w:hAnsi="Times New Roman" w:cs="Times New Roman"/>
          <w:sz w:val="21"/>
          <w:szCs w:val="21"/>
        </w:rPr>
      </w:pPr>
    </w:p>
    <w:p w14:paraId="7EED5C2D" w14:textId="77777777" w:rsidR="003B0989" w:rsidRDefault="003B0989" w:rsidP="003B0989">
      <w:pPr>
        <w:rPr>
          <w:rFonts w:ascii="Times New Roman" w:hAnsi="Times New Roman" w:cs="Times New Roman"/>
          <w:sz w:val="21"/>
          <w:szCs w:val="21"/>
        </w:rPr>
      </w:pPr>
    </w:p>
    <w:p w14:paraId="69B9CA4F" w14:textId="3CFF7E87" w:rsidR="003B0989" w:rsidRDefault="00CE2483" w:rsidP="003B0989">
      <w:pPr>
        <w:jc w:val="center"/>
        <w:rPr>
          <w:rFonts w:ascii="Times New Roman" w:hAnsi="Times New Roman" w:cs="Times New Roman"/>
          <w:sz w:val="21"/>
          <w:szCs w:val="21"/>
        </w:rPr>
      </w:pPr>
      <w:r w:rsidRPr="00CE2483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30A5C48E" wp14:editId="074308A7">
            <wp:extent cx="5233988" cy="2206998"/>
            <wp:effectExtent l="0" t="0" r="5080" b="3175"/>
            <wp:docPr id="1555404238" name="Picture 1" descr="A graph of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04238" name="Picture 1" descr="A graph of different types of data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0803" cy="220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AF368" w14:textId="77777777" w:rsidR="0036497E" w:rsidRDefault="0036497E" w:rsidP="003B0989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67BC4CA7" w14:textId="272EE7DB" w:rsidR="003B0989" w:rsidRPr="00287D6B" w:rsidRDefault="003B0989" w:rsidP="0036497E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053443">
        <w:rPr>
          <w:rFonts w:ascii="Times New Roman" w:hAnsi="Times New Roman" w:cs="Times New Roman"/>
          <w:b/>
          <w:bCs/>
          <w:sz w:val="21"/>
          <w:szCs w:val="21"/>
        </w:rPr>
        <w:t>6</w:t>
      </w:r>
      <w:r w:rsidR="00287D6B" w:rsidRPr="00287D6B">
        <w:rPr>
          <w:rFonts w:ascii="Times New Roman" w:hAnsi="Times New Roman" w:cs="Times New Roman"/>
          <w:b/>
          <w:bCs/>
          <w:sz w:val="21"/>
          <w:szCs w:val="21"/>
        </w:rPr>
        <w:t>. Model Validation with Varying Fab and Fc Domain Affinity Antibody Mixtures.</w:t>
      </w:r>
    </w:p>
    <w:p w14:paraId="3DD59070" w14:textId="5C7FC859" w:rsidR="003B0989" w:rsidRDefault="003B0989" w:rsidP="0036497E">
      <w:pPr>
        <w:ind w:left="720"/>
        <w:rPr>
          <w:rFonts w:ascii="Times New Roman" w:hAnsi="Times New Roman" w:cs="Times New Roman"/>
          <w:sz w:val="21"/>
          <w:szCs w:val="21"/>
        </w:rPr>
      </w:pPr>
      <w:r w:rsidRPr="003B0989">
        <w:rPr>
          <w:rFonts w:ascii="Times New Roman" w:hAnsi="Times New Roman" w:cs="Times New Roman"/>
          <w:sz w:val="21"/>
          <w:szCs w:val="21"/>
        </w:rPr>
        <w:t>Reporter cell induction with the co-administration of</w:t>
      </w:r>
      <w:r>
        <w:rPr>
          <w:rFonts w:ascii="Times New Roman" w:hAnsi="Times New Roman" w:cs="Times New Roman"/>
          <w:sz w:val="21"/>
          <w:szCs w:val="21"/>
        </w:rPr>
        <w:t xml:space="preserve"> Fc enhanced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antibodies and </w:t>
      </w:r>
      <w:r>
        <w:rPr>
          <w:rFonts w:ascii="Times New Roman" w:hAnsi="Times New Roman" w:cs="Times New Roman"/>
          <w:sz w:val="21"/>
          <w:szCs w:val="21"/>
        </w:rPr>
        <w:t>the WT or S12 antibodies</w:t>
      </w:r>
      <w:r w:rsidRPr="003B0989">
        <w:rPr>
          <w:rFonts w:ascii="Times New Roman" w:hAnsi="Times New Roman" w:cs="Times New Roman"/>
          <w:sz w:val="21"/>
          <w:szCs w:val="21"/>
        </w:rPr>
        <w:t xml:space="preserve"> at high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3B0989">
        <w:rPr>
          <w:rFonts w:ascii="Times New Roman" w:hAnsi="Times New Roman" w:cs="Times New Roman"/>
          <w:sz w:val="21"/>
          <w:szCs w:val="21"/>
        </w:rPr>
        <w:t>) and low expression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Pr="003B0989">
        <w:rPr>
          <w:rFonts w:ascii="Times New Roman" w:hAnsi="Times New Roman" w:cs="Times New Roman"/>
          <w:sz w:val="21"/>
          <w:szCs w:val="21"/>
        </w:rPr>
        <w:t>) cell lines, compared with corresponding simulations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3B0989">
        <w:rPr>
          <w:rFonts w:ascii="Times New Roman" w:hAnsi="Times New Roman" w:cs="Times New Roman"/>
          <w:sz w:val="21"/>
          <w:szCs w:val="21"/>
        </w:rPr>
        <w:t>-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H</w:t>
      </w:r>
      <w:r w:rsidRPr="003B0989">
        <w:rPr>
          <w:rFonts w:ascii="Times New Roman" w:hAnsi="Times New Roman" w:cs="Times New Roman"/>
          <w:sz w:val="21"/>
          <w:szCs w:val="21"/>
        </w:rPr>
        <w:t>).</w:t>
      </w:r>
    </w:p>
    <w:p w14:paraId="2075792C" w14:textId="77777777" w:rsidR="00001CCA" w:rsidRDefault="00001CCA" w:rsidP="0036497E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1C65634B" w14:textId="77777777" w:rsidR="00001CCA" w:rsidRDefault="00001CCA" w:rsidP="0036497E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070389A7" w14:textId="77777777" w:rsidR="00001CCA" w:rsidRDefault="00001CCA" w:rsidP="0036497E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67BE6F8F" w14:textId="77777777" w:rsidR="00001CCA" w:rsidRDefault="00001CCA" w:rsidP="0036497E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6BFFB946" w14:textId="79F60B76" w:rsidR="00001CCA" w:rsidRDefault="00001CCA" w:rsidP="00001CCA">
      <w:pPr>
        <w:ind w:left="720"/>
        <w:jc w:val="center"/>
        <w:rPr>
          <w:rFonts w:ascii="Times New Roman" w:hAnsi="Times New Roman" w:cs="Times New Roman"/>
          <w:sz w:val="21"/>
          <w:szCs w:val="21"/>
        </w:rPr>
      </w:pPr>
      <w:r w:rsidRPr="00001CCA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6F229D6F" wp14:editId="3FF3EB59">
            <wp:extent cx="5628674" cy="2180590"/>
            <wp:effectExtent l="0" t="0" r="0" b="0"/>
            <wp:docPr id="740281688" name="Picture 1" descr="A group of graphs showing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81688" name="Picture 1" descr="A group of graphs showing different types of data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9060" cy="218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8188F" w14:textId="4D8175F4" w:rsidR="00001CCA" w:rsidRPr="00287D6B" w:rsidRDefault="00001CCA" w:rsidP="00001CCA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053443">
        <w:rPr>
          <w:rFonts w:ascii="Times New Roman" w:hAnsi="Times New Roman" w:cs="Times New Roman"/>
          <w:b/>
          <w:bCs/>
          <w:sz w:val="21"/>
          <w:szCs w:val="21"/>
        </w:rPr>
        <w:t>7</w:t>
      </w:r>
      <w:r w:rsidRPr="00287D6B">
        <w:rPr>
          <w:rFonts w:ascii="Times New Roman" w:hAnsi="Times New Roman" w:cs="Times New Roman"/>
          <w:b/>
          <w:bCs/>
          <w:sz w:val="21"/>
          <w:szCs w:val="21"/>
        </w:rPr>
        <w:t xml:space="preserve">. Model Validation with </w:t>
      </w:r>
      <w:r>
        <w:rPr>
          <w:rFonts w:ascii="Times New Roman" w:hAnsi="Times New Roman" w:cs="Times New Roman"/>
          <w:b/>
          <w:bCs/>
          <w:sz w:val="21"/>
          <w:szCs w:val="21"/>
        </w:rPr>
        <w:t>EGFR antibody</w:t>
      </w:r>
    </w:p>
    <w:p w14:paraId="380306E8" w14:textId="3303DDEE" w:rsidR="00001CCA" w:rsidRDefault="00001CCA" w:rsidP="00001CCA">
      <w:pPr>
        <w:ind w:left="720"/>
        <w:rPr>
          <w:rFonts w:ascii="Times New Roman" w:hAnsi="Times New Roman" w:cs="Times New Roman"/>
          <w:sz w:val="21"/>
          <w:szCs w:val="21"/>
        </w:rPr>
      </w:pPr>
      <w:r w:rsidRPr="003B0989">
        <w:rPr>
          <w:rFonts w:ascii="Times New Roman" w:hAnsi="Times New Roman" w:cs="Times New Roman"/>
          <w:sz w:val="21"/>
          <w:szCs w:val="21"/>
        </w:rPr>
        <w:t xml:space="preserve">Reporter cell induction with </w:t>
      </w:r>
      <w:r>
        <w:rPr>
          <w:rFonts w:ascii="Times New Roman" w:hAnsi="Times New Roman" w:cs="Times New Roman"/>
          <w:sz w:val="21"/>
          <w:szCs w:val="21"/>
        </w:rPr>
        <w:t>anti-EGFR antibody GA201 and its three low-affinity mutants</w:t>
      </w:r>
      <w:r w:rsidRPr="003B0989">
        <w:rPr>
          <w:rFonts w:ascii="Times New Roman" w:hAnsi="Times New Roman" w:cs="Times New Roman"/>
          <w:sz w:val="21"/>
          <w:szCs w:val="21"/>
        </w:rPr>
        <w:t xml:space="preserve"> at high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3B0989">
        <w:rPr>
          <w:rFonts w:ascii="Times New Roman" w:hAnsi="Times New Roman" w:cs="Times New Roman"/>
          <w:sz w:val="21"/>
          <w:szCs w:val="21"/>
        </w:rPr>
        <w:t>)</w:t>
      </w:r>
      <w:r>
        <w:rPr>
          <w:rFonts w:ascii="Times New Roman" w:hAnsi="Times New Roman" w:cs="Times New Roman"/>
          <w:sz w:val="21"/>
          <w:szCs w:val="21"/>
        </w:rPr>
        <w:t>, medium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B</w:t>
      </w:r>
      <w:r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)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 low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3B0989"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G</w:t>
      </w:r>
      <w:r w:rsidRPr="003B0989">
        <w:rPr>
          <w:rFonts w:ascii="Times New Roman" w:hAnsi="Times New Roman" w:cs="Times New Roman"/>
          <w:sz w:val="21"/>
          <w:szCs w:val="21"/>
        </w:rPr>
        <w:t xml:space="preserve">) </w:t>
      </w:r>
      <w:r>
        <w:rPr>
          <w:rFonts w:ascii="Times New Roman" w:hAnsi="Times New Roman" w:cs="Times New Roman"/>
          <w:sz w:val="21"/>
          <w:szCs w:val="21"/>
        </w:rPr>
        <w:t xml:space="preserve">EGFR </w:t>
      </w:r>
      <w:r w:rsidRPr="003B0989">
        <w:rPr>
          <w:rFonts w:ascii="Times New Roman" w:hAnsi="Times New Roman" w:cs="Times New Roman"/>
          <w:sz w:val="21"/>
          <w:szCs w:val="21"/>
        </w:rPr>
        <w:t>expression cell lines</w:t>
      </w:r>
      <w:r>
        <w:rPr>
          <w:rFonts w:ascii="Times New Roman" w:hAnsi="Times New Roman" w:cs="Times New Roman"/>
          <w:sz w:val="21"/>
          <w:szCs w:val="21"/>
        </w:rPr>
        <w:t xml:space="preserve"> reported in Mazor et al. 2016, </w:t>
      </w:r>
      <w:proofErr w:type="spellStart"/>
      <w:r>
        <w:rPr>
          <w:rFonts w:ascii="Times New Roman" w:hAnsi="Times New Roman" w:cs="Times New Roman"/>
          <w:sz w:val="21"/>
          <w:szCs w:val="21"/>
        </w:rPr>
        <w:t>PLoS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One</w:t>
      </w:r>
      <w:r w:rsidRPr="003B0989">
        <w:rPr>
          <w:rFonts w:ascii="Times New Roman" w:hAnsi="Times New Roman" w:cs="Times New Roman"/>
          <w:sz w:val="21"/>
          <w:szCs w:val="21"/>
        </w:rPr>
        <w:t>, compared with corresponding simulations (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3B0989"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Times New Roman" w:hAnsi="Times New Roman" w:cs="Times New Roman"/>
          <w:b/>
          <w:bCs/>
          <w:sz w:val="21"/>
          <w:szCs w:val="21"/>
        </w:rPr>
        <w:t>G</w:t>
      </w:r>
      <w:r w:rsidRPr="003B0989">
        <w:rPr>
          <w:rFonts w:ascii="Times New Roman" w:hAnsi="Times New Roman" w:cs="Times New Roman"/>
          <w:sz w:val="21"/>
          <w:szCs w:val="21"/>
        </w:rPr>
        <w:t>).</w:t>
      </w:r>
      <w:r w:rsidR="00DD237D">
        <w:rPr>
          <w:rFonts w:ascii="Times New Roman" w:hAnsi="Times New Roman" w:cs="Times New Roman"/>
          <w:sz w:val="21"/>
          <w:szCs w:val="21"/>
        </w:rPr>
        <w:t xml:space="preserve"> The simulations successfully replicate the trends of low-affinity variants with improved signaling at saturating concentrations.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D</w:t>
      </w:r>
      <w:r>
        <w:rPr>
          <w:rFonts w:ascii="Times New Roman" w:hAnsi="Times New Roman" w:cs="Times New Roman"/>
          <w:sz w:val="21"/>
          <w:szCs w:val="21"/>
        </w:rPr>
        <w:t xml:space="preserve"> and </w:t>
      </w:r>
      <w:r w:rsidRPr="003D668A">
        <w:rPr>
          <w:rFonts w:ascii="Times New Roman" w:hAnsi="Times New Roman" w:cs="Times New Roman"/>
          <w:b/>
          <w:bCs/>
          <w:sz w:val="21"/>
          <w:szCs w:val="21"/>
        </w:rPr>
        <w:t>H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r w:rsidR="00DD237D">
        <w:rPr>
          <w:rFonts w:ascii="Times New Roman" w:hAnsi="Times New Roman" w:cs="Times New Roman"/>
          <w:sz w:val="21"/>
          <w:szCs w:val="21"/>
        </w:rPr>
        <w:t>Reporter cell induction with the monovalent WT mutant, compared with corresponding simulations.</w:t>
      </w:r>
    </w:p>
    <w:p w14:paraId="16F8F642" w14:textId="77777777" w:rsidR="00001CCA" w:rsidRPr="003B0989" w:rsidRDefault="00001CCA" w:rsidP="00001CCA">
      <w:pPr>
        <w:ind w:left="720"/>
        <w:jc w:val="center"/>
        <w:rPr>
          <w:rFonts w:ascii="Times New Roman" w:hAnsi="Times New Roman" w:cs="Times New Roman"/>
          <w:sz w:val="21"/>
          <w:szCs w:val="21"/>
        </w:rPr>
      </w:pPr>
    </w:p>
    <w:p w14:paraId="35465F21" w14:textId="77777777" w:rsidR="003B0989" w:rsidRDefault="003B0989" w:rsidP="003B0989">
      <w:pPr>
        <w:rPr>
          <w:rFonts w:ascii="Times New Roman" w:hAnsi="Times New Roman" w:cs="Times New Roman"/>
          <w:sz w:val="21"/>
          <w:szCs w:val="21"/>
        </w:rPr>
      </w:pPr>
    </w:p>
    <w:p w14:paraId="7719698F" w14:textId="77777777" w:rsidR="0036497E" w:rsidRDefault="0036497E" w:rsidP="003B0989">
      <w:pPr>
        <w:rPr>
          <w:rFonts w:ascii="Times New Roman" w:hAnsi="Times New Roman" w:cs="Times New Roman"/>
          <w:sz w:val="21"/>
          <w:szCs w:val="21"/>
        </w:rPr>
      </w:pPr>
    </w:p>
    <w:p w14:paraId="2C461EE1" w14:textId="77777777" w:rsidR="0085754B" w:rsidRDefault="0085754B" w:rsidP="00277EFE">
      <w:pPr>
        <w:rPr>
          <w:rFonts w:ascii="Times New Roman" w:hAnsi="Times New Roman" w:cs="Times New Roman"/>
          <w:sz w:val="21"/>
          <w:szCs w:val="21"/>
        </w:rPr>
      </w:pPr>
    </w:p>
    <w:p w14:paraId="147A5839" w14:textId="77777777" w:rsidR="0085754B" w:rsidRDefault="0085754B" w:rsidP="0036497E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29230DF2" w14:textId="77777777" w:rsidR="0085754B" w:rsidRPr="003B0989" w:rsidRDefault="0085754B" w:rsidP="0036497E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557BB99C" w14:textId="77777777" w:rsidR="0036497E" w:rsidRDefault="0036497E" w:rsidP="0036497E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10116CF3" w14:textId="37CF1570" w:rsidR="0085754B" w:rsidRDefault="00D6446A" w:rsidP="0085754B">
      <w:pPr>
        <w:jc w:val="center"/>
        <w:rPr>
          <w:rFonts w:ascii="Times New Roman" w:hAnsi="Times New Roman" w:cs="Times New Roman"/>
          <w:sz w:val="21"/>
          <w:szCs w:val="21"/>
        </w:rPr>
      </w:pPr>
      <w:r w:rsidRPr="00D6446A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1E7645B4" wp14:editId="5A7627CB">
            <wp:extent cx="5588949" cy="3540185"/>
            <wp:effectExtent l="0" t="0" r="0" b="3175"/>
            <wp:docPr id="862927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275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7420" cy="35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D4EAB" w14:textId="491EC162" w:rsidR="0085754B" w:rsidRPr="00287D6B" w:rsidRDefault="0085754B" w:rsidP="0085754B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</w:rPr>
        <w:t>8</w:t>
      </w:r>
      <w:r w:rsidRPr="00287D6B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>
        <w:rPr>
          <w:rFonts w:ascii="Times New Roman" w:hAnsi="Times New Roman" w:cs="Times New Roman"/>
          <w:b/>
          <w:bCs/>
          <w:sz w:val="21"/>
          <w:szCs w:val="21"/>
        </w:rPr>
        <w:t>Simulated fold induction across antigen density and affinity</w:t>
      </w:r>
    </w:p>
    <w:p w14:paraId="530FA5ED" w14:textId="031178C6" w:rsidR="0085754B" w:rsidRDefault="0085754B" w:rsidP="0085754B">
      <w:pPr>
        <w:ind w:left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Simulation results with the WT antibody or enhanced Fc mutants at 10nM</w:t>
      </w:r>
      <w:r w:rsidR="00D6446A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100nM</w:t>
      </w:r>
      <w:r w:rsidR="00D6446A">
        <w:rPr>
          <w:rFonts w:ascii="Times New Roman" w:hAnsi="Times New Roman" w:cs="Times New Roman"/>
          <w:sz w:val="21"/>
          <w:szCs w:val="21"/>
        </w:rPr>
        <w:t xml:space="preserve">, or 1 </w:t>
      </w:r>
      <w:r w:rsidR="00D6446A">
        <w:rPr>
          <w:rFonts w:ascii="Times New Roman" w:hAnsi="Times New Roman" w:cs="Times New Roman"/>
          <w:sz w:val="21"/>
          <w:szCs w:val="21"/>
        </w:rPr>
        <w:sym w:font="Symbol" w:char="F06D"/>
      </w:r>
      <w:r w:rsidR="00D6446A">
        <w:rPr>
          <w:rFonts w:ascii="Times New Roman" w:hAnsi="Times New Roman" w:cs="Times New Roman"/>
          <w:sz w:val="21"/>
          <w:szCs w:val="21"/>
        </w:rPr>
        <w:t>M</w:t>
      </w:r>
      <w:r>
        <w:rPr>
          <w:rFonts w:ascii="Times New Roman" w:hAnsi="Times New Roman" w:cs="Times New Roman"/>
          <w:sz w:val="21"/>
          <w:szCs w:val="21"/>
        </w:rPr>
        <w:t xml:space="preserve"> within a range of antigen density from 10K to 10M and a range of Fab affinity from 0.1nM to 100nM, representing the typical antibody concentrations and antigen expression levels in a clinical setting.</w:t>
      </w:r>
    </w:p>
    <w:p w14:paraId="4EC62BE0" w14:textId="77777777" w:rsidR="00DD237D" w:rsidRDefault="00DD237D" w:rsidP="0036497E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120D73F6" w14:textId="0605BF09" w:rsidR="00DD237D" w:rsidRDefault="00DD237D" w:rsidP="0036497E">
      <w:pPr>
        <w:jc w:val="center"/>
        <w:rPr>
          <w:noProof/>
        </w:rPr>
      </w:pPr>
      <w:r w:rsidRPr="00DD237D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4F24F529" wp14:editId="51E923BE">
            <wp:extent cx="4957763" cy="2208041"/>
            <wp:effectExtent l="0" t="0" r="0" b="1905"/>
            <wp:docPr id="1427771784" name="Picture 1" descr="A group of graphs showing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771784" name="Picture 1" descr="A group of graphs showing different types of data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5128" cy="221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37D">
        <w:rPr>
          <w:noProof/>
        </w:rPr>
        <w:t xml:space="preserve"> </w:t>
      </w:r>
      <w:r w:rsidRPr="00DD237D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3954A225" wp14:editId="0DC28E21">
            <wp:extent cx="4810125" cy="2040740"/>
            <wp:effectExtent l="0" t="0" r="0" b="0"/>
            <wp:docPr id="744451863" name="Picture 1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451863" name="Picture 1" descr="A group of graphs and diagram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2994" cy="2050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0FFEB" w14:textId="3BEDA6AB" w:rsidR="00DD237D" w:rsidRDefault="00DD237D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85754B">
        <w:rPr>
          <w:rFonts w:ascii="Times New Roman" w:hAnsi="Times New Roman" w:cs="Times New Roman"/>
          <w:b/>
          <w:bCs/>
          <w:sz w:val="21"/>
          <w:szCs w:val="21"/>
        </w:rPr>
        <w:t>9</w:t>
      </w:r>
      <w:r w:rsidRPr="00287D6B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>
        <w:rPr>
          <w:rFonts w:ascii="Times New Roman" w:hAnsi="Times New Roman" w:cs="Times New Roman"/>
          <w:b/>
          <w:bCs/>
          <w:sz w:val="21"/>
          <w:szCs w:val="21"/>
        </w:rPr>
        <w:t>Data in Figure 2-5 with simulation outcomes (curves without symbols) overlay on experimental data</w:t>
      </w:r>
    </w:p>
    <w:p w14:paraId="18B5BD26" w14:textId="77777777" w:rsidR="00277EFE" w:rsidRDefault="00277EFE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42A84A33" w14:textId="77777777" w:rsidR="00277EFE" w:rsidRDefault="00277EFE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45023EF8" w14:textId="77777777" w:rsidR="00277EFE" w:rsidRDefault="00277EFE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02957925" w14:textId="77777777" w:rsidR="00277EFE" w:rsidRDefault="00277EFE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4F1482C6" w14:textId="77777777" w:rsidR="00277EFE" w:rsidRDefault="00277EFE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027A39BA" w14:textId="77777777" w:rsidR="00277EFE" w:rsidRPr="00287D6B" w:rsidRDefault="00277EFE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</w:p>
    <w:p w14:paraId="307D4720" w14:textId="24B5B04A" w:rsidR="00DD237D" w:rsidRDefault="00DD237D" w:rsidP="00DD237D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42FA77B" w14:textId="77777777" w:rsidR="00DD237D" w:rsidRDefault="00DD237D" w:rsidP="00DD237D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786C13CB" w14:textId="622395B5" w:rsidR="00DD237D" w:rsidRDefault="00277EFE" w:rsidP="00DD237D">
      <w:pPr>
        <w:jc w:val="center"/>
        <w:rPr>
          <w:rFonts w:ascii="Times New Roman" w:hAnsi="Times New Roman" w:cs="Times New Roman"/>
          <w:sz w:val="21"/>
          <w:szCs w:val="21"/>
        </w:rPr>
      </w:pPr>
      <w:r w:rsidRPr="00277EFE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0AC25E5C" wp14:editId="7C43AD52">
            <wp:extent cx="5503491" cy="2300765"/>
            <wp:effectExtent l="0" t="0" r="0" b="0"/>
            <wp:docPr id="345294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29459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6656" cy="231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E9906" w14:textId="271FB9CD" w:rsidR="00DD237D" w:rsidRPr="00287D6B" w:rsidRDefault="00DD237D" w:rsidP="00DD237D">
      <w:pPr>
        <w:ind w:left="720"/>
        <w:rPr>
          <w:rFonts w:ascii="Times New Roman" w:hAnsi="Times New Roman" w:cs="Times New Roman"/>
          <w:b/>
          <w:bCs/>
          <w:sz w:val="21"/>
          <w:szCs w:val="21"/>
        </w:rPr>
      </w:pPr>
      <w:r w:rsidRPr="00287D6B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85754B">
        <w:rPr>
          <w:rFonts w:ascii="Times New Roman" w:hAnsi="Times New Roman" w:cs="Times New Roman"/>
          <w:b/>
          <w:bCs/>
          <w:sz w:val="21"/>
          <w:szCs w:val="21"/>
        </w:rPr>
        <w:t>10</w:t>
      </w:r>
      <w:r w:rsidRPr="00287D6B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="00187BF2">
        <w:rPr>
          <w:rFonts w:ascii="Times New Roman" w:hAnsi="Times New Roman" w:cs="Times New Roman"/>
          <w:b/>
          <w:bCs/>
          <w:sz w:val="21"/>
          <w:szCs w:val="21"/>
        </w:rPr>
        <w:t>The impact of internalization</w:t>
      </w:r>
    </w:p>
    <w:p w14:paraId="075168A7" w14:textId="6B50D6F6" w:rsidR="00DD237D" w:rsidRDefault="00187BF2" w:rsidP="00DD237D">
      <w:pPr>
        <w:ind w:left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Simulation results with or without internalization showing modest impact of internalization rates</w:t>
      </w:r>
      <w:r w:rsidR="00DD237D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The HER2 internalization rate is 3.3×10</w:t>
      </w:r>
      <w:r w:rsidRPr="003D668A">
        <w:rPr>
          <w:rFonts w:ascii="Times New Roman" w:hAnsi="Times New Roman" w:cs="Times New Roman"/>
          <w:sz w:val="21"/>
          <w:szCs w:val="21"/>
          <w:vertAlign w:val="superscript"/>
        </w:rPr>
        <w:t>-5</w:t>
      </w:r>
      <w:r>
        <w:rPr>
          <w:rFonts w:ascii="Times New Roman" w:hAnsi="Times New Roman" w:cs="Times New Roman"/>
          <w:sz w:val="21"/>
          <w:szCs w:val="21"/>
        </w:rPr>
        <w:t xml:space="preserve"> s</w:t>
      </w:r>
      <w:r w:rsidRPr="003D668A">
        <w:rPr>
          <w:rFonts w:ascii="Times New Roman" w:hAnsi="Times New Roman" w:cs="Times New Roman"/>
          <w:sz w:val="21"/>
          <w:szCs w:val="21"/>
          <w:vertAlign w:val="superscript"/>
        </w:rPr>
        <w:t>-1</w:t>
      </w:r>
      <w:r>
        <w:rPr>
          <w:rFonts w:ascii="Times New Roman" w:hAnsi="Times New Roman" w:cs="Times New Roman"/>
          <w:sz w:val="21"/>
          <w:szCs w:val="21"/>
        </w:rPr>
        <w:t>, and fast internalization rate is 1.9×10</w:t>
      </w:r>
      <w:r w:rsidRPr="00C571E4">
        <w:rPr>
          <w:rFonts w:ascii="Times New Roman" w:hAnsi="Times New Roman" w:cs="Times New Roman"/>
          <w:sz w:val="21"/>
          <w:szCs w:val="21"/>
          <w:vertAlign w:val="superscript"/>
        </w:rPr>
        <w:t>-</w:t>
      </w:r>
      <w:r>
        <w:rPr>
          <w:rFonts w:ascii="Times New Roman" w:hAnsi="Times New Roman" w:cs="Times New Roman"/>
          <w:sz w:val="21"/>
          <w:szCs w:val="21"/>
          <w:vertAlign w:val="superscript"/>
        </w:rPr>
        <w:t>4</w:t>
      </w:r>
      <w:r>
        <w:rPr>
          <w:rFonts w:ascii="Times New Roman" w:hAnsi="Times New Roman" w:cs="Times New Roman"/>
          <w:sz w:val="21"/>
          <w:szCs w:val="21"/>
        </w:rPr>
        <w:t xml:space="preserve"> s</w:t>
      </w:r>
      <w:r w:rsidRPr="00C571E4">
        <w:rPr>
          <w:rFonts w:ascii="Times New Roman" w:hAnsi="Times New Roman" w:cs="Times New Roman"/>
          <w:sz w:val="21"/>
          <w:szCs w:val="21"/>
          <w:vertAlign w:val="superscript"/>
        </w:rPr>
        <w:t>-1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5BF7258" w14:textId="77777777" w:rsidR="00187BF2" w:rsidRDefault="00187BF2" w:rsidP="00DD237D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413332A5" w14:textId="77777777" w:rsidR="00187BF2" w:rsidRDefault="00187BF2" w:rsidP="00DD237D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51AFE282" w14:textId="77777777" w:rsidR="00187BF2" w:rsidRDefault="00187BF2" w:rsidP="00DD237D">
      <w:pPr>
        <w:ind w:left="720"/>
        <w:rPr>
          <w:rFonts w:ascii="Times New Roman" w:hAnsi="Times New Roman" w:cs="Times New Roman"/>
          <w:sz w:val="21"/>
          <w:szCs w:val="21"/>
        </w:rPr>
      </w:pPr>
    </w:p>
    <w:p w14:paraId="1E389DE0" w14:textId="77777777" w:rsidR="00187BF2" w:rsidRPr="001A1F0B" w:rsidRDefault="00187BF2" w:rsidP="00277EFE">
      <w:pPr>
        <w:rPr>
          <w:rFonts w:ascii="Times New Roman" w:hAnsi="Times New Roman" w:cs="Times New Roman"/>
          <w:sz w:val="21"/>
          <w:szCs w:val="21"/>
        </w:rPr>
      </w:pPr>
    </w:p>
    <w:sectPr w:rsidR="00187BF2" w:rsidRPr="001A1F0B" w:rsidSect="003903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1B"/>
    <w:rsid w:val="00001CCA"/>
    <w:rsid w:val="00010635"/>
    <w:rsid w:val="000276EF"/>
    <w:rsid w:val="0003689D"/>
    <w:rsid w:val="0004432D"/>
    <w:rsid w:val="00053443"/>
    <w:rsid w:val="00065C52"/>
    <w:rsid w:val="00066B11"/>
    <w:rsid w:val="00066F5F"/>
    <w:rsid w:val="00070F36"/>
    <w:rsid w:val="00085542"/>
    <w:rsid w:val="000A6410"/>
    <w:rsid w:val="000B5323"/>
    <w:rsid w:val="000D159A"/>
    <w:rsid w:val="000E0240"/>
    <w:rsid w:val="000E6E2B"/>
    <w:rsid w:val="000F1345"/>
    <w:rsid w:val="000F3BB4"/>
    <w:rsid w:val="0012336A"/>
    <w:rsid w:val="0012620D"/>
    <w:rsid w:val="001278ED"/>
    <w:rsid w:val="00140A3D"/>
    <w:rsid w:val="00141F9F"/>
    <w:rsid w:val="00144288"/>
    <w:rsid w:val="001447B5"/>
    <w:rsid w:val="001611BE"/>
    <w:rsid w:val="001808C1"/>
    <w:rsid w:val="00184B98"/>
    <w:rsid w:val="00187BF2"/>
    <w:rsid w:val="00192F15"/>
    <w:rsid w:val="001A1F0B"/>
    <w:rsid w:val="001B25B4"/>
    <w:rsid w:val="001B55CC"/>
    <w:rsid w:val="001F54CC"/>
    <w:rsid w:val="00202A48"/>
    <w:rsid w:val="002108FA"/>
    <w:rsid w:val="00212EDA"/>
    <w:rsid w:val="002163C4"/>
    <w:rsid w:val="002244B1"/>
    <w:rsid w:val="002718F6"/>
    <w:rsid w:val="00277EFE"/>
    <w:rsid w:val="00285803"/>
    <w:rsid w:val="00287D6B"/>
    <w:rsid w:val="002C713D"/>
    <w:rsid w:val="002D13C7"/>
    <w:rsid w:val="002D32AB"/>
    <w:rsid w:val="002D6489"/>
    <w:rsid w:val="002E4A66"/>
    <w:rsid w:val="003143C1"/>
    <w:rsid w:val="0033332C"/>
    <w:rsid w:val="00334787"/>
    <w:rsid w:val="003414D1"/>
    <w:rsid w:val="003422C4"/>
    <w:rsid w:val="00344869"/>
    <w:rsid w:val="0036497E"/>
    <w:rsid w:val="00364A92"/>
    <w:rsid w:val="00371BEA"/>
    <w:rsid w:val="00375E87"/>
    <w:rsid w:val="0039031B"/>
    <w:rsid w:val="00395D28"/>
    <w:rsid w:val="003979CB"/>
    <w:rsid w:val="003A5173"/>
    <w:rsid w:val="003B0989"/>
    <w:rsid w:val="003B12B0"/>
    <w:rsid w:val="003B1387"/>
    <w:rsid w:val="003C7EF9"/>
    <w:rsid w:val="003D48FD"/>
    <w:rsid w:val="003D668A"/>
    <w:rsid w:val="003E77AE"/>
    <w:rsid w:val="003F7AD9"/>
    <w:rsid w:val="0041405F"/>
    <w:rsid w:val="00426E9E"/>
    <w:rsid w:val="004326D4"/>
    <w:rsid w:val="00435E80"/>
    <w:rsid w:val="00437441"/>
    <w:rsid w:val="00441BB8"/>
    <w:rsid w:val="00445132"/>
    <w:rsid w:val="004466E3"/>
    <w:rsid w:val="00453A21"/>
    <w:rsid w:val="00454670"/>
    <w:rsid w:val="00460BB2"/>
    <w:rsid w:val="00464BBE"/>
    <w:rsid w:val="00476FB5"/>
    <w:rsid w:val="00484E23"/>
    <w:rsid w:val="00491DBA"/>
    <w:rsid w:val="00494099"/>
    <w:rsid w:val="004A3451"/>
    <w:rsid w:val="004A384C"/>
    <w:rsid w:val="004B24B4"/>
    <w:rsid w:val="004E7F04"/>
    <w:rsid w:val="00512074"/>
    <w:rsid w:val="00516EF9"/>
    <w:rsid w:val="00522CF5"/>
    <w:rsid w:val="00526FD6"/>
    <w:rsid w:val="005455EA"/>
    <w:rsid w:val="00562602"/>
    <w:rsid w:val="00572B30"/>
    <w:rsid w:val="00580A42"/>
    <w:rsid w:val="005826E8"/>
    <w:rsid w:val="00596985"/>
    <w:rsid w:val="005A60B6"/>
    <w:rsid w:val="005D4BF2"/>
    <w:rsid w:val="005D6836"/>
    <w:rsid w:val="005F617A"/>
    <w:rsid w:val="006167DB"/>
    <w:rsid w:val="00617C4B"/>
    <w:rsid w:val="006531F8"/>
    <w:rsid w:val="006611A4"/>
    <w:rsid w:val="006843BD"/>
    <w:rsid w:val="00685DEC"/>
    <w:rsid w:val="006961FC"/>
    <w:rsid w:val="006B44EF"/>
    <w:rsid w:val="006B4E59"/>
    <w:rsid w:val="006C1B16"/>
    <w:rsid w:val="006C3BFE"/>
    <w:rsid w:val="006D0A1F"/>
    <w:rsid w:val="006D1ACE"/>
    <w:rsid w:val="006E16CC"/>
    <w:rsid w:val="006E467B"/>
    <w:rsid w:val="006E5121"/>
    <w:rsid w:val="006E71D1"/>
    <w:rsid w:val="006F6C4F"/>
    <w:rsid w:val="0072625A"/>
    <w:rsid w:val="0072721B"/>
    <w:rsid w:val="007308C6"/>
    <w:rsid w:val="0073227C"/>
    <w:rsid w:val="0073324F"/>
    <w:rsid w:val="00742290"/>
    <w:rsid w:val="007503EB"/>
    <w:rsid w:val="00753B13"/>
    <w:rsid w:val="007645D9"/>
    <w:rsid w:val="007873E7"/>
    <w:rsid w:val="00787980"/>
    <w:rsid w:val="00797E4B"/>
    <w:rsid w:val="007A1639"/>
    <w:rsid w:val="007B55A2"/>
    <w:rsid w:val="007E7459"/>
    <w:rsid w:val="007F02F1"/>
    <w:rsid w:val="00800665"/>
    <w:rsid w:val="00801A0F"/>
    <w:rsid w:val="008131F0"/>
    <w:rsid w:val="008141AE"/>
    <w:rsid w:val="0082208A"/>
    <w:rsid w:val="00830D2D"/>
    <w:rsid w:val="0084769E"/>
    <w:rsid w:val="0085754B"/>
    <w:rsid w:val="008807F8"/>
    <w:rsid w:val="008829C5"/>
    <w:rsid w:val="008B0186"/>
    <w:rsid w:val="008B3F51"/>
    <w:rsid w:val="008C1273"/>
    <w:rsid w:val="008D1AA2"/>
    <w:rsid w:val="008D4389"/>
    <w:rsid w:val="008D45EF"/>
    <w:rsid w:val="008D4998"/>
    <w:rsid w:val="009019BA"/>
    <w:rsid w:val="00905C39"/>
    <w:rsid w:val="0091328C"/>
    <w:rsid w:val="00916791"/>
    <w:rsid w:val="00927F9F"/>
    <w:rsid w:val="0093037D"/>
    <w:rsid w:val="009410BB"/>
    <w:rsid w:val="009434DF"/>
    <w:rsid w:val="00944E6B"/>
    <w:rsid w:val="00946093"/>
    <w:rsid w:val="00950D04"/>
    <w:rsid w:val="00952CC4"/>
    <w:rsid w:val="009548F5"/>
    <w:rsid w:val="00961059"/>
    <w:rsid w:val="00973CE2"/>
    <w:rsid w:val="00975CC0"/>
    <w:rsid w:val="00977EC7"/>
    <w:rsid w:val="00982B1D"/>
    <w:rsid w:val="00984CE5"/>
    <w:rsid w:val="009902CA"/>
    <w:rsid w:val="00996C00"/>
    <w:rsid w:val="009B1EE2"/>
    <w:rsid w:val="009B531C"/>
    <w:rsid w:val="009C0A95"/>
    <w:rsid w:val="009C67F0"/>
    <w:rsid w:val="009D60F9"/>
    <w:rsid w:val="009D6EC0"/>
    <w:rsid w:val="009F1469"/>
    <w:rsid w:val="009F58D2"/>
    <w:rsid w:val="00A13974"/>
    <w:rsid w:val="00A14590"/>
    <w:rsid w:val="00A14A4D"/>
    <w:rsid w:val="00A16590"/>
    <w:rsid w:val="00A2164B"/>
    <w:rsid w:val="00A5543E"/>
    <w:rsid w:val="00A62EED"/>
    <w:rsid w:val="00A71D5A"/>
    <w:rsid w:val="00A83545"/>
    <w:rsid w:val="00AA7791"/>
    <w:rsid w:val="00AD215B"/>
    <w:rsid w:val="00AD2E4B"/>
    <w:rsid w:val="00AD71AC"/>
    <w:rsid w:val="00AF40A2"/>
    <w:rsid w:val="00B219CF"/>
    <w:rsid w:val="00B47263"/>
    <w:rsid w:val="00B57AA7"/>
    <w:rsid w:val="00B64555"/>
    <w:rsid w:val="00B65820"/>
    <w:rsid w:val="00B65DAC"/>
    <w:rsid w:val="00B67AD5"/>
    <w:rsid w:val="00B7561F"/>
    <w:rsid w:val="00B831B5"/>
    <w:rsid w:val="00B84475"/>
    <w:rsid w:val="00BB5B71"/>
    <w:rsid w:val="00BB7F41"/>
    <w:rsid w:val="00BD46E8"/>
    <w:rsid w:val="00BE0D15"/>
    <w:rsid w:val="00BF1F6B"/>
    <w:rsid w:val="00C03E3B"/>
    <w:rsid w:val="00C07B69"/>
    <w:rsid w:val="00C26B0C"/>
    <w:rsid w:val="00C4650D"/>
    <w:rsid w:val="00C63BF0"/>
    <w:rsid w:val="00C75048"/>
    <w:rsid w:val="00CB6C72"/>
    <w:rsid w:val="00CC7425"/>
    <w:rsid w:val="00CE2483"/>
    <w:rsid w:val="00CF274F"/>
    <w:rsid w:val="00D15D6E"/>
    <w:rsid w:val="00D21315"/>
    <w:rsid w:val="00D228A6"/>
    <w:rsid w:val="00D271F4"/>
    <w:rsid w:val="00D34371"/>
    <w:rsid w:val="00D43941"/>
    <w:rsid w:val="00D6446A"/>
    <w:rsid w:val="00D66DA9"/>
    <w:rsid w:val="00D67BA7"/>
    <w:rsid w:val="00D8720D"/>
    <w:rsid w:val="00DA6712"/>
    <w:rsid w:val="00DB34F0"/>
    <w:rsid w:val="00DB5337"/>
    <w:rsid w:val="00DB62FA"/>
    <w:rsid w:val="00DD237D"/>
    <w:rsid w:val="00DD5C74"/>
    <w:rsid w:val="00DF3B48"/>
    <w:rsid w:val="00DF7D99"/>
    <w:rsid w:val="00E02ED5"/>
    <w:rsid w:val="00E039F7"/>
    <w:rsid w:val="00E13E41"/>
    <w:rsid w:val="00E17F52"/>
    <w:rsid w:val="00E52CF5"/>
    <w:rsid w:val="00E76B28"/>
    <w:rsid w:val="00E80B9D"/>
    <w:rsid w:val="00E91E69"/>
    <w:rsid w:val="00E95E04"/>
    <w:rsid w:val="00E97081"/>
    <w:rsid w:val="00EB7207"/>
    <w:rsid w:val="00EC4794"/>
    <w:rsid w:val="00EC743E"/>
    <w:rsid w:val="00EC7A59"/>
    <w:rsid w:val="00ED25EF"/>
    <w:rsid w:val="00ED5214"/>
    <w:rsid w:val="00ED52A1"/>
    <w:rsid w:val="00ED7610"/>
    <w:rsid w:val="00ED7633"/>
    <w:rsid w:val="00EE29D0"/>
    <w:rsid w:val="00EF413B"/>
    <w:rsid w:val="00EF50AC"/>
    <w:rsid w:val="00F01B30"/>
    <w:rsid w:val="00F07A9D"/>
    <w:rsid w:val="00F3120B"/>
    <w:rsid w:val="00F607DE"/>
    <w:rsid w:val="00F64863"/>
    <w:rsid w:val="00F83A63"/>
    <w:rsid w:val="00F84FB2"/>
    <w:rsid w:val="00F851F1"/>
    <w:rsid w:val="00F95164"/>
    <w:rsid w:val="00F958E5"/>
    <w:rsid w:val="00FA1952"/>
    <w:rsid w:val="00FA5A7F"/>
    <w:rsid w:val="00FA7787"/>
    <w:rsid w:val="00FB21B2"/>
    <w:rsid w:val="00FB3A7B"/>
    <w:rsid w:val="00FC1B92"/>
    <w:rsid w:val="00FC1FC8"/>
    <w:rsid w:val="00FE2983"/>
    <w:rsid w:val="00FF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B303B"/>
  <w15:chartTrackingRefBased/>
  <w15:docId w15:val="{B8E9E226-9A76-9D4E-9D58-D880F9E3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31B"/>
    <w:pPr>
      <w:spacing w:after="0" w:line="240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3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3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3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3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3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31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31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31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31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3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39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31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9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31B"/>
    <w:pPr>
      <w:spacing w:before="160" w:after="160" w:line="278" w:lineRule="auto"/>
      <w:jc w:val="center"/>
    </w:pPr>
    <w:rPr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39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31B"/>
    <w:pPr>
      <w:spacing w:after="160" w:line="278" w:lineRule="auto"/>
      <w:ind w:left="720"/>
      <w:contextualSpacing/>
    </w:pPr>
    <w:rPr>
      <w:lang w:eastAsia="zh-CN"/>
    </w:rPr>
  </w:style>
  <w:style w:type="character" w:styleId="IntenseEmphasis">
    <w:name w:val="Intense Emphasis"/>
    <w:basedOn w:val="DefaultParagraphFont"/>
    <w:uiPriority w:val="21"/>
    <w:qFormat/>
    <w:rsid w:val="00390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31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855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5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542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542"/>
    <w:rPr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CE2483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Thurber, Greg</dc:creator>
  <cp:keywords/>
  <dc:description/>
  <cp:lastModifiedBy>Guan, Jiakun</cp:lastModifiedBy>
  <cp:revision>5</cp:revision>
  <dcterms:created xsi:type="dcterms:W3CDTF">2025-10-17T21:58:00Z</dcterms:created>
  <dcterms:modified xsi:type="dcterms:W3CDTF">2025-11-24T03:52:00Z</dcterms:modified>
</cp:coreProperties>
</file>