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EAF00" w14:textId="77777777" w:rsidR="00B7140F" w:rsidRDefault="00B7140F" w:rsidP="00B7140F">
      <w:pPr>
        <w:pStyle w:val="Default"/>
        <w:spacing w:before="240" w:line="360" w:lineRule="auto"/>
        <w:rPr>
          <w:szCs w:val="28"/>
        </w:rPr>
      </w:pPr>
      <w:r>
        <w:rPr>
          <w:b/>
          <w:bCs/>
          <w:szCs w:val="28"/>
        </w:rPr>
        <w:t>Supplement 1</w:t>
      </w:r>
    </w:p>
    <w:p w14:paraId="092FBE0D" w14:textId="77777777" w:rsidR="003944A0" w:rsidRPr="000544E0" w:rsidRDefault="003944A0" w:rsidP="00946D6E">
      <w:pPr>
        <w:spacing w:before="240" w:line="360" w:lineRule="auto"/>
      </w:pPr>
      <w:r w:rsidRPr="000544E0">
        <w:t>The statistical model of a multiple-cohort, two-way crossover design can be given as a straightforward extension of the conventional two-way linear model by including terms for cohort, an interaction between cohort and sequence, and an interaction between cohort and treatment:</w:t>
      </w:r>
    </w:p>
    <w:p w14:paraId="079ABA24" w14:textId="77777777" w:rsidR="003944A0" w:rsidRPr="000544E0" w:rsidRDefault="00114CBD" w:rsidP="00946D6E">
      <w:pPr>
        <w:spacing w:before="240" w:line="360" w:lineRule="auto"/>
      </w:pPr>
      <m:oMathPara>
        <m:oMath>
          <m:sSub>
            <m:sSubPr>
              <m:ctrlPr>
                <w:rPr>
                  <w:rFonts w:ascii="Cambria Math" w:hAnsi="Cambria Math"/>
                  <w:i/>
                </w:rPr>
              </m:ctrlPr>
            </m:sSubPr>
            <m:e>
              <m:r>
                <w:rPr>
                  <w:rFonts w:ascii="Cambria Math" w:hAnsi="Cambria Math"/>
                </w:rPr>
                <m:t>y</m:t>
              </m:r>
            </m:e>
            <m:sub>
              <m:r>
                <w:rPr>
                  <w:rFonts w:ascii="Cambria Math" w:hAnsi="Cambria Math"/>
                </w:rPr>
                <m:t>ijkl</m:t>
              </m:r>
            </m:sub>
          </m:sSub>
          <m:r>
            <w:rPr>
              <w:rFonts w:ascii="Cambria Math" w:hAnsi="Cambria Math"/>
            </w:rPr>
            <m:t>=μ+</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(C×S)</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(C×S)</m:t>
                  </m:r>
                </m:e>
                <m:sub>
                  <m:r>
                    <w:rPr>
                      <w:rFonts w:ascii="Cambria Math" w:hAnsi="Cambria Math"/>
                    </w:rPr>
                    <m:t>ij</m:t>
                  </m:r>
                </m:sub>
              </m:sSub>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jl</m:t>
              </m:r>
            </m:sub>
          </m:sSub>
          <m:r>
            <w:rPr>
              <w:rFonts w:ascii="Cambria Math" w:hAnsi="Cambria Math"/>
            </w:rPr>
            <m:t>+</m:t>
          </m:r>
          <m:sSub>
            <m:sSubPr>
              <m:ctrlPr>
                <w:rPr>
                  <w:rFonts w:ascii="Cambria Math" w:hAnsi="Cambria Math"/>
                  <w:i/>
                </w:rPr>
              </m:ctrlPr>
            </m:sSubPr>
            <m:e>
              <m:r>
                <w:rPr>
                  <w:rFonts w:ascii="Cambria Math" w:hAnsi="Cambria Math"/>
                </w:rPr>
                <m:t>(C×T)</m:t>
              </m:r>
            </m:e>
            <m:sub>
              <m:r>
                <w:rPr>
                  <w:rFonts w:ascii="Cambria Math" w:hAnsi="Cambria Math"/>
                </w:rPr>
                <m:t>ijl</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ijkl</m:t>
              </m:r>
            </m:sub>
          </m:sSub>
        </m:oMath>
      </m:oMathPara>
    </w:p>
    <w:p w14:paraId="55E39A25" w14:textId="70D0E342" w:rsidR="003944A0" w:rsidRPr="000544E0" w:rsidRDefault="00114CBD" w:rsidP="00946D6E">
      <w:pPr>
        <w:spacing w:before="240" w:line="360" w:lineRule="auto"/>
      </w:pPr>
      <m:oMath>
        <m:sSub>
          <m:sSubPr>
            <m:ctrlPr>
              <w:rPr>
                <w:rFonts w:ascii="Cambria Math" w:hAnsi="Cambria Math"/>
                <w:i/>
              </w:rPr>
            </m:ctrlPr>
          </m:sSubPr>
          <m:e>
            <m:r>
              <w:rPr>
                <w:rFonts w:ascii="Cambria Math" w:hAnsi="Cambria Math"/>
              </w:rPr>
              <m:t>y</m:t>
            </m:r>
          </m:e>
          <m:sub>
            <m:r>
              <w:rPr>
                <w:rFonts w:ascii="Cambria Math" w:hAnsi="Cambria Math"/>
              </w:rPr>
              <m:t>ijkl</m:t>
            </m:r>
          </m:sub>
        </m:sSub>
      </m:oMath>
      <w:r w:rsidR="003944A0" w:rsidRPr="000544E0">
        <w:t xml:space="preserve"> is the log-scale PK metric (Cmax or AUC) observed in the </w:t>
      </w:r>
      <w:r w:rsidR="003944A0" w:rsidRPr="000544E0">
        <w:rPr>
          <w:i/>
        </w:rPr>
        <w:t>l</w:t>
      </w:r>
      <w:r w:rsidR="003944A0" w:rsidRPr="000544E0">
        <w:t>th period (</w:t>
      </w:r>
      <w:r w:rsidR="003944A0" w:rsidRPr="000544E0">
        <w:rPr>
          <w:i/>
        </w:rPr>
        <w:t xml:space="preserve">l </w:t>
      </w:r>
      <w:r w:rsidR="003944A0" w:rsidRPr="000544E0">
        <w:t xml:space="preserve">=1, 2) for the </w:t>
      </w:r>
      <w:r w:rsidR="003944A0" w:rsidRPr="000544E0">
        <w:rPr>
          <w:i/>
        </w:rPr>
        <w:t>k</w:t>
      </w:r>
      <w:r w:rsidR="003944A0" w:rsidRPr="000544E0">
        <w:t>th subject (</w:t>
      </w:r>
      <w:r w:rsidR="003944A0" w:rsidRPr="000544E0">
        <w:rPr>
          <w:i/>
        </w:rPr>
        <w:t xml:space="preserve">k </w:t>
      </w:r>
      <w:r w:rsidR="003944A0" w:rsidRPr="000544E0">
        <w:t xml:space="preserve">= 1, 2, ... </w:t>
      </w:r>
      <w:r w:rsidR="003944A0" w:rsidRPr="000544E0">
        <w:rPr>
          <w:i/>
        </w:rPr>
        <w:t>m</w:t>
      </w:r>
      <w:r w:rsidR="003944A0" w:rsidRPr="000544E0">
        <w:t xml:space="preserve">) of the </w:t>
      </w:r>
      <w:proofErr w:type="spellStart"/>
      <w:r w:rsidR="003944A0" w:rsidRPr="000544E0">
        <w:rPr>
          <w:i/>
        </w:rPr>
        <w:t>j</w:t>
      </w:r>
      <w:r w:rsidR="003944A0" w:rsidRPr="000544E0">
        <w:t>th</w:t>
      </w:r>
      <w:proofErr w:type="spellEnd"/>
      <w:r w:rsidR="003944A0" w:rsidRPr="000544E0">
        <w:t xml:space="preserve"> sequence group (</w:t>
      </w:r>
      <w:r w:rsidR="003944A0" w:rsidRPr="000544E0">
        <w:rPr>
          <w:i/>
        </w:rPr>
        <w:t xml:space="preserve">j </w:t>
      </w:r>
      <w:r w:rsidR="003944A0" w:rsidRPr="000544E0">
        <w:t xml:space="preserve">= 1, 2) in the </w:t>
      </w:r>
      <w:proofErr w:type="spellStart"/>
      <w:r w:rsidR="003944A0" w:rsidRPr="000544E0">
        <w:rPr>
          <w:i/>
        </w:rPr>
        <w:t>i</w:t>
      </w:r>
      <w:r w:rsidR="003944A0" w:rsidRPr="000544E0">
        <w:t>th</w:t>
      </w:r>
      <w:proofErr w:type="spellEnd"/>
      <w:r w:rsidR="003944A0" w:rsidRPr="000544E0">
        <w:t xml:space="preserve"> cohort (</w:t>
      </w:r>
      <w:proofErr w:type="spellStart"/>
      <w:r w:rsidR="003944A0" w:rsidRPr="000544E0">
        <w:rPr>
          <w:i/>
        </w:rPr>
        <w:t>i</w:t>
      </w:r>
      <w:proofErr w:type="spellEnd"/>
      <w:r w:rsidR="003944A0" w:rsidRPr="000544E0">
        <w:rPr>
          <w:i/>
        </w:rPr>
        <w:t xml:space="preserve"> </w:t>
      </w:r>
      <w:r w:rsidR="003944A0" w:rsidRPr="000544E0">
        <w:t xml:space="preserve">=1, 2, ... </w:t>
      </w:r>
      <w:r w:rsidR="003944A0" w:rsidRPr="000544E0">
        <w:rPr>
          <w:i/>
        </w:rPr>
        <w:t>c</w:t>
      </w:r>
      <w:r w:rsidR="003944A0" w:rsidRPr="000544E0">
        <w:t xml:space="preserve">); </w:t>
      </w:r>
      <m:oMath>
        <m:r>
          <w:rPr>
            <w:rFonts w:ascii="Cambria Math" w:hAnsi="Cambria Math"/>
          </w:rPr>
          <m:t>μ</m:t>
        </m:r>
      </m:oMath>
      <w:r w:rsidR="003944A0" w:rsidRPr="000544E0">
        <w:t xml:space="preserve"> is overall mean response.  This model reverts to the standard analysis of variance (ANOVA) model for a two-way crossover design if all terms involving cohort (</w:t>
      </w:r>
      <w:r w:rsidR="003944A0" w:rsidRPr="000544E0">
        <w:rPr>
          <w:i/>
        </w:rPr>
        <w:t>C</w:t>
      </w:r>
      <w:r w:rsidR="003944A0" w:rsidRPr="000544E0">
        <w:t xml:space="preserve">) are removed and the </w:t>
      </w:r>
      <w:proofErr w:type="spellStart"/>
      <w:r w:rsidR="003944A0" w:rsidRPr="000544E0">
        <w:rPr>
          <w:i/>
        </w:rPr>
        <w:t>i</w:t>
      </w:r>
      <w:proofErr w:type="spellEnd"/>
      <w:r w:rsidR="003944A0" w:rsidRPr="000544E0">
        <w:t xml:space="preserve"> subscript is dropped.</w:t>
      </w:r>
    </w:p>
    <w:p w14:paraId="179D5795" w14:textId="77777777" w:rsidR="003944A0" w:rsidRPr="000544E0" w:rsidRDefault="00114CBD" w:rsidP="00946D6E">
      <w:pPr>
        <w:spacing w:before="240" w:line="360" w:lineRule="auto"/>
      </w:pP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003944A0" w:rsidRPr="000544E0">
        <w:t xml:space="preserve">, </w:t>
      </w:r>
      <m:oMath>
        <m:sSub>
          <m:sSubPr>
            <m:ctrlPr>
              <w:rPr>
                <w:rFonts w:ascii="Cambria Math" w:hAnsi="Cambria Math"/>
                <w:i/>
              </w:rPr>
            </m:ctrlPr>
          </m:sSubPr>
          <m:e>
            <m:r>
              <w:rPr>
                <w:rFonts w:ascii="Cambria Math" w:hAnsi="Cambria Math"/>
              </w:rPr>
              <m:t>S</m:t>
            </m:r>
          </m:e>
          <m:sub>
            <m:r>
              <w:rPr>
                <w:rFonts w:ascii="Cambria Math" w:hAnsi="Cambria Math"/>
              </w:rPr>
              <m:t>j</m:t>
            </m:r>
          </m:sub>
        </m:sSub>
      </m:oMath>
      <w:r w:rsidR="003944A0" w:rsidRPr="000544E0">
        <w:t xml:space="preserve"> and </w:t>
      </w:r>
      <m:oMath>
        <m:sSub>
          <m:sSubPr>
            <m:ctrlPr>
              <w:rPr>
                <w:rFonts w:ascii="Cambria Math" w:hAnsi="Cambria Math"/>
                <w:i/>
              </w:rPr>
            </m:ctrlPr>
          </m:sSubPr>
          <m:e>
            <m:r>
              <w:rPr>
                <w:rFonts w:ascii="Cambria Math" w:hAnsi="Cambria Math"/>
              </w:rPr>
              <m:t>(C×S)</m:t>
            </m:r>
          </m:e>
          <m:sub>
            <m:r>
              <w:rPr>
                <w:rFonts w:ascii="Cambria Math" w:hAnsi="Cambria Math"/>
              </w:rPr>
              <m:t>ij</m:t>
            </m:r>
          </m:sub>
        </m:sSub>
      </m:oMath>
      <w:r w:rsidR="003944A0" w:rsidRPr="000544E0">
        <w:t xml:space="preserve"> are the effects for cohort, sequence and the interaction between cohort and sequence; </w:t>
      </w:r>
      <m:oMath>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(C×S)</m:t>
            </m:r>
          </m:e>
          <m:sub>
            <m:r>
              <w:rPr>
                <w:rFonts w:ascii="Cambria Math" w:hAnsi="Cambria Math"/>
              </w:rPr>
              <m:t>ij</m:t>
            </m:r>
          </m:sub>
        </m:sSub>
      </m:oMath>
      <w:r w:rsidR="003944A0" w:rsidRPr="000544E0">
        <w:t xml:space="preserve"> is the random effect of subject </w:t>
      </w:r>
      <w:r w:rsidR="003944A0" w:rsidRPr="000544E0">
        <w:rPr>
          <w:i/>
        </w:rPr>
        <w:t xml:space="preserve">k </w:t>
      </w:r>
      <w:r w:rsidR="003944A0" w:rsidRPr="000544E0">
        <w:t xml:space="preserve">in sequence group </w:t>
      </w:r>
      <w:r w:rsidR="003944A0" w:rsidRPr="000544E0">
        <w:rPr>
          <w:i/>
        </w:rPr>
        <w:t xml:space="preserve">j </w:t>
      </w:r>
      <w:r w:rsidR="003944A0" w:rsidRPr="000544E0">
        <w:t xml:space="preserve">of cohort </w:t>
      </w:r>
      <w:proofErr w:type="spellStart"/>
      <w:r w:rsidR="003944A0" w:rsidRPr="000544E0">
        <w:rPr>
          <w:i/>
        </w:rPr>
        <w:t>i</w:t>
      </w:r>
      <w:proofErr w:type="spellEnd"/>
      <w:r w:rsidR="003944A0" w:rsidRPr="000544E0">
        <w:t xml:space="preserve"> with </w:t>
      </w:r>
      <m:oMath>
        <m:sSub>
          <m:sSubPr>
            <m:ctrlPr>
              <w:rPr>
                <w:rFonts w:ascii="Cambria Math" w:hAnsi="Cambria Math"/>
                <w:i/>
              </w:rPr>
            </m:ctrlPr>
          </m:sSubPr>
          <m:e>
            <m:r>
              <w:rPr>
                <w:rFonts w:ascii="Cambria Math" w:hAnsi="Cambria Math"/>
              </w:rPr>
              <m:t>β</m:t>
            </m:r>
          </m:e>
          <m:sub>
            <m:r>
              <w:rPr>
                <w:rFonts w:ascii="Cambria Math" w:hAnsi="Cambria Math"/>
              </w:rPr>
              <m:t>k(ij)</m:t>
            </m:r>
          </m:sub>
        </m:sSub>
      </m:oMath>
      <w:r w:rsidR="003944A0" w:rsidRPr="000544E0">
        <w:t xml:space="preserve"> samples being independent and identically distributed values from a Normal distribution with </w:t>
      </w:r>
      <m:oMath>
        <m:sSubSup>
          <m:sSubSupPr>
            <m:ctrlPr>
              <w:rPr>
                <w:rFonts w:ascii="Cambria Math" w:hAnsi="Cambria Math"/>
                <w:i/>
              </w:rPr>
            </m:ctrlPr>
          </m:sSubSupPr>
          <m:e>
            <m:r>
              <w:rPr>
                <w:rFonts w:ascii="Cambria Math" w:hAnsi="Cambria Math"/>
              </w:rPr>
              <m:t>σ</m:t>
            </m:r>
          </m:e>
          <m:sub>
            <m:r>
              <w:rPr>
                <w:rFonts w:ascii="Cambria Math" w:hAnsi="Cambria Math"/>
              </w:rPr>
              <m:t>p</m:t>
            </m:r>
          </m:sub>
          <m:sup>
            <m:r>
              <w:rPr>
                <w:rFonts w:ascii="Cambria Math" w:hAnsi="Cambria Math"/>
              </w:rPr>
              <m:t>2</m:t>
            </m:r>
          </m:sup>
        </m:sSubSup>
      </m:oMath>
      <w:r w:rsidR="003944A0" w:rsidRPr="000544E0">
        <w:t xml:space="preserve"> between-subject variance, </w:t>
      </w:r>
      <w:r w:rsidR="003944A0" w:rsidRPr="000544E0">
        <w:rPr>
          <w:i/>
        </w:rPr>
        <w:t>i.e.</w:t>
      </w:r>
      <w:r w:rsidR="003944A0" w:rsidRPr="000544E0">
        <w:t xml:space="preserve">, </w:t>
      </w:r>
      <m:oMath>
        <m:sSub>
          <m:sSubPr>
            <m:ctrlPr>
              <w:rPr>
                <w:rFonts w:ascii="Cambria Math" w:hAnsi="Cambria Math"/>
                <w:i/>
              </w:rPr>
            </m:ctrlPr>
          </m:sSubPr>
          <m:e>
            <m:r>
              <w:rPr>
                <w:rFonts w:ascii="Cambria Math" w:hAnsi="Cambria Math"/>
              </w:rPr>
              <m:t>β</m:t>
            </m:r>
          </m:e>
          <m:sub>
            <m:r>
              <w:rPr>
                <w:rFonts w:ascii="Cambria Math" w:hAnsi="Cambria Math"/>
              </w:rPr>
              <m:t>k(ij)</m:t>
            </m:r>
          </m:sub>
        </m:sSub>
        <m:r>
          <w:rPr>
            <w:rFonts w:ascii="Cambria Math" w:hAnsi="Cambria Math"/>
          </w:rPr>
          <m:t xml:space="preserve"> i.i.d.~N(0,</m:t>
        </m:r>
        <m:sSubSup>
          <m:sSubSupPr>
            <m:ctrlPr>
              <w:rPr>
                <w:rFonts w:ascii="Cambria Math" w:hAnsi="Cambria Math"/>
                <w:i/>
              </w:rPr>
            </m:ctrlPr>
          </m:sSubSupPr>
          <m:e>
            <m:r>
              <w:rPr>
                <w:rFonts w:ascii="Cambria Math" w:hAnsi="Cambria Math"/>
              </w:rPr>
              <m:t>σ</m:t>
            </m:r>
          </m:e>
          <m:sub>
            <m:r>
              <w:rPr>
                <w:rFonts w:ascii="Cambria Math" w:hAnsi="Cambria Math"/>
              </w:rPr>
              <m:t>p</m:t>
            </m:r>
          </m:sub>
          <m:sup>
            <m:r>
              <w:rPr>
                <w:rFonts w:ascii="Cambria Math" w:hAnsi="Cambria Math"/>
              </w:rPr>
              <m:t>2</m:t>
            </m:r>
          </m:sup>
        </m:sSubSup>
        <m:r>
          <w:rPr>
            <w:rFonts w:ascii="Cambria Math" w:hAnsi="Cambria Math"/>
          </w:rPr>
          <m:t>)</m:t>
        </m:r>
      </m:oMath>
      <w:r w:rsidR="003944A0" w:rsidRPr="000544E0">
        <w:t>.  Collectively, these four terms represent the overall effect of subject.</w:t>
      </w:r>
      <w:r w:rsidR="003944A0">
        <w:t xml:space="preserve">  </w:t>
      </w:r>
      <w:r w:rsidR="003944A0" w:rsidRPr="000544E0">
        <w:t>Of note, handling between-subject effects as fixed or random is of no consequence to the standard error of the treatment effect (which is a within-subject effect) and is therefore inconsequential to method performance.</w:t>
      </w:r>
    </w:p>
    <w:p w14:paraId="0A35B650" w14:textId="77777777" w:rsidR="003944A0" w:rsidRPr="000544E0" w:rsidRDefault="00114CBD" w:rsidP="00946D6E">
      <w:pPr>
        <w:spacing w:before="240" w:line="360" w:lineRule="auto"/>
      </w:pPr>
      <m:oMath>
        <m:sSub>
          <m:sSubPr>
            <m:ctrlPr>
              <w:rPr>
                <w:rFonts w:ascii="Cambria Math" w:hAnsi="Cambria Math"/>
                <w:i/>
              </w:rPr>
            </m:ctrlPr>
          </m:sSubPr>
          <m:e>
            <m:r>
              <w:rPr>
                <w:rFonts w:ascii="Cambria Math" w:hAnsi="Cambria Math"/>
              </w:rPr>
              <m:t>P</m:t>
            </m:r>
          </m:e>
          <m:sub>
            <m:r>
              <w:rPr>
                <w:rFonts w:ascii="Cambria Math" w:hAnsi="Cambria Math"/>
              </w:rPr>
              <m:t>l</m:t>
            </m:r>
          </m:sub>
        </m:sSub>
      </m:oMath>
      <w:r w:rsidR="003944A0" w:rsidRPr="000544E0">
        <w:t xml:space="preserve"> is the fixed effect of period, and </w:t>
      </w:r>
      <m:oMath>
        <m:sSub>
          <m:sSubPr>
            <m:ctrlPr>
              <w:rPr>
                <w:rFonts w:ascii="Cambria Math" w:hAnsi="Cambria Math"/>
                <w:i/>
              </w:rPr>
            </m:ctrlPr>
          </m:sSubPr>
          <m:e>
            <m:r>
              <w:rPr>
                <w:rFonts w:ascii="Cambria Math" w:hAnsi="Cambria Math"/>
              </w:rPr>
              <m:t>ε</m:t>
            </m:r>
          </m:e>
          <m:sub>
            <m:r>
              <w:rPr>
                <w:rFonts w:ascii="Cambria Math" w:hAnsi="Cambria Math"/>
              </w:rPr>
              <m:t>ijkl</m:t>
            </m:r>
          </m:sub>
        </m:sSub>
      </m:oMath>
      <w:r w:rsidR="003944A0" w:rsidRPr="000544E0">
        <w:t xml:space="preserve"> is within-subject random residual error associated with subject </w:t>
      </w:r>
      <w:r w:rsidR="003944A0" w:rsidRPr="000544E0">
        <w:rPr>
          <w:i/>
        </w:rPr>
        <w:t>k</w:t>
      </w:r>
      <w:r w:rsidR="003944A0" w:rsidRPr="000544E0">
        <w:t xml:space="preserve"> in period </w:t>
      </w:r>
      <w:r w:rsidR="003944A0" w:rsidRPr="000544E0">
        <w:rPr>
          <w:i/>
        </w:rPr>
        <w:t>l</w:t>
      </w:r>
      <w:r w:rsidR="003944A0" w:rsidRPr="000544E0">
        <w:t xml:space="preserve"> of sequence </w:t>
      </w:r>
      <w:r w:rsidR="003944A0" w:rsidRPr="000544E0">
        <w:rPr>
          <w:i/>
        </w:rPr>
        <w:t xml:space="preserve">j </w:t>
      </w:r>
      <w:r w:rsidR="003944A0" w:rsidRPr="000544E0">
        <w:t xml:space="preserve">of cohort </w:t>
      </w:r>
      <w:proofErr w:type="spellStart"/>
      <w:r w:rsidR="003944A0" w:rsidRPr="000544E0">
        <w:rPr>
          <w:i/>
        </w:rPr>
        <w:t>i</w:t>
      </w:r>
      <w:proofErr w:type="spellEnd"/>
      <w:r w:rsidR="003944A0" w:rsidRPr="000544E0">
        <w:t xml:space="preserve">, </w:t>
      </w:r>
      <m:oMath>
        <m:sSub>
          <m:sSubPr>
            <m:ctrlPr>
              <w:rPr>
                <w:rFonts w:ascii="Cambria Math" w:hAnsi="Cambria Math"/>
                <w:i/>
              </w:rPr>
            </m:ctrlPr>
          </m:sSubPr>
          <m:e>
            <m:r>
              <w:rPr>
                <w:rFonts w:ascii="Cambria Math" w:hAnsi="Cambria Math"/>
              </w:rPr>
              <m:t>ε</m:t>
            </m:r>
          </m:e>
          <m:sub>
            <m:r>
              <w:rPr>
                <w:rFonts w:ascii="Cambria Math" w:hAnsi="Cambria Math"/>
              </w:rPr>
              <m:t>ijkl</m:t>
            </m:r>
          </m:sub>
        </m:sSub>
        <m:r>
          <w:rPr>
            <w:rFonts w:ascii="Cambria Math" w:hAnsi="Cambria Math"/>
          </w:rPr>
          <m:t xml:space="preserve"> i.i.d.~N(0,</m:t>
        </m:r>
        <m:sSubSup>
          <m:sSubSupPr>
            <m:ctrlPr>
              <w:rPr>
                <w:rFonts w:ascii="Cambria Math" w:hAnsi="Cambria Math"/>
                <w:i/>
              </w:rPr>
            </m:ctrlPr>
          </m:sSubSupPr>
          <m:e>
            <m:r>
              <w:rPr>
                <w:rFonts w:ascii="Cambria Math" w:hAnsi="Cambria Math"/>
              </w:rPr>
              <m:t>σ</m:t>
            </m:r>
          </m:e>
          <m:sub>
            <m:r>
              <w:rPr>
                <w:rFonts w:ascii="Cambria Math" w:hAnsi="Cambria Math"/>
              </w:rPr>
              <m:t>e</m:t>
            </m:r>
          </m:sub>
          <m:sup>
            <m:r>
              <w:rPr>
                <w:rFonts w:ascii="Cambria Math" w:hAnsi="Cambria Math"/>
              </w:rPr>
              <m:t>2</m:t>
            </m:r>
          </m:sup>
        </m:sSubSup>
        <m:r>
          <w:rPr>
            <w:rFonts w:ascii="Cambria Math" w:hAnsi="Cambria Math"/>
          </w:rPr>
          <m:t>)</m:t>
        </m:r>
      </m:oMath>
      <w:r w:rsidR="003944A0" w:rsidRPr="000544E0">
        <w:t>.</w:t>
      </w:r>
    </w:p>
    <w:p w14:paraId="499FE3F8" w14:textId="77777777" w:rsidR="003944A0" w:rsidRPr="000544E0" w:rsidRDefault="00114CBD" w:rsidP="00946D6E">
      <w:pPr>
        <w:spacing w:before="240" w:line="360" w:lineRule="auto"/>
      </w:pPr>
      <m:oMath>
        <m:sSub>
          <m:sSubPr>
            <m:ctrlPr>
              <w:rPr>
                <w:rFonts w:ascii="Cambria Math" w:hAnsi="Cambria Math"/>
                <w:i/>
              </w:rPr>
            </m:ctrlPr>
          </m:sSubPr>
          <m:e>
            <m:r>
              <w:rPr>
                <w:rFonts w:ascii="Cambria Math" w:hAnsi="Cambria Math"/>
              </w:rPr>
              <m:t>T</m:t>
            </m:r>
          </m:e>
          <m:sub>
            <m:r>
              <w:rPr>
                <w:rFonts w:ascii="Cambria Math" w:hAnsi="Cambria Math"/>
              </w:rPr>
              <m:t>jl</m:t>
            </m:r>
          </m:sub>
        </m:sSub>
      </m:oMath>
      <w:r w:rsidR="003944A0" w:rsidRPr="000544E0">
        <w:t xml:space="preserve"> is the overall fixed effect of treatment in period </w:t>
      </w:r>
      <m:oMath>
        <m:r>
          <w:rPr>
            <w:rFonts w:ascii="Cambria Math" w:hAnsi="Cambria Math"/>
          </w:rPr>
          <m:t>l</m:t>
        </m:r>
      </m:oMath>
      <w:r w:rsidR="003944A0" w:rsidRPr="000544E0">
        <w:t xml:space="preserve"> of sequence </w:t>
      </w:r>
      <m:oMath>
        <m:r>
          <w:rPr>
            <w:rFonts w:ascii="Cambria Math" w:hAnsi="Cambria Math"/>
          </w:rPr>
          <m:t>j</m:t>
        </m:r>
      </m:oMath>
      <w:r w:rsidR="003944A0" w:rsidRPr="000544E0">
        <w:t xml:space="preserve"> (</w:t>
      </w:r>
      <w:r w:rsidR="003944A0" w:rsidRPr="000544E0">
        <w:rPr>
          <w:i/>
        </w:rPr>
        <w:t>i.e.</w:t>
      </w:r>
      <w:r w:rsidR="003944A0" w:rsidRPr="000544E0">
        <w:t xml:space="preserve">, the overall effect of Test [T] or Reference [R]), and </w:t>
      </w:r>
      <m:oMath>
        <m:sSub>
          <m:sSubPr>
            <m:ctrlPr>
              <w:rPr>
                <w:rFonts w:ascii="Cambria Math" w:hAnsi="Cambria Math"/>
                <w:i/>
              </w:rPr>
            </m:ctrlPr>
          </m:sSubPr>
          <m:e>
            <m:r>
              <w:rPr>
                <w:rFonts w:ascii="Cambria Math" w:hAnsi="Cambria Math"/>
              </w:rPr>
              <m:t>(C×T)</m:t>
            </m:r>
          </m:e>
          <m:sub>
            <m:r>
              <w:rPr>
                <w:rFonts w:ascii="Cambria Math" w:hAnsi="Cambria Math"/>
              </w:rPr>
              <m:t>ijl</m:t>
            </m:r>
          </m:sub>
        </m:sSub>
      </m:oMath>
      <w:r w:rsidR="003944A0" w:rsidRPr="000544E0">
        <w:t xml:space="preserve"> is the additional cohort-specific (</w:t>
      </w:r>
      <w:r w:rsidR="003944A0" w:rsidRPr="000544E0">
        <w:rPr>
          <w:i/>
        </w:rPr>
        <w:t>i.e.</w:t>
      </w:r>
      <w:r w:rsidR="003944A0" w:rsidRPr="000544E0">
        <w:t xml:space="preserve">, batch-specific) effect of treatment for cohort </w:t>
      </w:r>
      <w:proofErr w:type="spellStart"/>
      <w:r w:rsidR="003944A0" w:rsidRPr="000544E0">
        <w:rPr>
          <w:i/>
        </w:rPr>
        <w:t>i</w:t>
      </w:r>
      <w:proofErr w:type="spellEnd"/>
      <w:r w:rsidR="003944A0" w:rsidRPr="000544E0">
        <w:t xml:space="preserve"> in period </w:t>
      </w:r>
      <m:oMath>
        <m:r>
          <w:rPr>
            <w:rFonts w:ascii="Cambria Math" w:hAnsi="Cambria Math"/>
          </w:rPr>
          <m:t>l</m:t>
        </m:r>
      </m:oMath>
      <w:r w:rsidR="003944A0" w:rsidRPr="000544E0">
        <w:t xml:space="preserve"> of sequence </w:t>
      </w:r>
      <m:oMath>
        <m:r>
          <w:rPr>
            <w:rFonts w:ascii="Cambria Math" w:hAnsi="Cambria Math"/>
          </w:rPr>
          <m:t>j</m:t>
        </m:r>
      </m:oMath>
      <w:r w:rsidR="003944A0" w:rsidRPr="000544E0">
        <w:t>.</w:t>
      </w:r>
    </w:p>
    <w:p w14:paraId="15F970D2" w14:textId="77777777" w:rsidR="003944A0" w:rsidRPr="000544E0" w:rsidRDefault="003944A0" w:rsidP="00946D6E">
      <w:pPr>
        <w:spacing w:before="240" w:line="360" w:lineRule="auto"/>
      </w:pPr>
      <w:r w:rsidRPr="000544E0">
        <w:lastRenderedPageBreak/>
        <w:t xml:space="preserve">If batch within product is considered as a random effect then, as a consequence of using different batches in each cohort, </w:t>
      </w:r>
      <m:oMath>
        <m:sSub>
          <m:sSubPr>
            <m:ctrlPr>
              <w:rPr>
                <w:rFonts w:ascii="Cambria Math" w:hAnsi="Cambria Math"/>
                <w:i/>
              </w:rPr>
            </m:ctrlPr>
          </m:sSubPr>
          <m:e>
            <m:r>
              <w:rPr>
                <w:rFonts w:ascii="Cambria Math" w:hAnsi="Cambria Math"/>
              </w:rPr>
              <m:t>(C×T)</m:t>
            </m:r>
          </m:e>
          <m:sub>
            <m:r>
              <w:rPr>
                <w:rFonts w:ascii="Cambria Math" w:hAnsi="Cambria Math"/>
              </w:rPr>
              <m:t>ijl</m:t>
            </m:r>
          </m:sub>
        </m:sSub>
        <m:r>
          <w:rPr>
            <w:rFonts w:ascii="Cambria Math" w:hAnsi="Cambria Math"/>
          </w:rPr>
          <m:t xml:space="preserve"> i.i.d.~N(</m:t>
        </m:r>
        <m:sSub>
          <m:sSubPr>
            <m:ctrlPr>
              <w:rPr>
                <w:rFonts w:ascii="Cambria Math" w:hAnsi="Cambria Math"/>
                <w:i/>
              </w:rPr>
            </m:ctrlPr>
          </m:sSubPr>
          <m:e>
            <m:r>
              <w:rPr>
                <w:rFonts w:ascii="Cambria Math" w:hAnsi="Cambria Math"/>
              </w:rPr>
              <m:t>θ</m:t>
            </m:r>
          </m:e>
          <m:sub>
            <m:r>
              <w:rPr>
                <w:rFonts w:ascii="Cambria Math" w:hAnsi="Cambria Math"/>
              </w:rPr>
              <m:t>jl</m:t>
            </m:r>
          </m:sub>
        </m:sSub>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b</m:t>
            </m:r>
          </m:sub>
          <m:sup>
            <m:r>
              <w:rPr>
                <w:rFonts w:ascii="Cambria Math" w:hAnsi="Cambria Math"/>
              </w:rPr>
              <m:t>2</m:t>
            </m:r>
          </m:sup>
        </m:sSubSup>
        <m:r>
          <w:rPr>
            <w:rFonts w:ascii="Cambria Math" w:hAnsi="Cambria Math"/>
          </w:rPr>
          <m:t>)</m:t>
        </m:r>
      </m:oMath>
      <w:r w:rsidRPr="000544E0">
        <w:t xml:space="preserve"> where </w:t>
      </w:r>
      <m:oMath>
        <m:sSubSup>
          <m:sSubSupPr>
            <m:ctrlPr>
              <w:rPr>
                <w:rFonts w:ascii="Cambria Math" w:hAnsi="Cambria Math"/>
                <w:i/>
              </w:rPr>
            </m:ctrlPr>
          </m:sSubSupPr>
          <m:e>
            <m:r>
              <w:rPr>
                <w:rFonts w:ascii="Cambria Math" w:hAnsi="Cambria Math"/>
              </w:rPr>
              <m:t>σ</m:t>
            </m:r>
          </m:e>
          <m:sub>
            <m:r>
              <w:rPr>
                <w:rFonts w:ascii="Cambria Math" w:hAnsi="Cambria Math"/>
              </w:rPr>
              <m:t>b</m:t>
            </m:r>
          </m:sub>
          <m:sup>
            <m:r>
              <w:rPr>
                <w:rFonts w:ascii="Cambria Math" w:hAnsi="Cambria Math"/>
              </w:rPr>
              <m:t>2</m:t>
            </m:r>
          </m:sup>
        </m:sSubSup>
      </m:oMath>
      <w:r w:rsidRPr="000544E0">
        <w:t xml:space="preserve"> is within-subject between-batch variance and </w:t>
      </w:r>
      <m:oMath>
        <m:sSub>
          <m:sSubPr>
            <m:ctrlPr>
              <w:rPr>
                <w:rFonts w:ascii="Cambria Math" w:hAnsi="Cambria Math"/>
                <w:i/>
              </w:rPr>
            </m:ctrlPr>
          </m:sSubPr>
          <m:e>
            <m:r>
              <w:rPr>
                <w:rFonts w:ascii="Cambria Math" w:hAnsi="Cambria Math"/>
              </w:rPr>
              <m:t>θ</m:t>
            </m:r>
          </m:e>
          <m:sub>
            <m:r>
              <w:rPr>
                <w:rFonts w:ascii="Cambria Math" w:hAnsi="Cambria Math"/>
              </w:rPr>
              <m:t>jl</m:t>
            </m:r>
          </m:sub>
        </m:sSub>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jl</m:t>
                </m:r>
              </m:sub>
            </m:sSub>
            <m:r>
              <w:rPr>
                <w:rFonts w:ascii="Cambria Math" w:hAnsi="Cambria Math"/>
              </w:rPr>
              <m:t>)</m:t>
            </m:r>
          </m:e>
        </m:func>
      </m:oMath>
      <w:r w:rsidRPr="000544E0">
        <w:t xml:space="preserve">, </w:t>
      </w:r>
      <w:r w:rsidRPr="000544E0">
        <w:rPr>
          <w:i/>
        </w:rPr>
        <w:t xml:space="preserve">i.e., </w:t>
      </w:r>
      <m:oMath>
        <m:sSub>
          <m:sSubPr>
            <m:ctrlPr>
              <w:rPr>
                <w:rFonts w:ascii="Cambria Math" w:hAnsi="Cambria Math"/>
                <w:i/>
              </w:rPr>
            </m:ctrlPr>
          </m:sSubPr>
          <m:e>
            <m:r>
              <w:rPr>
                <w:rFonts w:ascii="Cambria Math" w:hAnsi="Cambria Math"/>
              </w:rPr>
              <m:t>θ</m:t>
            </m:r>
          </m:e>
          <m:sub>
            <m:r>
              <w:rPr>
                <w:rFonts w:ascii="Cambria Math" w:hAnsi="Cambria Math"/>
              </w:rPr>
              <m:t>T</m:t>
            </m:r>
          </m:sub>
        </m:sSub>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T</m:t>
                </m:r>
              </m:sub>
            </m:sSub>
            <m:r>
              <w:rPr>
                <w:rFonts w:ascii="Cambria Math" w:hAnsi="Cambria Math"/>
              </w:rPr>
              <m:t>)</m:t>
            </m:r>
          </m:e>
        </m:func>
      </m:oMath>
      <w:r w:rsidRPr="000544E0">
        <w:t xml:space="preserve"> and </w:t>
      </w:r>
      <m:oMath>
        <m:sSub>
          <m:sSubPr>
            <m:ctrlPr>
              <w:rPr>
                <w:rFonts w:ascii="Cambria Math" w:hAnsi="Cambria Math"/>
                <w:i/>
              </w:rPr>
            </m:ctrlPr>
          </m:sSubPr>
          <m:e>
            <m:r>
              <w:rPr>
                <w:rFonts w:ascii="Cambria Math" w:hAnsi="Cambria Math"/>
              </w:rPr>
              <m:t>θ</m:t>
            </m:r>
          </m:e>
          <m:sub>
            <m:r>
              <w:rPr>
                <w:rFonts w:ascii="Cambria Math" w:hAnsi="Cambria Math"/>
              </w:rPr>
              <m:t>R</m:t>
            </m:r>
          </m:sub>
        </m:sSub>
        <m:r>
          <w:rPr>
            <w:rFonts w:ascii="Cambria Math" w:hAnsi="Cambria Math"/>
          </w:rPr>
          <m:t>=</m:t>
        </m:r>
        <m:func>
          <m:funcPr>
            <m:ctrlPr>
              <w:rPr>
                <w:rFonts w:ascii="Cambria Math" w:hAnsi="Cambria Math"/>
              </w:rPr>
            </m:ctrlPr>
          </m:funcPr>
          <m:fName>
            <m:r>
              <m:rPr>
                <m:sty m:val="p"/>
              </m:rPr>
              <w:rPr>
                <w:rFonts w:ascii="Cambria Math" w:hAnsi="Cambria Math"/>
              </w:rPr>
              <m:t>ln</m:t>
            </m:r>
          </m:fName>
          <m:e>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R</m:t>
                </m:r>
              </m:sub>
            </m:sSub>
            <m:r>
              <w:rPr>
                <w:rFonts w:ascii="Cambria Math" w:hAnsi="Cambria Math"/>
              </w:rPr>
              <m:t>)</m:t>
            </m:r>
          </m:e>
        </m:func>
      </m:oMath>
      <w:r w:rsidRPr="000544E0">
        <w:t xml:space="preserve">.  The </w:t>
      </w:r>
      <m:oMath>
        <m:sSub>
          <m:sSubPr>
            <m:ctrlPr>
              <w:rPr>
                <w:rFonts w:ascii="Cambria Math" w:hAnsi="Cambria Math"/>
                <w:i/>
              </w:rPr>
            </m:ctrlPr>
          </m:sSubPr>
          <m:e>
            <m:r>
              <w:rPr>
                <w:rFonts w:ascii="Cambria Math" w:hAnsi="Cambria Math"/>
              </w:rPr>
              <m:t>T</m:t>
            </m:r>
          </m:e>
          <m:sub>
            <m:r>
              <w:rPr>
                <w:rFonts w:ascii="Cambria Math" w:hAnsi="Cambria Math"/>
              </w:rPr>
              <m:t>jl</m:t>
            </m:r>
          </m:sub>
        </m:sSub>
      </m:oMath>
      <w:r w:rsidRPr="000544E0">
        <w:t xml:space="preserve"> term then provides the estimate of log (T/R) across cohorts and is tested in the ANOVA with the error term being </w:t>
      </w:r>
      <m:oMath>
        <m:sSub>
          <m:sSubPr>
            <m:ctrlPr>
              <w:rPr>
                <w:rFonts w:ascii="Cambria Math" w:hAnsi="Cambria Math"/>
                <w:i/>
              </w:rPr>
            </m:ctrlPr>
          </m:sSubPr>
          <m:e>
            <m:r>
              <w:rPr>
                <w:rFonts w:ascii="Cambria Math" w:hAnsi="Cambria Math"/>
              </w:rPr>
              <m:t>(C×T)</m:t>
            </m:r>
          </m:e>
          <m:sub>
            <m:r>
              <w:rPr>
                <w:rFonts w:ascii="Cambria Math" w:hAnsi="Cambria Math"/>
              </w:rPr>
              <m:t>ijl</m:t>
            </m:r>
          </m:sub>
        </m:sSub>
      </m:oMath>
      <w:r w:rsidRPr="000544E0">
        <w:t xml:space="preserve"> instead of the usual residual error term.</w:t>
      </w:r>
    </w:p>
    <w:p w14:paraId="1D69E5F5" w14:textId="77777777" w:rsidR="003944A0" w:rsidRPr="000544E0" w:rsidRDefault="003944A0" w:rsidP="00946D6E">
      <w:pPr>
        <w:spacing w:before="240" w:line="360" w:lineRule="auto"/>
      </w:pPr>
      <w:r w:rsidRPr="000544E0">
        <w:t xml:space="preserve">If batch is modeled as a fixed effect, </w:t>
      </w:r>
      <m:oMath>
        <m:sSub>
          <m:sSubPr>
            <m:ctrlPr>
              <w:rPr>
                <w:rFonts w:ascii="Cambria Math" w:hAnsi="Cambria Math"/>
                <w:i/>
              </w:rPr>
            </m:ctrlPr>
          </m:sSubPr>
          <m:e>
            <m:r>
              <w:rPr>
                <w:rFonts w:ascii="Cambria Math" w:hAnsi="Cambria Math"/>
              </w:rPr>
              <m:t>(C×T)</m:t>
            </m:r>
          </m:e>
          <m:sub>
            <m:r>
              <w:rPr>
                <w:rFonts w:ascii="Cambria Math" w:hAnsi="Cambria Math"/>
              </w:rPr>
              <m:t>ijl</m:t>
            </m:r>
          </m:sub>
        </m:sSub>
      </m:oMath>
      <w:r w:rsidRPr="000544E0">
        <w:t xml:space="preserve"> is a fixed effect in the ANOVA, and the overall treatment effect, </w:t>
      </w:r>
      <m:oMath>
        <m:sSub>
          <m:sSubPr>
            <m:ctrlPr>
              <w:rPr>
                <w:rFonts w:ascii="Cambria Math" w:hAnsi="Cambria Math"/>
                <w:i/>
              </w:rPr>
            </m:ctrlPr>
          </m:sSubPr>
          <m:e>
            <m:r>
              <w:rPr>
                <w:rFonts w:ascii="Cambria Math" w:hAnsi="Cambria Math"/>
              </w:rPr>
              <m:t>T</m:t>
            </m:r>
          </m:e>
          <m:sub>
            <m:r>
              <w:rPr>
                <w:rFonts w:ascii="Cambria Math" w:hAnsi="Cambria Math"/>
              </w:rPr>
              <m:t>jl</m:t>
            </m:r>
          </m:sub>
        </m:sSub>
      </m:oMath>
      <w:r w:rsidRPr="000544E0">
        <w:t xml:space="preserve">, is tested in the ANOVA against the residual error term </w:t>
      </w:r>
      <m:oMath>
        <m:sSub>
          <m:sSubPr>
            <m:ctrlPr>
              <w:rPr>
                <w:rFonts w:ascii="Cambria Math" w:hAnsi="Cambria Math"/>
                <w:i/>
              </w:rPr>
            </m:ctrlPr>
          </m:sSubPr>
          <m:e>
            <m:r>
              <w:rPr>
                <w:rFonts w:ascii="Cambria Math" w:hAnsi="Cambria Math"/>
              </w:rPr>
              <m:t>ε</m:t>
            </m:r>
          </m:e>
          <m:sub>
            <m:r>
              <w:rPr>
                <w:rFonts w:ascii="Cambria Math" w:hAnsi="Cambria Math"/>
              </w:rPr>
              <m:t>ijkl</m:t>
            </m:r>
          </m:sub>
        </m:sSub>
      </m:oMath>
      <w:r w:rsidRPr="000544E0">
        <w:t>.</w:t>
      </w:r>
    </w:p>
    <w:p w14:paraId="469940EA" w14:textId="3BDB99F1" w:rsidR="003944A0" w:rsidRDefault="003944A0" w:rsidP="00EF2550">
      <w:pPr>
        <w:pStyle w:val="Default"/>
        <w:spacing w:before="240" w:line="360" w:lineRule="auto"/>
      </w:pPr>
      <w:r w:rsidRPr="000544E0">
        <w:t xml:space="preserve">The </w:t>
      </w:r>
      <m:oMath>
        <m:sSub>
          <m:sSubPr>
            <m:ctrlPr>
              <w:rPr>
                <w:rFonts w:ascii="Cambria Math" w:hAnsi="Cambria Math"/>
                <w:i/>
              </w:rPr>
            </m:ctrlPr>
          </m:sSubPr>
          <m:e>
            <m:r>
              <w:rPr>
                <w:rFonts w:ascii="Cambria Math" w:hAnsi="Cambria Math"/>
              </w:rPr>
              <m:t>(C×T)</m:t>
            </m:r>
          </m:e>
          <m:sub>
            <m:r>
              <w:rPr>
                <w:rFonts w:ascii="Cambria Math" w:hAnsi="Cambria Math"/>
              </w:rPr>
              <m:t>ijl</m:t>
            </m:r>
          </m:sub>
        </m:sSub>
      </m:oMath>
      <w:r w:rsidRPr="000544E0">
        <w:t xml:space="preserve"> term is included in the Fixed Batch Effect and Random Batch Effect models but excluded from the Superbatch model, and excluded (by definition) from all single-cohort, </w:t>
      </w:r>
      <w:r w:rsidRPr="000544E0">
        <w:rPr>
          <w:i/>
        </w:rPr>
        <w:t>i.e.</w:t>
      </w:r>
      <w:r w:rsidRPr="000544E0">
        <w:t>, single-batch, designs including the Targeted Batch approach by virtue of this (and all A</w:t>
      </w:r>
      <w:bookmarkStart w:id="0" w:name="_GoBack"/>
      <w:bookmarkEnd w:id="0"/>
      <w:r w:rsidRPr="000544E0">
        <w:t>NOVA terms involving cohort) having zero degrees of freedom</w:t>
      </w:r>
      <w:r w:rsidR="00B7140F" w:rsidRPr="000544E0">
        <w:t>.</w:t>
      </w:r>
      <w:r>
        <w:br w:type="page"/>
      </w:r>
    </w:p>
    <w:p w14:paraId="51505630" w14:textId="69B10657" w:rsidR="00867D9A" w:rsidRDefault="00867D9A" w:rsidP="00B7140F">
      <w:pPr>
        <w:pStyle w:val="Default"/>
        <w:spacing w:before="240" w:line="360" w:lineRule="auto"/>
        <w:rPr>
          <w:szCs w:val="28"/>
        </w:rPr>
      </w:pPr>
      <w:r>
        <w:rPr>
          <w:b/>
          <w:bCs/>
          <w:szCs w:val="28"/>
        </w:rPr>
        <w:lastRenderedPageBreak/>
        <w:t xml:space="preserve">Supplement </w:t>
      </w:r>
      <w:r w:rsidR="003944A0">
        <w:rPr>
          <w:b/>
          <w:bCs/>
          <w:szCs w:val="28"/>
        </w:rPr>
        <w:t>2</w:t>
      </w:r>
    </w:p>
    <w:p w14:paraId="10C24D44" w14:textId="77777777" w:rsidR="00867D9A" w:rsidRPr="000544E0" w:rsidRDefault="00867D9A" w:rsidP="00867D9A">
      <w:pPr>
        <w:autoSpaceDE w:val="0"/>
        <w:autoSpaceDN w:val="0"/>
        <w:adjustRightInd w:val="0"/>
        <w:spacing w:before="240" w:line="360" w:lineRule="auto"/>
        <w:rPr>
          <w:bCs/>
          <w:iCs/>
          <w:lang w:val="en-GB"/>
        </w:rPr>
      </w:pPr>
      <w:r w:rsidRPr="000544E0">
        <w:rPr>
          <w:bCs/>
          <w:iCs/>
          <w:lang w:val="en-GB"/>
        </w:rPr>
        <w:t>Consider the usual null and alternative hypotheses for PK BE studies:</w:t>
      </w:r>
    </w:p>
    <w:p w14:paraId="091ADFBB" w14:textId="77777777" w:rsidR="00867D9A" w:rsidRPr="000544E0" w:rsidRDefault="00114CBD" w:rsidP="00867D9A">
      <w:pPr>
        <w:autoSpaceDE w:val="0"/>
        <w:autoSpaceDN w:val="0"/>
        <w:adjustRightInd w:val="0"/>
        <w:spacing w:before="240" w:line="360" w:lineRule="auto"/>
        <w:rPr>
          <w:bCs/>
          <w:lang w:val="en-GB"/>
        </w:rPr>
      </w:pPr>
      <m:oMathPara>
        <m:oMathParaPr>
          <m:jc m:val="left"/>
        </m:oMathParaPr>
        <m:oMath>
          <m:sSub>
            <m:sSubPr>
              <m:ctrlPr>
                <w:rPr>
                  <w:rFonts w:ascii="Cambria Math" w:hAnsi="Cambria Math"/>
                  <w:bCs/>
                  <w:i/>
                  <w:iCs/>
                  <w:lang w:val="el-GR"/>
                </w:rPr>
              </m:ctrlPr>
            </m:sSubPr>
            <m:e>
              <m:r>
                <w:rPr>
                  <w:rFonts w:ascii="Cambria Math" w:hAnsi="Cambria Math"/>
                  <w:lang w:val="el-GR"/>
                </w:rPr>
                <m:t>H</m:t>
              </m:r>
            </m:e>
            <m:sub>
              <m:r>
                <w:rPr>
                  <w:rFonts w:ascii="Cambria Math" w:hAnsi="Cambria Math"/>
                  <w:lang w:val="el-GR"/>
                </w:rPr>
                <m:t>0</m:t>
              </m:r>
            </m:sub>
          </m:sSub>
          <m:r>
            <w:rPr>
              <w:rFonts w:ascii="Cambria Math" w:hAnsi="Cambria Math"/>
              <w:lang w:val="el-GR"/>
            </w:rPr>
            <m:t>:</m:t>
          </m:r>
          <m:d>
            <m:dPr>
              <m:begChr m:val="|"/>
              <m:endChr m:val="|"/>
              <m:ctrlPr>
                <w:rPr>
                  <w:rFonts w:ascii="Cambria Math" w:hAnsi="Cambria Math"/>
                  <w:bCs/>
                  <w:i/>
                  <w:iCs/>
                  <w:lang w:val="en-GB"/>
                </w:rPr>
              </m:ctrlPr>
            </m:dPr>
            <m:e>
              <m:r>
                <w:rPr>
                  <w:rFonts w:ascii="Cambria Math" w:hAnsi="Cambria Math"/>
                  <w:lang w:val="el-GR"/>
                </w:rPr>
                <m:t xml:space="preserve"> </m:t>
              </m:r>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R</m:t>
                  </m:r>
                </m:sub>
              </m:sSub>
            </m:e>
          </m:d>
          <m:r>
            <w:rPr>
              <w:rFonts w:ascii="Cambria Math" w:hAnsi="Cambria Math"/>
              <w:lang w:val="el-GR"/>
            </w:rPr>
            <m:t xml:space="preserve">≥ln(1.25)  vs </m:t>
          </m:r>
          <m:sSub>
            <m:sSubPr>
              <m:ctrlPr>
                <w:rPr>
                  <w:rFonts w:ascii="Cambria Math" w:hAnsi="Cambria Math"/>
                  <w:bCs/>
                  <w:i/>
                  <w:iCs/>
                  <w:lang w:val="el-GR"/>
                </w:rPr>
              </m:ctrlPr>
            </m:sSubPr>
            <m:e>
              <m:r>
                <w:rPr>
                  <w:rFonts w:ascii="Cambria Math" w:hAnsi="Cambria Math"/>
                  <w:lang w:val="el-GR"/>
                </w:rPr>
                <m:t xml:space="preserve"> H</m:t>
              </m:r>
            </m:e>
            <m:sub>
              <m:r>
                <w:rPr>
                  <w:rFonts w:ascii="Cambria Math" w:hAnsi="Cambria Math"/>
                  <w:lang w:val="el-GR"/>
                </w:rPr>
                <m:t>1</m:t>
              </m:r>
            </m:sub>
          </m:sSub>
          <m:r>
            <w:rPr>
              <w:rFonts w:ascii="Cambria Math" w:hAnsi="Cambria Math"/>
              <w:lang w:val="el-GR"/>
            </w:rPr>
            <m:t xml:space="preserve">: </m:t>
          </m:r>
          <m:d>
            <m:dPr>
              <m:begChr m:val="|"/>
              <m:endChr m:val="|"/>
              <m:ctrlPr>
                <w:rPr>
                  <w:rFonts w:ascii="Cambria Math" w:hAnsi="Cambria Math"/>
                  <w:bCs/>
                  <w:i/>
                  <w:iCs/>
                  <w:lang w:val="en-GB"/>
                </w:rPr>
              </m:ctrlPr>
            </m:dPr>
            <m:e>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R</m:t>
                  </m:r>
                </m:sub>
              </m:sSub>
            </m:e>
          </m:d>
          <m:r>
            <w:rPr>
              <w:rFonts w:ascii="Cambria Math" w:hAnsi="Cambria Math"/>
              <w:lang w:val="el-GR"/>
            </w:rPr>
            <m:t>&lt;ln(</m:t>
          </m:r>
          <m:r>
            <m:rPr>
              <m:sty m:val="p"/>
            </m:rPr>
            <w:rPr>
              <w:rFonts w:ascii="Cambria Math" w:hAnsi="Cambria Math"/>
              <w:lang w:val="el-GR"/>
            </w:rPr>
            <m:t>1.25)</m:t>
          </m:r>
        </m:oMath>
      </m:oMathPara>
    </w:p>
    <w:p w14:paraId="6705BAFC" w14:textId="77777777" w:rsidR="00867D9A" w:rsidRPr="000544E0" w:rsidRDefault="00867D9A" w:rsidP="00867D9A">
      <w:pPr>
        <w:autoSpaceDE w:val="0"/>
        <w:autoSpaceDN w:val="0"/>
        <w:adjustRightInd w:val="0"/>
        <w:spacing w:before="240" w:line="360" w:lineRule="auto"/>
        <w:rPr>
          <w:bCs/>
          <w:iCs/>
          <w:lang w:val="en-GB"/>
        </w:rPr>
      </w:pPr>
      <w:r w:rsidRPr="000544E0">
        <w:rPr>
          <w:bCs/>
          <w:lang w:val="en-GB"/>
        </w:rPr>
        <w:t xml:space="preserve">where </w:t>
      </w:r>
      <m:oMath>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T</m:t>
            </m:r>
          </m:sub>
        </m:sSub>
      </m:oMath>
      <w:r w:rsidRPr="000544E0">
        <w:rPr>
          <w:bCs/>
          <w:iCs/>
          <w:lang w:val="en-GB"/>
        </w:rPr>
        <w:t xml:space="preserve"> and </w:t>
      </w:r>
      <m:oMath>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R</m:t>
            </m:r>
          </m:sub>
        </m:sSub>
      </m:oMath>
      <w:r w:rsidRPr="000544E0">
        <w:rPr>
          <w:bCs/>
          <w:iCs/>
          <w:lang w:val="en-GB"/>
        </w:rPr>
        <w:t xml:space="preserve"> denote true Test and Reference log mean PK parameter values.</w:t>
      </w:r>
      <w:r w:rsidRPr="000544E0">
        <w:rPr>
          <w:b/>
          <w:bCs/>
          <w:iCs/>
          <w:lang w:val="en-GB"/>
        </w:rPr>
        <w:t xml:space="preserve">  </w:t>
      </w:r>
      <m:oMath>
        <m:sSub>
          <m:sSubPr>
            <m:ctrlPr>
              <w:rPr>
                <w:rFonts w:ascii="Cambria Math" w:hAnsi="Cambria Math"/>
                <w:bCs/>
                <w:i/>
                <w:iCs/>
                <w:lang w:val="el-GR"/>
              </w:rPr>
            </m:ctrlPr>
          </m:sSubPr>
          <m:e>
            <m:r>
              <w:rPr>
                <w:rFonts w:ascii="Cambria Math" w:hAnsi="Cambria Math"/>
                <w:lang w:val="el-GR"/>
              </w:rPr>
              <m:t>H</m:t>
            </m:r>
          </m:e>
          <m:sub>
            <m:r>
              <w:rPr>
                <w:rFonts w:ascii="Cambria Math" w:hAnsi="Cambria Math"/>
                <w:lang w:val="el-GR"/>
              </w:rPr>
              <m:t>0</m:t>
            </m:r>
          </m:sub>
        </m:sSub>
      </m:oMath>
      <w:r w:rsidRPr="000544E0">
        <w:rPr>
          <w:bCs/>
          <w:iCs/>
          <w:lang w:val="en-GB"/>
        </w:rPr>
        <w:t xml:space="preserve"> is rejected if the observed treatment difference is small, </w:t>
      </w:r>
      <w:r w:rsidRPr="000544E0">
        <w:rPr>
          <w:bCs/>
          <w:i/>
          <w:iCs/>
          <w:lang w:val="en-GB"/>
        </w:rPr>
        <w:t>i.e.</w:t>
      </w:r>
      <w:r w:rsidRPr="000544E0">
        <w:rPr>
          <w:bCs/>
          <w:iCs/>
          <w:lang w:val="en-GB"/>
        </w:rPr>
        <w:t xml:space="preserve">, if </w:t>
      </w:r>
      <m:oMath>
        <m:d>
          <m:dPr>
            <m:begChr m:val="|"/>
            <m:endChr m:val="|"/>
            <m:ctrlPr>
              <w:rPr>
                <w:rFonts w:ascii="Cambria Math" w:hAnsi="Cambria Math"/>
                <w:bCs/>
                <w:i/>
                <w:iCs/>
                <w:lang w:val="en-GB"/>
              </w:rPr>
            </m:ctrlPr>
          </m:dPr>
          <m:e>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e>
        </m:d>
        <m:r>
          <w:rPr>
            <w:rFonts w:ascii="Cambria Math" w:hAnsi="Cambria Math"/>
            <w:lang w:val="en-GB"/>
          </w:rPr>
          <m:t>&lt;k</m:t>
        </m:r>
      </m:oMath>
      <w:r w:rsidRPr="000544E0">
        <w:rPr>
          <w:bCs/>
          <w:iCs/>
          <w:lang w:val="en-GB"/>
        </w:rPr>
        <w:t xml:space="preserve">.  </w:t>
      </w:r>
    </w:p>
    <w:p w14:paraId="61E33C46" w14:textId="77777777" w:rsidR="00867D9A" w:rsidRPr="000544E0" w:rsidRDefault="00867D9A" w:rsidP="00867D9A">
      <w:pPr>
        <w:autoSpaceDE w:val="0"/>
        <w:autoSpaceDN w:val="0"/>
        <w:adjustRightInd w:val="0"/>
        <w:spacing w:before="240" w:line="360" w:lineRule="auto"/>
        <w:rPr>
          <w:bCs/>
          <w:lang w:val="en-GB"/>
        </w:rPr>
      </w:pPr>
      <w:r w:rsidRPr="000544E0">
        <w:rPr>
          <w:bCs/>
          <w:lang w:val="en-GB"/>
        </w:rPr>
        <w:t>Thus, for any design:</w:t>
      </w:r>
    </w:p>
    <w:p w14:paraId="658C2464" w14:textId="77777777" w:rsidR="00867D9A" w:rsidRPr="000544E0" w:rsidRDefault="00867D9A" w:rsidP="00867D9A">
      <w:pPr>
        <w:autoSpaceDE w:val="0"/>
        <w:autoSpaceDN w:val="0"/>
        <w:adjustRightInd w:val="0"/>
        <w:spacing w:before="240" w:line="360" w:lineRule="auto"/>
        <w:rPr>
          <w:lang w:val="en-GB"/>
        </w:rPr>
      </w:pPr>
      <m:oMath>
        <m:r>
          <w:rPr>
            <w:rFonts w:ascii="Cambria Math" w:hAnsi="Cambria Math"/>
            <w:lang w:val="en-GB"/>
          </w:rPr>
          <m:t>k=</m:t>
        </m:r>
        <m:func>
          <m:funcPr>
            <m:ctrlPr>
              <w:rPr>
                <w:rFonts w:ascii="Cambria Math" w:hAnsi="Cambria Math"/>
                <w:lang w:val="el-GR"/>
              </w:rPr>
            </m:ctrlPr>
          </m:funcPr>
          <m:fName>
            <m:r>
              <m:rPr>
                <m:sty m:val="p"/>
              </m:rPr>
              <w:rPr>
                <w:rFonts w:ascii="Cambria Math" w:hAnsi="Cambria Math"/>
                <w:lang w:val="el-GR"/>
              </w:rPr>
              <m:t>ln</m:t>
            </m:r>
            <m:ctrlPr>
              <w:rPr>
                <w:rFonts w:ascii="Cambria Math" w:hAnsi="Cambria Math"/>
                <w:i/>
                <w:lang w:val="el-GR"/>
              </w:rPr>
            </m:ctrlPr>
          </m:fName>
          <m:e>
            <m:d>
              <m:dPr>
                <m:ctrlPr>
                  <w:rPr>
                    <w:rFonts w:ascii="Cambria Math" w:hAnsi="Cambria Math"/>
                    <w:lang w:val="el-GR"/>
                  </w:rPr>
                </m:ctrlPr>
              </m:dPr>
              <m:e>
                <m:r>
                  <m:rPr>
                    <m:sty m:val="p"/>
                  </m:rPr>
                  <w:rPr>
                    <w:rFonts w:ascii="Cambria Math" w:hAnsi="Cambria Math"/>
                    <w:lang w:val="el-GR"/>
                  </w:rPr>
                  <m:t>1.25</m:t>
                </m:r>
              </m:e>
            </m:d>
          </m:e>
        </m:func>
        <m:r>
          <w:rPr>
            <w:rFonts w:ascii="Cambria Math" w:hAnsi="Cambria Math"/>
            <w:lang w:val="el-GR"/>
          </w:rPr>
          <m:t>-</m:t>
        </m:r>
        <m:sSub>
          <m:sSubPr>
            <m:ctrlPr>
              <w:rPr>
                <w:rFonts w:ascii="Cambria Math" w:hAnsi="Cambria Math"/>
                <w:bCs/>
                <w:i/>
                <w:iCs/>
                <w:lang w:val="el-GR"/>
              </w:rPr>
            </m:ctrlPr>
          </m:sSubPr>
          <m:e>
            <m:r>
              <w:rPr>
                <w:rFonts w:ascii="Cambria Math" w:hAnsi="Cambria Math"/>
                <w:lang w:val="el-GR"/>
              </w:rPr>
              <m:t>t</m:t>
            </m:r>
          </m:e>
          <m:sub>
            <m:r>
              <w:rPr>
                <w:rFonts w:ascii="Cambria Math" w:hAnsi="Cambria Math"/>
                <w:lang w:val="el-GR"/>
              </w:rPr>
              <m:t>1-α,df</m:t>
            </m:r>
          </m:sub>
        </m:sSub>
        <m:r>
          <w:rPr>
            <w:rFonts w:ascii="Cambria Math" w:hAnsi="Cambria Math"/>
            <w:lang w:val="el-GR"/>
          </w:rPr>
          <m:t>SE</m:t>
        </m:r>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p>
    <w:p w14:paraId="4C5CFDCC" w14:textId="77777777" w:rsidR="00867D9A" w:rsidRPr="000544E0" w:rsidRDefault="00867D9A" w:rsidP="00867D9A">
      <w:pPr>
        <w:autoSpaceDE w:val="0"/>
        <w:autoSpaceDN w:val="0"/>
        <w:adjustRightInd w:val="0"/>
        <w:spacing w:before="240" w:line="360" w:lineRule="auto"/>
      </w:pPr>
      <w:r w:rsidRPr="000544E0">
        <w:rPr>
          <w:lang w:val="en-GB"/>
        </w:rPr>
        <w:t xml:space="preserve">where </w:t>
      </w:r>
      <m:oMath>
        <m:r>
          <w:rPr>
            <w:rFonts w:ascii="Cambria Math" w:hAnsi="Cambria Math"/>
            <w:lang w:val="el-GR"/>
          </w:rPr>
          <m:t>SE</m:t>
        </m:r>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r w:rsidRPr="000544E0">
        <w:rPr>
          <w:lang w:val="en-GB"/>
        </w:rPr>
        <w:t xml:space="preserve"> is the standard error of the estimated treatment difference.</w:t>
      </w:r>
    </w:p>
    <w:p w14:paraId="26816369" w14:textId="62E1CE8E" w:rsidR="00867D9A" w:rsidRPr="000544E0" w:rsidRDefault="00867D9A" w:rsidP="00867D9A">
      <w:pPr>
        <w:autoSpaceDE w:val="0"/>
        <w:autoSpaceDN w:val="0"/>
        <w:adjustRightInd w:val="0"/>
        <w:spacing w:before="240" w:line="360" w:lineRule="auto"/>
        <w:rPr>
          <w:lang w:val="en-GB"/>
        </w:rPr>
      </w:pPr>
      <w:r w:rsidRPr="000544E0">
        <w:rPr>
          <w:lang w:val="en-GB"/>
        </w:rPr>
        <w:t xml:space="preserve">Across many repeated PK BE studies, each contributing one </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oMath>
      <w:r w:rsidRPr="000544E0">
        <w:rPr>
          <w:bCs/>
          <w:iCs/>
          <w:lang w:val="en-GB"/>
        </w:rPr>
        <w:t xml:space="preserve"> estimate</w:t>
      </w:r>
      <w:r w:rsidRPr="000544E0">
        <w:rPr>
          <w:lang w:val="en-GB"/>
        </w:rPr>
        <w:t>,</w:t>
      </w:r>
      <w:r w:rsidRPr="000544E0">
        <w:t xml:space="preserve"> </w:t>
      </w:r>
      <m:oMath>
        <m:r>
          <w:rPr>
            <w:rFonts w:ascii="Cambria Math" w:hAnsi="Cambria Math"/>
            <w:lang w:val="el-GR"/>
          </w:rPr>
          <m:t>SE</m:t>
        </m:r>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r w:rsidRPr="000544E0">
        <w:rPr>
          <w:lang w:val="en-GB"/>
        </w:rPr>
        <w:t xml:space="preserve"> could be estimated empirically as the standard deviation of the resulting distribution of log treatment differences.  If the batch sample for each study is drawn at random from the product population, </w:t>
      </w:r>
      <w:r w:rsidR="001711F8">
        <w:rPr>
          <w:lang w:val="en-GB"/>
        </w:rPr>
        <w:t xml:space="preserve">the expected value of </w:t>
      </w:r>
      <m:oMath>
        <m:r>
          <w:rPr>
            <w:rFonts w:ascii="Cambria Math" w:hAnsi="Cambria Math"/>
            <w:lang w:val="el-GR"/>
          </w:rPr>
          <m:t>SE</m:t>
        </m:r>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r w:rsidRPr="000544E0">
        <w:rPr>
          <w:lang w:val="en-GB"/>
        </w:rPr>
        <w:t xml:space="preserve"> will </w:t>
      </w:r>
      <w:r w:rsidR="00695847">
        <w:rPr>
          <w:lang w:val="en-GB"/>
        </w:rPr>
        <w:t>equal</w:t>
      </w:r>
      <w:r w:rsidRPr="000544E0">
        <w:rPr>
          <w:lang w:val="en-GB"/>
        </w:rPr>
        <w:t xml:space="preserve"> the value of the Random Batch Effect approach (</w:t>
      </w:r>
      <w:r w:rsidRPr="000544E0">
        <w:rPr>
          <w:b/>
          <w:lang w:val="en-GB"/>
        </w:rPr>
        <w:t>Table III</w:t>
      </w:r>
      <w:r w:rsidRPr="000544E0">
        <w:rPr>
          <w:lang w:val="en-GB"/>
        </w:rPr>
        <w:t>)</w:t>
      </w:r>
      <w:r w:rsidR="00695847">
        <w:rPr>
          <w:lang w:val="en-GB"/>
        </w:rPr>
        <w:t xml:space="preserve"> for normally distributed</w:t>
      </w:r>
      <w:r w:rsidR="00EC095F" w:rsidRPr="00EC095F">
        <w:rPr>
          <w:lang w:val="en-GB"/>
        </w:rPr>
        <w:t xml:space="preserve"> </w:t>
      </w:r>
      <w:r w:rsidR="00EC095F">
        <w:rPr>
          <w:lang w:val="en-GB"/>
        </w:rPr>
        <w:t>data</w:t>
      </w:r>
      <w:r w:rsidRPr="000544E0">
        <w:rPr>
          <w:lang w:val="en-GB"/>
        </w:rPr>
        <w:t xml:space="preserve">.  However, in practice only a single study is run, with a single sample of batches.  In a single study, </w:t>
      </w:r>
      <m:oMath>
        <m:r>
          <w:rPr>
            <w:rFonts w:ascii="Cambria Math" w:hAnsi="Cambria Math"/>
            <w:lang w:val="el-GR"/>
          </w:rPr>
          <m:t>SE</m:t>
        </m:r>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r w:rsidRPr="000544E0">
        <w:rPr>
          <w:lang w:val="en-GB"/>
        </w:rPr>
        <w:t xml:space="preserve"> is estimated via the fitted ANOVA model.</w:t>
      </w:r>
      <w:r w:rsidRPr="000544E0">
        <w:t xml:space="preserve">  The maximum treatment difference (±</w:t>
      </w:r>
      <w:r w:rsidRPr="000544E0">
        <w:rPr>
          <w:i/>
        </w:rPr>
        <w:t>k</w:t>
      </w:r>
      <w:r w:rsidRPr="000544E0">
        <w:t xml:space="preserve">) that allows a BE conclusion depends on the model-specific estimate of </w:t>
      </w:r>
      <m:oMath>
        <m:r>
          <w:rPr>
            <w:rFonts w:ascii="Cambria Math" w:hAnsi="Cambria Math"/>
            <w:lang w:val="el-GR"/>
          </w:rPr>
          <m:t>SE</m:t>
        </m:r>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r w:rsidRPr="000544E0">
        <w:rPr>
          <w:lang w:val="en-GB"/>
        </w:rPr>
        <w:t xml:space="preserve"> and the associated </w:t>
      </w:r>
      <w:r w:rsidRPr="000544E0">
        <w:t xml:space="preserve">critical </w:t>
      </w:r>
      <w:r w:rsidRPr="000544E0">
        <w:rPr>
          <w:i/>
        </w:rPr>
        <w:t xml:space="preserve">t </w:t>
      </w:r>
      <w:r w:rsidRPr="000544E0">
        <w:t>value (</w:t>
      </w:r>
      <m:oMath>
        <m:sSub>
          <m:sSubPr>
            <m:ctrlPr>
              <w:rPr>
                <w:rFonts w:ascii="Cambria Math" w:hAnsi="Cambria Math"/>
                <w:bCs/>
                <w:i/>
                <w:iCs/>
                <w:lang w:val="el-GR"/>
              </w:rPr>
            </m:ctrlPr>
          </m:sSubPr>
          <m:e>
            <m:r>
              <w:rPr>
                <w:rFonts w:ascii="Cambria Math" w:hAnsi="Cambria Math"/>
                <w:lang w:val="el-GR"/>
              </w:rPr>
              <m:t>t</m:t>
            </m:r>
          </m:e>
          <m:sub>
            <m:r>
              <w:rPr>
                <w:rFonts w:ascii="Cambria Math" w:hAnsi="Cambria Math"/>
                <w:lang w:val="el-GR"/>
              </w:rPr>
              <m:t>1-0.05,df</m:t>
            </m:r>
          </m:sub>
        </m:sSub>
      </m:oMath>
      <w:r w:rsidRPr="000544E0">
        <w:t>)</w:t>
      </w:r>
      <w:r w:rsidRPr="000544E0">
        <w:rPr>
          <w:lang w:val="en-GB"/>
        </w:rPr>
        <w:t xml:space="preserve">.  Denoting these approach-specific (Fixed Batch Effect, </w:t>
      </w:r>
      <w:proofErr w:type="spellStart"/>
      <w:r w:rsidRPr="000544E0">
        <w:rPr>
          <w:lang w:val="en-GB"/>
        </w:rPr>
        <w:t>Superbatch</w:t>
      </w:r>
      <w:proofErr w:type="spellEnd"/>
      <w:r w:rsidRPr="000544E0">
        <w:rPr>
          <w:lang w:val="en-GB"/>
        </w:rPr>
        <w:t xml:space="preserve">, Targeted Batch or Random Batch Effect; </w:t>
      </w:r>
      <w:r w:rsidRPr="000544E0">
        <w:rPr>
          <w:b/>
          <w:lang w:val="en-GB"/>
        </w:rPr>
        <w:t>Table III</w:t>
      </w:r>
      <w:r w:rsidRPr="000544E0">
        <w:rPr>
          <w:lang w:val="en-GB"/>
        </w:rPr>
        <w:t>) values as</w:t>
      </w:r>
      <w:r>
        <w:rPr>
          <w:lang w:val="en-GB"/>
        </w:rPr>
        <w:t xml:space="preserve"> </w:t>
      </w:r>
      <m:oMath>
        <m:acc>
          <m:accPr>
            <m:chr m:val="̃"/>
            <m:ctrlPr>
              <w:rPr>
                <w:rFonts w:ascii="Cambria Math" w:hAnsi="Cambria Math"/>
                <w:i/>
                <w:lang w:val="en-GB"/>
              </w:rPr>
            </m:ctrlPr>
          </m:accPr>
          <m:e>
            <m:r>
              <w:rPr>
                <w:rFonts w:ascii="Cambria Math" w:hAnsi="Cambria Math"/>
                <w:lang w:val="en-GB"/>
              </w:rPr>
              <m:t>SE</m:t>
            </m:r>
          </m:e>
        </m:acc>
      </m:oMath>
      <w:r w:rsidRPr="000544E0">
        <w:rPr>
          <w:lang w:val="en-GB"/>
        </w:rPr>
        <w:t xml:space="preserve"> and </w:t>
      </w:r>
      <m:oMath>
        <m:acc>
          <m:accPr>
            <m:chr m:val="̃"/>
            <m:ctrlPr>
              <w:rPr>
                <w:rFonts w:ascii="Cambria Math" w:hAnsi="Cambria Math"/>
                <w:i/>
                <w:lang w:val="en-GB"/>
              </w:rPr>
            </m:ctrlPr>
          </m:accPr>
          <m:e>
            <m:r>
              <w:rPr>
                <w:rFonts w:ascii="Cambria Math" w:hAnsi="Cambria Math"/>
                <w:lang w:val="en-GB"/>
              </w:rPr>
              <m:t>df</m:t>
            </m:r>
          </m:e>
        </m:acc>
      </m:oMath>
      <w:r w:rsidRPr="000544E0">
        <w:rPr>
          <w:lang w:val="en-GB"/>
        </w:rPr>
        <w:t xml:space="preserve">, the ‘passing window’ </w:t>
      </w:r>
      <w:r w:rsidRPr="000544E0">
        <w:t>(±</w:t>
      </w:r>
      <w:r w:rsidRPr="000544E0">
        <w:rPr>
          <w:i/>
        </w:rPr>
        <w:t>k</w:t>
      </w:r>
      <w:r w:rsidRPr="000544E0">
        <w:t xml:space="preserve">) </w:t>
      </w:r>
      <w:r w:rsidRPr="000544E0">
        <w:rPr>
          <w:lang w:val="en-GB"/>
        </w:rPr>
        <w:t xml:space="preserve">within which the observed treatment difference must fall so that the associated </w:t>
      </w:r>
      <m:oMath>
        <m:r>
          <w:rPr>
            <w:rFonts w:ascii="Cambria Math" w:hAnsi="Cambria Math"/>
            <w:lang w:val="en-GB"/>
          </w:rPr>
          <m:t>100</m:t>
        </m:r>
        <m:d>
          <m:dPr>
            <m:ctrlPr>
              <w:rPr>
                <w:rFonts w:ascii="Cambria Math" w:hAnsi="Cambria Math"/>
                <w:i/>
                <w:lang w:val="en-GB"/>
              </w:rPr>
            </m:ctrlPr>
          </m:dPr>
          <m:e>
            <m:r>
              <w:rPr>
                <w:rFonts w:ascii="Cambria Math" w:hAnsi="Cambria Math"/>
                <w:lang w:val="el-GR"/>
              </w:rPr>
              <m:t>1-2α</m:t>
            </m:r>
            <m:ctrlPr>
              <w:rPr>
                <w:rFonts w:ascii="Cambria Math" w:hAnsi="Cambria Math"/>
                <w:i/>
                <w:lang w:val="el-GR"/>
              </w:rPr>
            </m:ctrlPr>
          </m:e>
        </m:d>
        <m:r>
          <w:rPr>
            <w:rFonts w:ascii="Cambria Math" w:hAnsi="Cambria Math"/>
            <w:lang w:val="el-GR"/>
          </w:rPr>
          <m:t>%</m:t>
        </m:r>
      </m:oMath>
      <w:r w:rsidRPr="000544E0">
        <w:rPr>
          <w:lang w:val="en-GB"/>
        </w:rPr>
        <w:t xml:space="preserve">  confidence interval lies within the BE acceptance limits (0.8000, 1.2500) is given as:</w:t>
      </w:r>
    </w:p>
    <w:p w14:paraId="4CCF86FD" w14:textId="77777777" w:rsidR="00867D9A" w:rsidRPr="000544E0" w:rsidRDefault="00867D9A" w:rsidP="00867D9A">
      <w:pPr>
        <w:autoSpaceDE w:val="0"/>
        <w:autoSpaceDN w:val="0"/>
        <w:adjustRightInd w:val="0"/>
        <w:spacing w:before="240" w:line="360" w:lineRule="auto"/>
      </w:pPr>
      <m:oMath>
        <m:r>
          <w:rPr>
            <w:rFonts w:ascii="Cambria Math" w:hAnsi="Cambria Math"/>
            <w:lang w:val="en-GB"/>
          </w:rPr>
          <m:t>k=</m:t>
        </m:r>
        <m:func>
          <m:funcPr>
            <m:ctrlPr>
              <w:rPr>
                <w:rFonts w:ascii="Cambria Math" w:hAnsi="Cambria Math"/>
                <w:lang w:val="el-GR"/>
              </w:rPr>
            </m:ctrlPr>
          </m:funcPr>
          <m:fName>
            <m:r>
              <m:rPr>
                <m:sty m:val="p"/>
              </m:rPr>
              <w:rPr>
                <w:rFonts w:ascii="Cambria Math" w:hAnsi="Cambria Math"/>
                <w:lang w:val="el-GR"/>
              </w:rPr>
              <m:t>ln</m:t>
            </m:r>
            <m:ctrlPr>
              <w:rPr>
                <w:rFonts w:ascii="Cambria Math" w:hAnsi="Cambria Math"/>
                <w:i/>
                <w:lang w:val="el-GR"/>
              </w:rPr>
            </m:ctrlPr>
          </m:fName>
          <m:e>
            <m:d>
              <m:dPr>
                <m:ctrlPr>
                  <w:rPr>
                    <w:rFonts w:ascii="Cambria Math" w:hAnsi="Cambria Math"/>
                    <w:lang w:val="el-GR"/>
                  </w:rPr>
                </m:ctrlPr>
              </m:dPr>
              <m:e>
                <m:r>
                  <m:rPr>
                    <m:sty m:val="p"/>
                  </m:rPr>
                  <w:rPr>
                    <w:rFonts w:ascii="Cambria Math" w:hAnsi="Cambria Math"/>
                    <w:lang w:val="el-GR"/>
                  </w:rPr>
                  <m:t>1.25</m:t>
                </m:r>
              </m:e>
            </m:d>
          </m:e>
        </m:func>
        <m:r>
          <w:rPr>
            <w:rFonts w:ascii="Cambria Math" w:hAnsi="Cambria Math"/>
            <w:lang w:val="el-GR"/>
          </w:rPr>
          <m:t>-</m:t>
        </m:r>
        <m:sSub>
          <m:sSubPr>
            <m:ctrlPr>
              <w:rPr>
                <w:rFonts w:ascii="Cambria Math" w:hAnsi="Cambria Math"/>
                <w:bCs/>
                <w:i/>
                <w:iCs/>
                <w:lang w:val="el-GR"/>
              </w:rPr>
            </m:ctrlPr>
          </m:sSubPr>
          <m:e>
            <m:r>
              <w:rPr>
                <w:rFonts w:ascii="Cambria Math" w:hAnsi="Cambria Math"/>
                <w:lang w:val="el-GR"/>
              </w:rPr>
              <m:t>t</m:t>
            </m:r>
          </m:e>
          <m:sub>
            <m:r>
              <w:rPr>
                <w:rFonts w:ascii="Cambria Math" w:hAnsi="Cambria Math"/>
                <w:lang w:val="el-GR"/>
              </w:rPr>
              <m:t>1-0.05,</m:t>
            </m:r>
            <m:acc>
              <m:accPr>
                <m:chr m:val="̃"/>
                <m:ctrlPr>
                  <w:rPr>
                    <w:rFonts w:ascii="Cambria Math" w:hAnsi="Cambria Math"/>
                    <w:i/>
                    <w:lang w:val="el-GR"/>
                  </w:rPr>
                </m:ctrlPr>
              </m:accPr>
              <m:e>
                <m:r>
                  <w:rPr>
                    <w:rFonts w:ascii="Cambria Math" w:hAnsi="Cambria Math"/>
                    <w:lang w:val="el-GR"/>
                  </w:rPr>
                  <m:t>df</m:t>
                </m:r>
              </m:e>
            </m:acc>
          </m:sub>
        </m:sSub>
        <m:acc>
          <m:accPr>
            <m:chr m:val="̃"/>
            <m:ctrlPr>
              <w:rPr>
                <w:rFonts w:ascii="Cambria Math" w:hAnsi="Cambria Math"/>
                <w:i/>
                <w:lang w:val="el-GR"/>
              </w:rPr>
            </m:ctrlPr>
          </m:accPr>
          <m:e>
            <m:r>
              <w:rPr>
                <w:rFonts w:ascii="Cambria Math" w:hAnsi="Cambria Math"/>
                <w:lang w:val="el-GR"/>
              </w:rPr>
              <m:t>SE</m:t>
            </m:r>
          </m:e>
        </m:acc>
      </m:oMath>
      <w:r w:rsidRPr="000544E0">
        <w:rPr>
          <w:bCs/>
          <w:iCs/>
          <w:lang w:val="en-GB"/>
        </w:rPr>
        <w:t>(</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oMath>
      <w:r w:rsidRPr="000544E0">
        <w:rPr>
          <w:lang w:val="en-GB"/>
        </w:rPr>
        <w:t>.</w:t>
      </w:r>
    </w:p>
    <w:p w14:paraId="507A7B90" w14:textId="77777777" w:rsidR="00867D9A" w:rsidRPr="000544E0" w:rsidRDefault="00867D9A" w:rsidP="00867D9A">
      <w:pPr>
        <w:autoSpaceDE w:val="0"/>
        <w:autoSpaceDN w:val="0"/>
        <w:adjustRightInd w:val="0"/>
        <w:spacing w:before="240" w:line="360" w:lineRule="auto"/>
        <w:rPr>
          <w:bCs/>
          <w:iCs/>
          <w:lang w:val="en-GB"/>
        </w:rPr>
      </w:pPr>
      <w:r w:rsidRPr="000544E0">
        <w:rPr>
          <w:bCs/>
          <w:iCs/>
          <w:lang w:val="en-GB"/>
        </w:rPr>
        <w:t xml:space="preserve">By extension, for any true value </w:t>
      </w:r>
      <w:r w:rsidRPr="000544E0">
        <w:rPr>
          <w:bCs/>
          <w:i/>
          <w:iCs/>
          <w:lang w:val="en-GB"/>
        </w:rPr>
        <w:t>Δ</w:t>
      </w:r>
      <w:r w:rsidRPr="000544E0">
        <w:rPr>
          <w:bCs/>
          <w:iCs/>
          <w:lang w:val="en-GB"/>
        </w:rPr>
        <w:t xml:space="preserve"> of </w:t>
      </w:r>
      <m:oMath>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r>
              <w:rPr>
                <w:rFonts w:ascii="Cambria Math" w:hAnsi="Cambria Math"/>
                <w:lang w:val="en-GB"/>
              </w:rPr>
              <m:t>μ</m:t>
            </m:r>
          </m:e>
          <m:sub>
            <m:r>
              <w:rPr>
                <w:rFonts w:ascii="Cambria Math" w:hAnsi="Cambria Math"/>
                <w:lang w:val="en-GB"/>
              </w:rPr>
              <m:t>R</m:t>
            </m:r>
          </m:sub>
        </m:sSub>
      </m:oMath>
      <w:r w:rsidRPr="000544E0">
        <w:rPr>
          <w:bCs/>
          <w:iCs/>
          <w:lang w:val="en-GB"/>
        </w:rPr>
        <w:t>, the probability of concluding BE can be expressed as:</w:t>
      </w:r>
    </w:p>
    <w:p w14:paraId="05E3337C" w14:textId="57A1DFA7" w:rsidR="00867D9A" w:rsidRPr="007C10F3" w:rsidRDefault="00867D9A" w:rsidP="00867D9A">
      <w:pPr>
        <w:autoSpaceDE w:val="0"/>
        <w:autoSpaceDN w:val="0"/>
        <w:adjustRightInd w:val="0"/>
        <w:spacing w:before="240" w:line="360" w:lineRule="auto"/>
      </w:pPr>
      <m:oMath>
        <m:r>
          <w:rPr>
            <w:rFonts w:ascii="Cambria Math" w:hAnsi="Cambria Math"/>
            <w:lang w:val="en-GB"/>
          </w:rPr>
          <m:t>Pr(BE)=Pr</m:t>
        </m:r>
        <m:r>
          <m:rPr>
            <m:sty m:val="p"/>
          </m:rPr>
          <w:rPr>
            <w:rFonts w:ascii="Cambria Math" w:hAnsi="Cambria Math"/>
            <w:lang w:val="en-GB"/>
          </w:rPr>
          <m:t>⁡</m:t>
        </m:r>
        <m:r>
          <w:rPr>
            <w:rFonts w:ascii="Cambria Math" w:hAnsi="Cambria Math"/>
            <w:lang w:val="en-GB"/>
          </w:rPr>
          <m:t>(</m:t>
        </m:r>
        <m:d>
          <m:dPr>
            <m:begChr m:val="|"/>
            <m:endChr m:val="|"/>
            <m:ctrlPr>
              <w:rPr>
                <w:rFonts w:ascii="Cambria Math" w:hAnsi="Cambria Math"/>
                <w:bCs/>
                <w:i/>
                <w:iCs/>
                <w:lang w:val="en-GB"/>
              </w:rPr>
            </m:ctrlPr>
          </m:dPr>
          <m:e>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e>
        </m:d>
        <m:r>
          <w:rPr>
            <w:rFonts w:ascii="Cambria Math" w:hAnsi="Cambria Math"/>
            <w:lang w:val="en-GB"/>
          </w:rPr>
          <m:t>&lt;</m:t>
        </m:r>
        <m:d>
          <m:dPr>
            <m:begChr m:val=""/>
            <m:endChr m:val="|"/>
            <m:ctrlPr>
              <w:rPr>
                <w:rFonts w:ascii="Cambria Math" w:hAnsi="Cambria Math"/>
                <w:bCs/>
                <w:i/>
                <w:iCs/>
                <w:lang w:val="en-GB"/>
              </w:rPr>
            </m:ctrlPr>
          </m:dPr>
          <m:e>
            <m:r>
              <w:rPr>
                <w:rFonts w:ascii="Cambria Math" w:hAnsi="Cambria Math"/>
                <w:lang w:val="en-GB"/>
              </w:rPr>
              <m:t>k</m:t>
            </m:r>
          </m:e>
        </m:d>
        <m:sSub>
          <m:sSubPr>
            <m:ctrlPr>
              <w:rPr>
                <w:rFonts w:ascii="Cambria Math" w:hAnsi="Cambria Math"/>
                <w:bCs/>
                <w:i/>
                <w:iCs/>
                <w:sz w:val="22"/>
                <w:szCs w:val="22"/>
                <w:lang w:val="en-GB"/>
              </w:rPr>
            </m:ctrlPr>
          </m:sSubPr>
          <m:e>
            <m:r>
              <w:rPr>
                <w:rFonts w:ascii="Cambria Math" w:hAnsi="Cambria Math"/>
                <w:sz w:val="22"/>
                <w:szCs w:val="22"/>
                <w:lang w:val="en-GB"/>
              </w:rPr>
              <m:t xml:space="preserve"> μ</m:t>
            </m:r>
          </m:e>
          <m:sub>
            <m:r>
              <w:rPr>
                <w:rFonts w:ascii="Cambria Math" w:hAnsi="Cambria Math"/>
                <w:sz w:val="22"/>
                <w:szCs w:val="22"/>
                <w:lang w:val="en-GB"/>
              </w:rPr>
              <m:t>T</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μ</m:t>
            </m:r>
          </m:e>
          <m:sub>
            <m:r>
              <w:rPr>
                <w:rFonts w:ascii="Cambria Math" w:hAnsi="Cambria Math"/>
                <w:sz w:val="22"/>
                <w:szCs w:val="22"/>
                <w:lang w:val="en-GB"/>
              </w:rPr>
              <m:t>R</m:t>
            </m:r>
          </m:sub>
        </m:sSub>
        <m:r>
          <w:rPr>
            <w:rFonts w:ascii="Cambria Math" w:hAnsi="Cambria Math"/>
            <w:sz w:val="22"/>
            <w:szCs w:val="22"/>
            <w:lang w:val="el-GR"/>
          </w:rPr>
          <m:t>=Δ )</m:t>
        </m:r>
      </m:oMath>
      <w:r w:rsidRPr="000544E0">
        <w:rPr>
          <w:sz w:val="22"/>
          <w:szCs w:val="22"/>
        </w:rPr>
        <w:t xml:space="preserve">, </w:t>
      </w:r>
      <w:r w:rsidR="00694403" w:rsidRPr="007C10F3">
        <w:t>which can be expressed as</w:t>
      </w:r>
    </w:p>
    <w:p w14:paraId="783ACC4C" w14:textId="780DE753" w:rsidR="00867D9A" w:rsidRPr="000544E0" w:rsidRDefault="00867D9A" w:rsidP="00867D9A">
      <w:pPr>
        <w:autoSpaceDE w:val="0"/>
        <w:autoSpaceDN w:val="0"/>
        <w:adjustRightInd w:val="0"/>
        <w:spacing w:before="240" w:line="360" w:lineRule="auto"/>
        <w:rPr>
          <w:rFonts w:eastAsiaTheme="minorEastAsia"/>
          <w:sz w:val="28"/>
          <w:lang w:val="en-GB"/>
        </w:rPr>
      </w:pPr>
      <m:oMathPara>
        <m:oMathParaPr>
          <m:jc m:val="left"/>
        </m:oMathParaPr>
        <m:oMath>
          <m:r>
            <w:rPr>
              <w:rFonts w:ascii="Cambria Math" w:hAnsi="Cambria Math"/>
              <w:lang w:val="en-GB"/>
            </w:rPr>
            <w:lastRenderedPageBreak/>
            <m:t>Pr</m:t>
          </m:r>
          <m:d>
            <m:dPr>
              <m:ctrlPr>
                <w:rPr>
                  <w:rFonts w:ascii="Cambria Math" w:hAnsi="Cambria Math"/>
                  <w:i/>
                  <w:lang w:val="en-GB"/>
                </w:rPr>
              </m:ctrlPr>
            </m:dPr>
            <m:e>
              <m:r>
                <w:rPr>
                  <w:rFonts w:ascii="Cambria Math" w:hAnsi="Cambria Math"/>
                  <w:lang w:val="en-GB"/>
                </w:rPr>
                <m:t>BE</m:t>
              </m:r>
            </m:e>
          </m:d>
          <m:r>
            <w:rPr>
              <w:rFonts w:ascii="Cambria Math" w:hAnsi="Cambria Math"/>
              <w:lang w:val="en-GB"/>
            </w:rPr>
            <m:t>=Pr</m:t>
          </m:r>
          <m:d>
            <m:dPr>
              <m:ctrlPr>
                <w:rPr>
                  <w:rFonts w:ascii="Cambria Math" w:hAnsi="Cambria Math"/>
                  <w:bCs/>
                  <w:i/>
                  <w:iCs/>
                  <w:lang w:val="en-GB"/>
                </w:rPr>
              </m:ctrlPr>
            </m:dPr>
            <m:e>
              <m:f>
                <m:fPr>
                  <m:ctrlPr>
                    <w:rPr>
                      <w:rFonts w:ascii="Cambria Math" w:hAnsi="Cambria Math"/>
                      <w:bCs/>
                      <w:iCs/>
                      <w:lang w:val="el-GR"/>
                    </w:rPr>
                  </m:ctrlPr>
                </m:fPr>
                <m:num>
                  <m:r>
                    <m:rPr>
                      <m:sty m:val="p"/>
                    </m:rPr>
                    <w:rPr>
                      <w:rFonts w:ascii="Cambria Math" w:hAnsi="Cambria Math"/>
                      <w:lang w:val="el-GR"/>
                    </w:rPr>
                    <m:t>-</m:t>
                  </m:r>
                  <m:r>
                    <w:rPr>
                      <w:rFonts w:ascii="Cambria Math" w:hAnsi="Cambria Math"/>
                      <w:lang w:val="el-GR"/>
                    </w:rPr>
                    <m:t>k</m:t>
                  </m:r>
                  <m:r>
                    <w:rPr>
                      <w:rFonts w:ascii="Cambria Math" w:hAnsi="Cambria Math"/>
                      <w:lang w:val="en-GB"/>
                    </w:rPr>
                    <m:t>-Δ</m:t>
                  </m:r>
                  <m:r>
                    <w:rPr>
                      <w:rFonts w:ascii="Cambria Math" w:hAnsi="Cambria Math"/>
                      <w:lang w:val="el-GR"/>
                    </w:rPr>
                    <m:t xml:space="preserve"> </m:t>
                  </m:r>
                </m:num>
                <m:den>
                  <m:acc>
                    <m:accPr>
                      <m:chr m:val="̆"/>
                      <m:ctrlPr>
                        <w:rPr>
                          <w:rFonts w:ascii="Cambria Math" w:hAnsi="Cambria Math"/>
                          <w:i/>
                          <w:lang w:val="el-GR"/>
                        </w:rPr>
                      </m:ctrlPr>
                    </m:accPr>
                    <m:e>
                      <m:r>
                        <w:rPr>
                          <w:rFonts w:ascii="Cambria Math" w:hAnsi="Cambria Math"/>
                          <w:lang w:val="el-GR"/>
                        </w:rPr>
                        <m:t>SE</m:t>
                      </m:r>
                    </m:e>
                  </m:acc>
                  <m:r>
                    <m:rPr>
                      <m:sty m:val="p"/>
                    </m:rP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den>
              </m:f>
              <m:r>
                <w:rPr>
                  <w:rFonts w:ascii="Cambria Math" w:hAnsi="Cambria Math"/>
                  <w:lang w:val="en-GB"/>
                </w:rPr>
                <m:t>&lt;</m:t>
              </m:r>
              <m:sSub>
                <m:sSubPr>
                  <m:ctrlPr>
                    <w:rPr>
                      <w:rFonts w:ascii="Cambria Math" w:eastAsiaTheme="minorEastAsia" w:hAnsi="Cambria Math"/>
                      <w:i/>
                    </w:rPr>
                  </m:ctrlPr>
                </m:sSubPr>
                <m:e>
                  <m:r>
                    <w:rPr>
                      <w:rFonts w:ascii="Cambria Math" w:eastAsiaTheme="minorEastAsia" w:hAnsi="Cambria Math"/>
                    </w:rPr>
                    <m:t>T</m:t>
                  </m:r>
                </m:e>
                <m:sub>
                  <m:acc>
                    <m:accPr>
                      <m:chr m:val="̃"/>
                      <m:ctrlPr>
                        <w:rPr>
                          <w:rFonts w:ascii="Cambria Math" w:eastAsiaTheme="minorEastAsia" w:hAnsi="Cambria Math"/>
                          <w:i/>
                        </w:rPr>
                      </m:ctrlPr>
                    </m:accPr>
                    <m:e>
                      <m:r>
                        <w:rPr>
                          <w:rFonts w:ascii="Cambria Math" w:eastAsiaTheme="minorEastAsia" w:hAnsi="Cambria Math"/>
                        </w:rPr>
                        <m:t>df</m:t>
                      </m:r>
                    </m:e>
                  </m:acc>
                </m:sub>
              </m:sSub>
              <m:r>
                <w:rPr>
                  <w:rFonts w:ascii="Cambria Math" w:hAnsi="Cambria Math"/>
                  <w:lang w:val="en-GB"/>
                </w:rPr>
                <m:t>&lt;</m:t>
              </m:r>
              <m:f>
                <m:fPr>
                  <m:ctrlPr>
                    <w:rPr>
                      <w:rFonts w:ascii="Cambria Math" w:hAnsi="Cambria Math"/>
                      <w:bCs/>
                      <w:iCs/>
                      <w:lang w:val="el-GR"/>
                    </w:rPr>
                  </m:ctrlPr>
                </m:fPr>
                <m:num>
                  <m:r>
                    <w:rPr>
                      <w:rFonts w:ascii="Cambria Math" w:hAnsi="Cambria Math"/>
                      <w:lang w:val="el-GR"/>
                    </w:rPr>
                    <m:t>k</m:t>
                  </m:r>
                  <m:r>
                    <w:rPr>
                      <w:rFonts w:ascii="Cambria Math" w:hAnsi="Cambria Math"/>
                      <w:lang w:val="en-GB"/>
                    </w:rPr>
                    <m:t>-</m:t>
                  </m:r>
                  <m:r>
                    <w:rPr>
                      <w:rFonts w:ascii="Cambria Math" w:hAnsi="Cambria Math"/>
                      <w:lang w:val="el-GR"/>
                    </w:rPr>
                    <m:t xml:space="preserve">Δ </m:t>
                  </m:r>
                </m:num>
                <m:den>
                  <m:acc>
                    <m:accPr>
                      <m:chr m:val="̆"/>
                      <m:ctrlPr>
                        <w:rPr>
                          <w:rFonts w:ascii="Cambria Math" w:hAnsi="Cambria Math"/>
                          <w:i/>
                          <w:lang w:val="el-GR"/>
                        </w:rPr>
                      </m:ctrlPr>
                    </m:accPr>
                    <m:e>
                      <m:r>
                        <w:rPr>
                          <w:rFonts w:ascii="Cambria Math" w:hAnsi="Cambria Math"/>
                          <w:lang w:val="el-GR"/>
                        </w:rPr>
                        <m:t>SE</m:t>
                      </m:r>
                    </m:e>
                  </m:acc>
                  <m:r>
                    <m:rPr>
                      <m:sty m:val="p"/>
                    </m:rP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r>
                    <w:rPr>
                      <w:rFonts w:ascii="Cambria Math" w:hAnsi="Cambria Math"/>
                      <w:lang w:val="en-GB"/>
                    </w:rPr>
                    <m:t>)</m:t>
                  </m:r>
                </m:den>
              </m:f>
            </m:e>
          </m:d>
          <m:r>
            <w:rPr>
              <w:rFonts w:ascii="Cambria Math" w:eastAsiaTheme="minorEastAsia" w:hAnsi="Cambria Math"/>
              <w:lang w:val="en-GB"/>
            </w:rPr>
            <m:t xml:space="preserve">         </m:t>
          </m:r>
        </m:oMath>
      </m:oMathPara>
    </w:p>
    <w:p w14:paraId="258B7C28" w14:textId="77777777" w:rsidR="006C1270" w:rsidRDefault="00867D9A" w:rsidP="00404B23">
      <w:pPr>
        <w:autoSpaceDE w:val="0"/>
        <w:autoSpaceDN w:val="0"/>
        <w:adjustRightInd w:val="0"/>
        <w:spacing w:before="240" w:line="360" w:lineRule="auto"/>
      </w:pPr>
      <w:r w:rsidRPr="000544E0">
        <w:rPr>
          <w:bCs/>
          <w:iCs/>
          <w:lang w:val="en-GB"/>
        </w:rPr>
        <w:t xml:space="preserve">where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df</m:t>
            </m:r>
          </m:sub>
        </m:sSub>
      </m:oMath>
      <w:r w:rsidRPr="000544E0">
        <w:rPr>
          <w:rFonts w:eastAsiaTheme="minorEastAsia"/>
        </w:rPr>
        <w:t xml:space="preserve"> is the centralized</w:t>
      </w:r>
      <w:r w:rsidR="00694403">
        <w:rPr>
          <w:rFonts w:eastAsiaTheme="minorEastAsia"/>
        </w:rPr>
        <w:t xml:space="preserve"> Student’s</w:t>
      </w:r>
      <w:r w:rsidRPr="000544E0">
        <w:rPr>
          <w:rFonts w:eastAsiaTheme="minorEastAsia"/>
        </w:rPr>
        <w:t xml:space="preserve"> </w:t>
      </w:r>
      <w:r w:rsidRPr="000544E0">
        <w:rPr>
          <w:rFonts w:eastAsiaTheme="minorEastAsia"/>
          <w:i/>
        </w:rPr>
        <w:t>t</w:t>
      </w:r>
      <w:r w:rsidRPr="000544E0">
        <w:rPr>
          <w:rFonts w:eastAsiaTheme="minorEastAsia"/>
        </w:rPr>
        <w:t>-distribution and</w:t>
      </w:r>
      <w:r w:rsidRPr="000544E0">
        <w:rPr>
          <w:bCs/>
          <w:iCs/>
          <w:lang w:val="en-GB"/>
        </w:rPr>
        <w:t xml:space="preserve"> </w:t>
      </w:r>
      <m:oMath>
        <m:acc>
          <m:accPr>
            <m:chr m:val="̆"/>
            <m:ctrlPr>
              <w:rPr>
                <w:rFonts w:ascii="Cambria Math" w:hAnsi="Cambria Math"/>
                <w:i/>
              </w:rPr>
            </m:ctrlPr>
          </m:accPr>
          <m:e>
            <m:r>
              <w:rPr>
                <w:rFonts w:ascii="Cambria Math" w:hAnsi="Cambria Math"/>
              </w:rPr>
              <m:t>SE</m:t>
            </m:r>
          </m:e>
        </m:acc>
      </m:oMath>
      <w:r w:rsidRPr="000544E0">
        <w:t xml:space="preserve"> denotes </w:t>
      </w:r>
      <w:r w:rsidRPr="000544E0">
        <w:rPr>
          <w:bCs/>
          <w:iCs/>
          <w:lang w:val="en-GB"/>
        </w:rPr>
        <w:t xml:space="preserve">the standard deviation of the true distribution of observed treatment difference values when the observed batches are only a selection from a larger population of batches, </w:t>
      </w:r>
      <w:r w:rsidRPr="000544E0">
        <w:rPr>
          <w:bCs/>
          <w:i/>
          <w:iCs/>
          <w:lang w:val="en-GB"/>
        </w:rPr>
        <w:t>i.e.</w:t>
      </w:r>
      <w:r w:rsidRPr="000544E0">
        <w:rPr>
          <w:bCs/>
          <w:iCs/>
          <w:lang w:val="en-GB"/>
        </w:rPr>
        <w:t xml:space="preserve">, when batch is random, </w:t>
      </w:r>
      <m:oMath>
        <m:acc>
          <m:accPr>
            <m:chr m:val="̆"/>
            <m:ctrlPr>
              <w:rPr>
                <w:rFonts w:ascii="Cambria Math" w:hAnsi="Cambria Math"/>
                <w:i/>
                <w:lang w:val="el-GR"/>
              </w:rPr>
            </m:ctrlPr>
          </m:accPr>
          <m:e>
            <m:r>
              <w:rPr>
                <w:rFonts w:ascii="Cambria Math" w:hAnsi="Cambria Math"/>
                <w:lang w:val="el-GR"/>
              </w:rPr>
              <m:t>SE</m:t>
            </m:r>
          </m:e>
        </m:acc>
        <m:d>
          <m:dPr>
            <m:ctrlPr>
              <w:rPr>
                <w:rFonts w:ascii="Cambria Math" w:hAnsi="Cambria Math"/>
                <w:bCs/>
                <w:i/>
                <w:iCs/>
                <w:lang w:val="en-GB"/>
              </w:rPr>
            </m:ctrlPr>
          </m:dPr>
          <m:e>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e>
        </m:d>
        <m:r>
          <w:rPr>
            <w:rFonts w:ascii="Cambria Math" w:hAnsi="Cambria Math"/>
            <w:lang w:val="en-GB"/>
          </w:rPr>
          <m:t>=</m:t>
        </m:r>
      </m:oMath>
      <w:r w:rsidRPr="000544E0">
        <w:rPr>
          <w:bCs/>
          <w:iCs/>
          <w:lang w:val="en-GB"/>
        </w:rPr>
        <w:t xml:space="preserve"> </w:t>
      </w:r>
      <m:oMath>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iCs/>
                      </w:rPr>
                    </m:ctrlPr>
                  </m:sSubSupPr>
                  <m:e>
                    <m:r>
                      <w:rPr>
                        <w:rFonts w:ascii="Cambria Math" w:hAnsi="Cambria Math"/>
                        <w:szCs w:val="28"/>
                      </w:rPr>
                      <m:t>σ</m:t>
                    </m:r>
                  </m:e>
                  <m:sub>
                    <m:r>
                      <w:rPr>
                        <w:rFonts w:ascii="Cambria Math" w:hAnsi="Cambria Math"/>
                        <w:szCs w:val="28"/>
                      </w:rPr>
                      <m:t>e</m:t>
                    </m:r>
                  </m:sub>
                  <m:sup>
                    <m:r>
                      <w:rPr>
                        <w:rFonts w:ascii="Cambria Math" w:hAnsi="Cambria Math"/>
                        <w:szCs w:val="28"/>
                      </w:rPr>
                      <m:t>2</m:t>
                    </m:r>
                  </m:sup>
                </m:sSubSup>
              </m:num>
              <m:den>
                <m:r>
                  <w:rPr>
                    <w:rFonts w:ascii="Cambria Math" w:hAnsi="Cambria Math"/>
                    <w:szCs w:val="28"/>
                  </w:rPr>
                  <m:t>mc</m:t>
                </m:r>
              </m:den>
            </m:f>
            <m:r>
              <w:rPr>
                <w:rFonts w:ascii="Cambria Math" w:hAnsi="Cambria Math"/>
                <w:szCs w:val="28"/>
              </w:rPr>
              <m:t>+</m:t>
            </m:r>
            <m:f>
              <m:fPr>
                <m:ctrlPr>
                  <w:rPr>
                    <w:rFonts w:ascii="Cambria Math" w:hAnsi="Cambria Math"/>
                    <w:i/>
                  </w:rPr>
                </m:ctrlPr>
              </m:fPr>
              <m:num>
                <m:r>
                  <w:rPr>
                    <w:rFonts w:ascii="Cambria Math" w:hAnsi="Cambria Math"/>
                    <w:szCs w:val="28"/>
                  </w:rPr>
                  <m:t>2</m:t>
                </m:r>
                <m:sSubSup>
                  <m:sSubSupPr>
                    <m:ctrlPr>
                      <w:rPr>
                        <w:rFonts w:ascii="Cambria Math" w:hAnsi="Cambria Math"/>
                        <w:i/>
                        <w:iCs/>
                      </w:rPr>
                    </m:ctrlPr>
                  </m:sSubSupPr>
                  <m:e>
                    <m:r>
                      <w:rPr>
                        <w:rFonts w:ascii="Cambria Math" w:hAnsi="Cambria Math"/>
                        <w:szCs w:val="28"/>
                      </w:rPr>
                      <m:t>σ</m:t>
                    </m:r>
                  </m:e>
                  <m:sub>
                    <m:r>
                      <w:rPr>
                        <w:rFonts w:ascii="Cambria Math" w:hAnsi="Cambria Math"/>
                        <w:szCs w:val="28"/>
                      </w:rPr>
                      <m:t>b</m:t>
                    </m:r>
                  </m:sub>
                  <m:sup>
                    <m:r>
                      <w:rPr>
                        <w:rFonts w:ascii="Cambria Math" w:hAnsi="Cambria Math"/>
                        <w:szCs w:val="28"/>
                      </w:rPr>
                      <m:t>2</m:t>
                    </m:r>
                  </m:sup>
                </m:sSubSup>
              </m:num>
              <m:den>
                <m:r>
                  <w:rPr>
                    <w:rFonts w:ascii="Cambria Math" w:hAnsi="Cambria Math"/>
                    <w:szCs w:val="28"/>
                  </w:rPr>
                  <m:t>c</m:t>
                </m:r>
              </m:den>
            </m:f>
          </m:e>
        </m:rad>
      </m:oMath>
      <w:r w:rsidRPr="000544E0">
        <w:t>.  That is, the probabi</w:t>
      </w:r>
      <w:proofErr w:type="spellStart"/>
      <w:r w:rsidRPr="000544E0">
        <w:t>lity</w:t>
      </w:r>
      <w:proofErr w:type="spellEnd"/>
      <w:r w:rsidRPr="000544E0">
        <w:t xml:space="preserve"> of concluding BE is the probability that the observed treatment difference will be not greater than ±</w:t>
      </w:r>
      <w:r w:rsidRPr="000544E0">
        <w:rPr>
          <w:i/>
        </w:rPr>
        <w:t xml:space="preserve">k </w:t>
      </w:r>
      <w:r w:rsidRPr="000544E0">
        <w:t xml:space="preserve">given the true underlying variability of the </w:t>
      </w:r>
      <m:oMath>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T</m:t>
            </m:r>
          </m:sub>
        </m:sSub>
        <m:r>
          <w:rPr>
            <w:rFonts w:ascii="Cambria Math" w:hAnsi="Cambria Math"/>
            <w:lang w:val="en-GB"/>
          </w:rPr>
          <m:t>-</m:t>
        </m:r>
        <m:sSub>
          <m:sSubPr>
            <m:ctrlPr>
              <w:rPr>
                <w:rFonts w:ascii="Cambria Math" w:hAnsi="Cambria Math"/>
                <w:bCs/>
                <w:i/>
                <w:iCs/>
                <w:lang w:val="en-GB"/>
              </w:rPr>
            </m:ctrlPr>
          </m:sSubPr>
          <m:e>
            <m:acc>
              <m:accPr>
                <m:ctrlPr>
                  <w:rPr>
                    <w:rFonts w:ascii="Cambria Math" w:hAnsi="Cambria Math"/>
                    <w:bCs/>
                    <w:i/>
                    <w:iCs/>
                    <w:lang w:val="en-GB"/>
                  </w:rPr>
                </m:ctrlPr>
              </m:accPr>
              <m:e>
                <m:r>
                  <w:rPr>
                    <w:rFonts w:ascii="Cambria Math" w:hAnsi="Cambria Math"/>
                    <w:lang w:val="en-GB"/>
                  </w:rPr>
                  <m:t>μ</m:t>
                </m:r>
              </m:e>
            </m:acc>
          </m:e>
          <m:sub>
            <m:r>
              <w:rPr>
                <w:rFonts w:ascii="Cambria Math" w:hAnsi="Cambria Math"/>
                <w:lang w:val="en-GB"/>
              </w:rPr>
              <m:t>R</m:t>
            </m:r>
          </m:sub>
        </m:sSub>
      </m:oMath>
      <w:r w:rsidRPr="000544E0">
        <w:rPr>
          <w:bCs/>
          <w:iCs/>
          <w:lang w:val="en-GB"/>
        </w:rPr>
        <w:t xml:space="preserve"> </w:t>
      </w:r>
      <w:r w:rsidRPr="000544E0">
        <w:t xml:space="preserve">sampling distribution. </w:t>
      </w:r>
    </w:p>
    <w:sectPr w:rsidR="006C1270" w:rsidSect="00E27934">
      <w:headerReference w:type="even" r:id="rId12"/>
      <w:headerReference w:type="default" r:id="rId13"/>
      <w:footerReference w:type="even" r:id="rId14"/>
      <w:footerReference w:type="default" r:id="rId15"/>
      <w:headerReference w:type="first" r:id="rId16"/>
      <w:footerReference w:type="first" r:id="rId17"/>
      <w:pgSz w:w="12240" w:h="15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FFF18" w14:textId="77777777" w:rsidR="00114CBD" w:rsidRDefault="00114CBD" w:rsidP="00527F8D">
      <w:r>
        <w:separator/>
      </w:r>
    </w:p>
  </w:endnote>
  <w:endnote w:type="continuationSeparator" w:id="0">
    <w:p w14:paraId="68FFFCB1" w14:textId="77777777" w:rsidR="00114CBD" w:rsidRDefault="00114CBD" w:rsidP="00527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00"/>
    <w:family w:val="roman"/>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69C36" w14:textId="77777777" w:rsidR="00F570A1" w:rsidRDefault="00F570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271422"/>
      <w:docPartObj>
        <w:docPartGallery w:val="Page Numbers (Bottom of Page)"/>
        <w:docPartUnique/>
      </w:docPartObj>
    </w:sdtPr>
    <w:sdtEndPr/>
    <w:sdtContent>
      <w:sdt>
        <w:sdtPr>
          <w:id w:val="1848360996"/>
          <w:docPartObj>
            <w:docPartGallery w:val="Page Numbers (Top of Page)"/>
            <w:docPartUnique/>
          </w:docPartObj>
        </w:sdtPr>
        <w:sdtEndPr/>
        <w:sdtContent>
          <w:p w14:paraId="1A537D1A" w14:textId="77777777" w:rsidR="00F570A1" w:rsidRDefault="00F570A1">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31</w:t>
            </w:r>
            <w:r>
              <w:rPr>
                <w:b/>
                <w:bCs/>
              </w:rPr>
              <w:fldChar w:fldCharType="end"/>
            </w:r>
          </w:p>
        </w:sdtContent>
      </w:sdt>
    </w:sdtContent>
  </w:sdt>
  <w:p w14:paraId="0FF2FF9A" w14:textId="77777777" w:rsidR="00F570A1" w:rsidRDefault="00F570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7FBF" w14:textId="77777777" w:rsidR="00F570A1" w:rsidRDefault="00F57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B08A" w14:textId="77777777" w:rsidR="00114CBD" w:rsidRDefault="00114CBD" w:rsidP="00527F8D">
      <w:r>
        <w:separator/>
      </w:r>
    </w:p>
  </w:footnote>
  <w:footnote w:type="continuationSeparator" w:id="0">
    <w:p w14:paraId="10720505" w14:textId="77777777" w:rsidR="00114CBD" w:rsidRDefault="00114CBD" w:rsidP="00527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C9DD" w14:textId="77777777" w:rsidR="00F570A1" w:rsidRDefault="00114CBD">
    <w:pPr>
      <w:pStyle w:val="Header"/>
    </w:pPr>
    <w:r>
      <w:rPr>
        <w:noProof/>
      </w:rPr>
      <w:pict w14:anchorId="145DA1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35.35pt;height:174.1pt;rotation:315;z-index:-2516439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626F1" w14:textId="3A2EEF3E" w:rsidR="00F570A1" w:rsidRDefault="00F570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9788F" w14:textId="77777777" w:rsidR="00F570A1" w:rsidRDefault="00114CBD">
    <w:pPr>
      <w:pStyle w:val="Header"/>
    </w:pPr>
    <w:r>
      <w:rPr>
        <w:noProof/>
      </w:rPr>
      <w:pict w14:anchorId="06D8F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35.35pt;height:174.1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5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93EDC"/>
    <w:multiLevelType w:val="hybridMultilevel"/>
    <w:tmpl w:val="59B273AE"/>
    <w:lvl w:ilvl="0" w:tplc="A71C91C0">
      <w:start w:val="1"/>
      <w:numFmt w:val="bullet"/>
      <w:lvlText w:val=""/>
      <w:lvlJc w:val="left"/>
      <w:pPr>
        <w:tabs>
          <w:tab w:val="num" w:pos="68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92BFA"/>
    <w:multiLevelType w:val="hybridMultilevel"/>
    <w:tmpl w:val="19D8E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D1A75"/>
    <w:multiLevelType w:val="hybridMultilevel"/>
    <w:tmpl w:val="7B968E0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098447B9"/>
    <w:multiLevelType w:val="hybridMultilevel"/>
    <w:tmpl w:val="BBE854D0"/>
    <w:lvl w:ilvl="0" w:tplc="3A90F5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A02F1"/>
    <w:multiLevelType w:val="hybridMultilevel"/>
    <w:tmpl w:val="10A030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807078"/>
    <w:multiLevelType w:val="hybridMultilevel"/>
    <w:tmpl w:val="16D8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12A1F"/>
    <w:multiLevelType w:val="hybridMultilevel"/>
    <w:tmpl w:val="F42E5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2638C"/>
    <w:multiLevelType w:val="hybridMultilevel"/>
    <w:tmpl w:val="F59C0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664228"/>
    <w:multiLevelType w:val="hybridMultilevel"/>
    <w:tmpl w:val="8E223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C661B"/>
    <w:multiLevelType w:val="hybridMultilevel"/>
    <w:tmpl w:val="BEDCA004"/>
    <w:lvl w:ilvl="0" w:tplc="A71C91C0">
      <w:start w:val="1"/>
      <w:numFmt w:val="bullet"/>
      <w:lvlText w:val=""/>
      <w:lvlJc w:val="left"/>
      <w:pPr>
        <w:tabs>
          <w:tab w:val="num" w:pos="68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5A7525"/>
    <w:multiLevelType w:val="hybridMultilevel"/>
    <w:tmpl w:val="AAD06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61FB7"/>
    <w:multiLevelType w:val="hybridMultilevel"/>
    <w:tmpl w:val="D040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4056CA"/>
    <w:multiLevelType w:val="hybridMultilevel"/>
    <w:tmpl w:val="3D2C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8022B"/>
    <w:multiLevelType w:val="hybridMultilevel"/>
    <w:tmpl w:val="C6C0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453E1"/>
    <w:multiLevelType w:val="hybridMultilevel"/>
    <w:tmpl w:val="E6747DDE"/>
    <w:lvl w:ilvl="0" w:tplc="399C7A08">
      <w:numFmt w:val="bullet"/>
      <w:lvlText w:val=""/>
      <w:lvlJc w:val="left"/>
      <w:pPr>
        <w:ind w:left="720" w:hanging="360"/>
      </w:pPr>
      <w:rPr>
        <w:rFonts w:ascii="Symbol" w:eastAsia="Times New Roman" w:hAnsi="Symbol"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B3ED7"/>
    <w:multiLevelType w:val="hybridMultilevel"/>
    <w:tmpl w:val="080C37B8"/>
    <w:lvl w:ilvl="0" w:tplc="2C18E176">
      <w:start w:val="1"/>
      <w:numFmt w:val="decimal"/>
      <w:lvlText w:val="%1."/>
      <w:lvlJc w:val="left"/>
      <w:pPr>
        <w:ind w:left="770" w:hanging="360"/>
      </w:pPr>
    </w:lvl>
    <w:lvl w:ilvl="1" w:tplc="08090019">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7" w15:restartNumberingAfterBreak="0">
    <w:nsid w:val="7B5955CD"/>
    <w:multiLevelType w:val="multilevel"/>
    <w:tmpl w:val="D44A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C333D5"/>
    <w:multiLevelType w:val="hybridMultilevel"/>
    <w:tmpl w:val="6BB8E53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7D6E3BBF"/>
    <w:multiLevelType w:val="hybridMultilevel"/>
    <w:tmpl w:val="D41A6578"/>
    <w:lvl w:ilvl="0" w:tplc="A71C91C0">
      <w:start w:val="1"/>
      <w:numFmt w:val="bullet"/>
      <w:lvlText w:val=""/>
      <w:lvlJc w:val="left"/>
      <w:pPr>
        <w:tabs>
          <w:tab w:val="num" w:pos="32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2"/>
  </w:num>
  <w:num w:numId="3">
    <w:abstractNumId w:val="0"/>
  </w:num>
  <w:num w:numId="4">
    <w:abstractNumId w:val="11"/>
  </w:num>
  <w:num w:numId="5">
    <w:abstractNumId w:val="13"/>
  </w:num>
  <w:num w:numId="6">
    <w:abstractNumId w:val="10"/>
  </w:num>
  <w:num w:numId="7">
    <w:abstractNumId w:val="19"/>
  </w:num>
  <w:num w:numId="8">
    <w:abstractNumId w:val="15"/>
  </w:num>
  <w:num w:numId="9">
    <w:abstractNumId w:val="8"/>
  </w:num>
  <w:num w:numId="10">
    <w:abstractNumId w:val="17"/>
  </w:num>
  <w:num w:numId="11">
    <w:abstractNumId w:val="14"/>
  </w:num>
  <w:num w:numId="12">
    <w:abstractNumId w:val="6"/>
  </w:num>
  <w:num w:numId="13">
    <w:abstractNumId w:val="4"/>
  </w:num>
  <w:num w:numId="14">
    <w:abstractNumId w:val="16"/>
  </w:num>
  <w:num w:numId="15">
    <w:abstractNumId w:val="2"/>
  </w:num>
  <w:num w:numId="16">
    <w:abstractNumId w:val="3"/>
  </w:num>
  <w:num w:numId="17">
    <w:abstractNumId w:val="9"/>
  </w:num>
  <w:num w:numId="18">
    <w:abstractNumId w:val="18"/>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4"/>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E76"/>
    <w:rsid w:val="00000813"/>
    <w:rsid w:val="0000119D"/>
    <w:rsid w:val="0000139C"/>
    <w:rsid w:val="000014F6"/>
    <w:rsid w:val="00001EA2"/>
    <w:rsid w:val="000025D1"/>
    <w:rsid w:val="00002674"/>
    <w:rsid w:val="00002A4D"/>
    <w:rsid w:val="0000331F"/>
    <w:rsid w:val="00003419"/>
    <w:rsid w:val="00003BF6"/>
    <w:rsid w:val="00004055"/>
    <w:rsid w:val="00006A17"/>
    <w:rsid w:val="0000710A"/>
    <w:rsid w:val="00007D70"/>
    <w:rsid w:val="000104F6"/>
    <w:rsid w:val="0001111D"/>
    <w:rsid w:val="0001150A"/>
    <w:rsid w:val="00011A13"/>
    <w:rsid w:val="00012DE8"/>
    <w:rsid w:val="000130A9"/>
    <w:rsid w:val="000140A2"/>
    <w:rsid w:val="000143C3"/>
    <w:rsid w:val="00015B0B"/>
    <w:rsid w:val="000161A0"/>
    <w:rsid w:val="000164AC"/>
    <w:rsid w:val="00017000"/>
    <w:rsid w:val="00017065"/>
    <w:rsid w:val="000171F1"/>
    <w:rsid w:val="00017DB6"/>
    <w:rsid w:val="00020532"/>
    <w:rsid w:val="0002066B"/>
    <w:rsid w:val="00020971"/>
    <w:rsid w:val="00020E09"/>
    <w:rsid w:val="000225EE"/>
    <w:rsid w:val="000236BB"/>
    <w:rsid w:val="0002401B"/>
    <w:rsid w:val="00024583"/>
    <w:rsid w:val="0002472E"/>
    <w:rsid w:val="000249E2"/>
    <w:rsid w:val="00025EE1"/>
    <w:rsid w:val="000262D3"/>
    <w:rsid w:val="000263F6"/>
    <w:rsid w:val="00026D53"/>
    <w:rsid w:val="00027264"/>
    <w:rsid w:val="00030093"/>
    <w:rsid w:val="00030B48"/>
    <w:rsid w:val="00030E8B"/>
    <w:rsid w:val="00031B26"/>
    <w:rsid w:val="00031DC4"/>
    <w:rsid w:val="00032BF5"/>
    <w:rsid w:val="00032CD5"/>
    <w:rsid w:val="0003327C"/>
    <w:rsid w:val="00033B1C"/>
    <w:rsid w:val="00033B6E"/>
    <w:rsid w:val="000341CF"/>
    <w:rsid w:val="00035847"/>
    <w:rsid w:val="000358AB"/>
    <w:rsid w:val="0003611E"/>
    <w:rsid w:val="000366E9"/>
    <w:rsid w:val="00037010"/>
    <w:rsid w:val="00037425"/>
    <w:rsid w:val="00037559"/>
    <w:rsid w:val="0003795E"/>
    <w:rsid w:val="00037BF3"/>
    <w:rsid w:val="00040A10"/>
    <w:rsid w:val="00041C59"/>
    <w:rsid w:val="000420F0"/>
    <w:rsid w:val="00042290"/>
    <w:rsid w:val="00042436"/>
    <w:rsid w:val="0004247B"/>
    <w:rsid w:val="0004258B"/>
    <w:rsid w:val="00043915"/>
    <w:rsid w:val="000445AB"/>
    <w:rsid w:val="00044714"/>
    <w:rsid w:val="000447AE"/>
    <w:rsid w:val="00044972"/>
    <w:rsid w:val="00044974"/>
    <w:rsid w:val="00044FED"/>
    <w:rsid w:val="000450FF"/>
    <w:rsid w:val="000451C0"/>
    <w:rsid w:val="00045654"/>
    <w:rsid w:val="000457B4"/>
    <w:rsid w:val="00045A32"/>
    <w:rsid w:val="00046B76"/>
    <w:rsid w:val="00047842"/>
    <w:rsid w:val="00047D68"/>
    <w:rsid w:val="00050429"/>
    <w:rsid w:val="00050F97"/>
    <w:rsid w:val="00051720"/>
    <w:rsid w:val="000527E9"/>
    <w:rsid w:val="00052B10"/>
    <w:rsid w:val="00052E7C"/>
    <w:rsid w:val="00052FD7"/>
    <w:rsid w:val="00052FFC"/>
    <w:rsid w:val="000537D6"/>
    <w:rsid w:val="0005387E"/>
    <w:rsid w:val="00053C55"/>
    <w:rsid w:val="00054345"/>
    <w:rsid w:val="000544E0"/>
    <w:rsid w:val="0005487E"/>
    <w:rsid w:val="00054CC7"/>
    <w:rsid w:val="00054D2F"/>
    <w:rsid w:val="000550F9"/>
    <w:rsid w:val="000567CA"/>
    <w:rsid w:val="000609DE"/>
    <w:rsid w:val="00060E11"/>
    <w:rsid w:val="00062D3F"/>
    <w:rsid w:val="00062DF6"/>
    <w:rsid w:val="00063502"/>
    <w:rsid w:val="0006360E"/>
    <w:rsid w:val="0006385C"/>
    <w:rsid w:val="00063902"/>
    <w:rsid w:val="000639C3"/>
    <w:rsid w:val="00064BC3"/>
    <w:rsid w:val="00064C86"/>
    <w:rsid w:val="00064FE1"/>
    <w:rsid w:val="00065E8C"/>
    <w:rsid w:val="00065EC5"/>
    <w:rsid w:val="00065ED9"/>
    <w:rsid w:val="00066629"/>
    <w:rsid w:val="0006667C"/>
    <w:rsid w:val="000667B8"/>
    <w:rsid w:val="00067062"/>
    <w:rsid w:val="00067551"/>
    <w:rsid w:val="00070551"/>
    <w:rsid w:val="000706B1"/>
    <w:rsid w:val="000709D1"/>
    <w:rsid w:val="00070EAC"/>
    <w:rsid w:val="000713CE"/>
    <w:rsid w:val="00071440"/>
    <w:rsid w:val="000714A4"/>
    <w:rsid w:val="0007157D"/>
    <w:rsid w:val="000716C1"/>
    <w:rsid w:val="00071BB3"/>
    <w:rsid w:val="00071C0C"/>
    <w:rsid w:val="0007217D"/>
    <w:rsid w:val="0007309B"/>
    <w:rsid w:val="00073C2B"/>
    <w:rsid w:val="000745D2"/>
    <w:rsid w:val="0007510C"/>
    <w:rsid w:val="000760CC"/>
    <w:rsid w:val="00076850"/>
    <w:rsid w:val="00076FA0"/>
    <w:rsid w:val="00077322"/>
    <w:rsid w:val="00080723"/>
    <w:rsid w:val="00080DEF"/>
    <w:rsid w:val="00081109"/>
    <w:rsid w:val="00081FB0"/>
    <w:rsid w:val="00082EEA"/>
    <w:rsid w:val="0008327D"/>
    <w:rsid w:val="0008348B"/>
    <w:rsid w:val="00083698"/>
    <w:rsid w:val="00083CAA"/>
    <w:rsid w:val="000848E2"/>
    <w:rsid w:val="00084FAD"/>
    <w:rsid w:val="000850E5"/>
    <w:rsid w:val="0008620D"/>
    <w:rsid w:val="0008726D"/>
    <w:rsid w:val="00090347"/>
    <w:rsid w:val="000904A9"/>
    <w:rsid w:val="00090901"/>
    <w:rsid w:val="0009178E"/>
    <w:rsid w:val="00091AA4"/>
    <w:rsid w:val="000924EB"/>
    <w:rsid w:val="00092AA4"/>
    <w:rsid w:val="00092C3A"/>
    <w:rsid w:val="0009318F"/>
    <w:rsid w:val="00093EBE"/>
    <w:rsid w:val="0009431F"/>
    <w:rsid w:val="00094A24"/>
    <w:rsid w:val="00094CA4"/>
    <w:rsid w:val="000959C5"/>
    <w:rsid w:val="00095DCE"/>
    <w:rsid w:val="00096013"/>
    <w:rsid w:val="000963A6"/>
    <w:rsid w:val="00096784"/>
    <w:rsid w:val="00097880"/>
    <w:rsid w:val="00097AD1"/>
    <w:rsid w:val="000A0448"/>
    <w:rsid w:val="000A1018"/>
    <w:rsid w:val="000A1A06"/>
    <w:rsid w:val="000A1CFA"/>
    <w:rsid w:val="000A1DA5"/>
    <w:rsid w:val="000A1E59"/>
    <w:rsid w:val="000A28AD"/>
    <w:rsid w:val="000A2A8D"/>
    <w:rsid w:val="000A2CE4"/>
    <w:rsid w:val="000A2DC4"/>
    <w:rsid w:val="000A2FAA"/>
    <w:rsid w:val="000A36CF"/>
    <w:rsid w:val="000A40DF"/>
    <w:rsid w:val="000A4291"/>
    <w:rsid w:val="000A496B"/>
    <w:rsid w:val="000A4DF0"/>
    <w:rsid w:val="000A5E85"/>
    <w:rsid w:val="000A6475"/>
    <w:rsid w:val="000A64AE"/>
    <w:rsid w:val="000A6728"/>
    <w:rsid w:val="000A6C59"/>
    <w:rsid w:val="000A7492"/>
    <w:rsid w:val="000A7FB3"/>
    <w:rsid w:val="000B06B5"/>
    <w:rsid w:val="000B0A9C"/>
    <w:rsid w:val="000B1672"/>
    <w:rsid w:val="000B391E"/>
    <w:rsid w:val="000B5454"/>
    <w:rsid w:val="000B6453"/>
    <w:rsid w:val="000B6AE3"/>
    <w:rsid w:val="000B7920"/>
    <w:rsid w:val="000C18DF"/>
    <w:rsid w:val="000C19A1"/>
    <w:rsid w:val="000C1E87"/>
    <w:rsid w:val="000C24E1"/>
    <w:rsid w:val="000C25DC"/>
    <w:rsid w:val="000C2CFF"/>
    <w:rsid w:val="000C37E4"/>
    <w:rsid w:val="000C3F35"/>
    <w:rsid w:val="000C42E4"/>
    <w:rsid w:val="000C4B87"/>
    <w:rsid w:val="000C4E99"/>
    <w:rsid w:val="000C4F40"/>
    <w:rsid w:val="000C724C"/>
    <w:rsid w:val="000C7434"/>
    <w:rsid w:val="000D0B37"/>
    <w:rsid w:val="000D0FDE"/>
    <w:rsid w:val="000D20A7"/>
    <w:rsid w:val="000D2680"/>
    <w:rsid w:val="000D2806"/>
    <w:rsid w:val="000D28FE"/>
    <w:rsid w:val="000D2FCF"/>
    <w:rsid w:val="000D32AF"/>
    <w:rsid w:val="000D4588"/>
    <w:rsid w:val="000D4638"/>
    <w:rsid w:val="000D55BC"/>
    <w:rsid w:val="000D5ED6"/>
    <w:rsid w:val="000D641A"/>
    <w:rsid w:val="000D6FB5"/>
    <w:rsid w:val="000D7D78"/>
    <w:rsid w:val="000E0D78"/>
    <w:rsid w:val="000E2066"/>
    <w:rsid w:val="000E20D0"/>
    <w:rsid w:val="000E2378"/>
    <w:rsid w:val="000E2E18"/>
    <w:rsid w:val="000E3AC6"/>
    <w:rsid w:val="000E3BFC"/>
    <w:rsid w:val="000E402B"/>
    <w:rsid w:val="000E4996"/>
    <w:rsid w:val="000E4B0A"/>
    <w:rsid w:val="000E4D36"/>
    <w:rsid w:val="000E6792"/>
    <w:rsid w:val="000E6CD7"/>
    <w:rsid w:val="000E7029"/>
    <w:rsid w:val="000E7459"/>
    <w:rsid w:val="000E799C"/>
    <w:rsid w:val="000E7A17"/>
    <w:rsid w:val="000E7F52"/>
    <w:rsid w:val="000F02A2"/>
    <w:rsid w:val="000F0B2D"/>
    <w:rsid w:val="000F10EA"/>
    <w:rsid w:val="000F1874"/>
    <w:rsid w:val="000F28B5"/>
    <w:rsid w:val="000F2E3C"/>
    <w:rsid w:val="000F2E95"/>
    <w:rsid w:val="000F32F5"/>
    <w:rsid w:val="000F3C1C"/>
    <w:rsid w:val="000F3D98"/>
    <w:rsid w:val="000F4BDA"/>
    <w:rsid w:val="000F5F16"/>
    <w:rsid w:val="000F6517"/>
    <w:rsid w:val="000F722C"/>
    <w:rsid w:val="001013CF"/>
    <w:rsid w:val="00102398"/>
    <w:rsid w:val="001025EB"/>
    <w:rsid w:val="00103BD7"/>
    <w:rsid w:val="00104469"/>
    <w:rsid w:val="001044A9"/>
    <w:rsid w:val="00104517"/>
    <w:rsid w:val="00105621"/>
    <w:rsid w:val="0010579E"/>
    <w:rsid w:val="00105EF8"/>
    <w:rsid w:val="001062F7"/>
    <w:rsid w:val="00107900"/>
    <w:rsid w:val="00107E84"/>
    <w:rsid w:val="00110131"/>
    <w:rsid w:val="00110268"/>
    <w:rsid w:val="00110344"/>
    <w:rsid w:val="00110709"/>
    <w:rsid w:val="001107A6"/>
    <w:rsid w:val="001113A1"/>
    <w:rsid w:val="0011169F"/>
    <w:rsid w:val="00111D9B"/>
    <w:rsid w:val="00112FFC"/>
    <w:rsid w:val="00113896"/>
    <w:rsid w:val="00113E47"/>
    <w:rsid w:val="00113EBE"/>
    <w:rsid w:val="0011425D"/>
    <w:rsid w:val="001148F6"/>
    <w:rsid w:val="00114CBD"/>
    <w:rsid w:val="001155D7"/>
    <w:rsid w:val="00115632"/>
    <w:rsid w:val="0011572E"/>
    <w:rsid w:val="00115758"/>
    <w:rsid w:val="00115B34"/>
    <w:rsid w:val="001166E8"/>
    <w:rsid w:val="001172A3"/>
    <w:rsid w:val="0011763D"/>
    <w:rsid w:val="00117FC8"/>
    <w:rsid w:val="00121365"/>
    <w:rsid w:val="00121690"/>
    <w:rsid w:val="001219C9"/>
    <w:rsid w:val="00121B6A"/>
    <w:rsid w:val="00123066"/>
    <w:rsid w:val="00124FA6"/>
    <w:rsid w:val="00125609"/>
    <w:rsid w:val="00125AFE"/>
    <w:rsid w:val="001279CC"/>
    <w:rsid w:val="00127B9C"/>
    <w:rsid w:val="00130028"/>
    <w:rsid w:val="00130624"/>
    <w:rsid w:val="0013072D"/>
    <w:rsid w:val="00130C86"/>
    <w:rsid w:val="00130CDA"/>
    <w:rsid w:val="001322EC"/>
    <w:rsid w:val="00132302"/>
    <w:rsid w:val="0013384A"/>
    <w:rsid w:val="00133FF0"/>
    <w:rsid w:val="001360EB"/>
    <w:rsid w:val="00136BB0"/>
    <w:rsid w:val="00137756"/>
    <w:rsid w:val="001403C1"/>
    <w:rsid w:val="00141021"/>
    <w:rsid w:val="0014116E"/>
    <w:rsid w:val="00141F29"/>
    <w:rsid w:val="001425AD"/>
    <w:rsid w:val="00142643"/>
    <w:rsid w:val="00142D32"/>
    <w:rsid w:val="00142E37"/>
    <w:rsid w:val="001436DA"/>
    <w:rsid w:val="001446B0"/>
    <w:rsid w:val="00144834"/>
    <w:rsid w:val="0014494F"/>
    <w:rsid w:val="00144B0D"/>
    <w:rsid w:val="00145859"/>
    <w:rsid w:val="00145A20"/>
    <w:rsid w:val="00145CEB"/>
    <w:rsid w:val="001462D2"/>
    <w:rsid w:val="001479FF"/>
    <w:rsid w:val="00147D4A"/>
    <w:rsid w:val="0015015C"/>
    <w:rsid w:val="001507FC"/>
    <w:rsid w:val="00151070"/>
    <w:rsid w:val="001515D6"/>
    <w:rsid w:val="001527E3"/>
    <w:rsid w:val="00152F88"/>
    <w:rsid w:val="00152FA4"/>
    <w:rsid w:val="001530D0"/>
    <w:rsid w:val="00153752"/>
    <w:rsid w:val="001543DC"/>
    <w:rsid w:val="00154897"/>
    <w:rsid w:val="00154C39"/>
    <w:rsid w:val="00155C7A"/>
    <w:rsid w:val="00155D9E"/>
    <w:rsid w:val="00156C4A"/>
    <w:rsid w:val="00157616"/>
    <w:rsid w:val="00157A8B"/>
    <w:rsid w:val="00157C54"/>
    <w:rsid w:val="001623AF"/>
    <w:rsid w:val="00162711"/>
    <w:rsid w:val="00162F16"/>
    <w:rsid w:val="0016315D"/>
    <w:rsid w:val="00163346"/>
    <w:rsid w:val="001645D8"/>
    <w:rsid w:val="00164C37"/>
    <w:rsid w:val="00167424"/>
    <w:rsid w:val="00170065"/>
    <w:rsid w:val="00170542"/>
    <w:rsid w:val="00170C4B"/>
    <w:rsid w:val="00170F1F"/>
    <w:rsid w:val="001711F8"/>
    <w:rsid w:val="001718C6"/>
    <w:rsid w:val="0017215D"/>
    <w:rsid w:val="001730C2"/>
    <w:rsid w:val="00173A83"/>
    <w:rsid w:val="00173E25"/>
    <w:rsid w:val="00173E60"/>
    <w:rsid w:val="0017454D"/>
    <w:rsid w:val="00174E93"/>
    <w:rsid w:val="00174EC1"/>
    <w:rsid w:val="001755FA"/>
    <w:rsid w:val="00175930"/>
    <w:rsid w:val="00175BF3"/>
    <w:rsid w:val="0017640B"/>
    <w:rsid w:val="00176E81"/>
    <w:rsid w:val="001775C9"/>
    <w:rsid w:val="0018090C"/>
    <w:rsid w:val="00180BF3"/>
    <w:rsid w:val="00181785"/>
    <w:rsid w:val="00182175"/>
    <w:rsid w:val="00182D72"/>
    <w:rsid w:val="00182FBF"/>
    <w:rsid w:val="0018348F"/>
    <w:rsid w:val="00183766"/>
    <w:rsid w:val="0018394D"/>
    <w:rsid w:val="00183A99"/>
    <w:rsid w:val="00183D9E"/>
    <w:rsid w:val="00184FA9"/>
    <w:rsid w:val="0018561A"/>
    <w:rsid w:val="00185895"/>
    <w:rsid w:val="0018641B"/>
    <w:rsid w:val="00186441"/>
    <w:rsid w:val="001866E3"/>
    <w:rsid w:val="00186970"/>
    <w:rsid w:val="00186D60"/>
    <w:rsid w:val="00191286"/>
    <w:rsid w:val="00191288"/>
    <w:rsid w:val="0019133E"/>
    <w:rsid w:val="001919F2"/>
    <w:rsid w:val="00191A96"/>
    <w:rsid w:val="00191D79"/>
    <w:rsid w:val="00192AA7"/>
    <w:rsid w:val="00193A1B"/>
    <w:rsid w:val="00194022"/>
    <w:rsid w:val="001942EC"/>
    <w:rsid w:val="001945ED"/>
    <w:rsid w:val="00194958"/>
    <w:rsid w:val="00196341"/>
    <w:rsid w:val="00196362"/>
    <w:rsid w:val="0019714C"/>
    <w:rsid w:val="001A06FE"/>
    <w:rsid w:val="001A09F0"/>
    <w:rsid w:val="001A0CC4"/>
    <w:rsid w:val="001A0CDE"/>
    <w:rsid w:val="001A0F9E"/>
    <w:rsid w:val="001A11E3"/>
    <w:rsid w:val="001A13DB"/>
    <w:rsid w:val="001A1688"/>
    <w:rsid w:val="001A2406"/>
    <w:rsid w:val="001A25F3"/>
    <w:rsid w:val="001A2A58"/>
    <w:rsid w:val="001A305A"/>
    <w:rsid w:val="001A34B3"/>
    <w:rsid w:val="001A3AA6"/>
    <w:rsid w:val="001A3C3F"/>
    <w:rsid w:val="001A41A2"/>
    <w:rsid w:val="001A4329"/>
    <w:rsid w:val="001A4526"/>
    <w:rsid w:val="001A46F3"/>
    <w:rsid w:val="001A5200"/>
    <w:rsid w:val="001A6DC7"/>
    <w:rsid w:val="001A6DD2"/>
    <w:rsid w:val="001A7343"/>
    <w:rsid w:val="001A76D3"/>
    <w:rsid w:val="001A7973"/>
    <w:rsid w:val="001A7E6A"/>
    <w:rsid w:val="001B03D6"/>
    <w:rsid w:val="001B051D"/>
    <w:rsid w:val="001B06C4"/>
    <w:rsid w:val="001B1361"/>
    <w:rsid w:val="001B141E"/>
    <w:rsid w:val="001B16FF"/>
    <w:rsid w:val="001B25CC"/>
    <w:rsid w:val="001B2F44"/>
    <w:rsid w:val="001B30DB"/>
    <w:rsid w:val="001B32AB"/>
    <w:rsid w:val="001B4CE5"/>
    <w:rsid w:val="001B5D89"/>
    <w:rsid w:val="001B6136"/>
    <w:rsid w:val="001B62D5"/>
    <w:rsid w:val="001B67E2"/>
    <w:rsid w:val="001C0260"/>
    <w:rsid w:val="001C0DDF"/>
    <w:rsid w:val="001C1A20"/>
    <w:rsid w:val="001C207A"/>
    <w:rsid w:val="001C235D"/>
    <w:rsid w:val="001C2E75"/>
    <w:rsid w:val="001C2E98"/>
    <w:rsid w:val="001C5618"/>
    <w:rsid w:val="001C607E"/>
    <w:rsid w:val="001C62F6"/>
    <w:rsid w:val="001C69F9"/>
    <w:rsid w:val="001C6DC6"/>
    <w:rsid w:val="001C71D6"/>
    <w:rsid w:val="001C7324"/>
    <w:rsid w:val="001C79E1"/>
    <w:rsid w:val="001C7CD7"/>
    <w:rsid w:val="001D00DE"/>
    <w:rsid w:val="001D0432"/>
    <w:rsid w:val="001D06A7"/>
    <w:rsid w:val="001D1E4C"/>
    <w:rsid w:val="001D30D0"/>
    <w:rsid w:val="001D31F6"/>
    <w:rsid w:val="001D356D"/>
    <w:rsid w:val="001D3B44"/>
    <w:rsid w:val="001D3BD5"/>
    <w:rsid w:val="001D4603"/>
    <w:rsid w:val="001D4624"/>
    <w:rsid w:val="001D46AA"/>
    <w:rsid w:val="001D68CA"/>
    <w:rsid w:val="001D6B48"/>
    <w:rsid w:val="001D6DA0"/>
    <w:rsid w:val="001E06DF"/>
    <w:rsid w:val="001E07DC"/>
    <w:rsid w:val="001E0EA2"/>
    <w:rsid w:val="001E14BA"/>
    <w:rsid w:val="001E15B3"/>
    <w:rsid w:val="001E1A6F"/>
    <w:rsid w:val="001E204C"/>
    <w:rsid w:val="001E221F"/>
    <w:rsid w:val="001E3CDE"/>
    <w:rsid w:val="001E3EC0"/>
    <w:rsid w:val="001E3F30"/>
    <w:rsid w:val="001E3FA7"/>
    <w:rsid w:val="001E49CD"/>
    <w:rsid w:val="001E4FA8"/>
    <w:rsid w:val="001E5588"/>
    <w:rsid w:val="001E574A"/>
    <w:rsid w:val="001E660F"/>
    <w:rsid w:val="001E677A"/>
    <w:rsid w:val="001E6823"/>
    <w:rsid w:val="001E730C"/>
    <w:rsid w:val="001E7363"/>
    <w:rsid w:val="001E7DDE"/>
    <w:rsid w:val="001F03D4"/>
    <w:rsid w:val="001F0AE7"/>
    <w:rsid w:val="001F0C3F"/>
    <w:rsid w:val="001F101B"/>
    <w:rsid w:val="001F139B"/>
    <w:rsid w:val="001F1633"/>
    <w:rsid w:val="001F1E2F"/>
    <w:rsid w:val="001F2014"/>
    <w:rsid w:val="001F2BE6"/>
    <w:rsid w:val="001F2DAA"/>
    <w:rsid w:val="001F310E"/>
    <w:rsid w:val="001F3C9B"/>
    <w:rsid w:val="001F412D"/>
    <w:rsid w:val="001F4F46"/>
    <w:rsid w:val="001F51A2"/>
    <w:rsid w:val="001F64A4"/>
    <w:rsid w:val="001F653F"/>
    <w:rsid w:val="001F718C"/>
    <w:rsid w:val="001F7417"/>
    <w:rsid w:val="001F749B"/>
    <w:rsid w:val="00200891"/>
    <w:rsid w:val="002013EF"/>
    <w:rsid w:val="002017AB"/>
    <w:rsid w:val="00201A19"/>
    <w:rsid w:val="002021C7"/>
    <w:rsid w:val="00202858"/>
    <w:rsid w:val="00202D8B"/>
    <w:rsid w:val="0020346A"/>
    <w:rsid w:val="002037C0"/>
    <w:rsid w:val="00204E9F"/>
    <w:rsid w:val="0020593D"/>
    <w:rsid w:val="002062D5"/>
    <w:rsid w:val="00207E83"/>
    <w:rsid w:val="0021059E"/>
    <w:rsid w:val="0021121B"/>
    <w:rsid w:val="0021126B"/>
    <w:rsid w:val="00212140"/>
    <w:rsid w:val="00212B49"/>
    <w:rsid w:val="00212C87"/>
    <w:rsid w:val="00212CDA"/>
    <w:rsid w:val="00212F69"/>
    <w:rsid w:val="002146BC"/>
    <w:rsid w:val="0021473F"/>
    <w:rsid w:val="0021496A"/>
    <w:rsid w:val="00215246"/>
    <w:rsid w:val="002168A9"/>
    <w:rsid w:val="002170D2"/>
    <w:rsid w:val="00217273"/>
    <w:rsid w:val="002175A9"/>
    <w:rsid w:val="002175F9"/>
    <w:rsid w:val="00217733"/>
    <w:rsid w:val="00217E05"/>
    <w:rsid w:val="0022137F"/>
    <w:rsid w:val="00221FEF"/>
    <w:rsid w:val="002221EF"/>
    <w:rsid w:val="00222521"/>
    <w:rsid w:val="00222BD2"/>
    <w:rsid w:val="00223547"/>
    <w:rsid w:val="00223700"/>
    <w:rsid w:val="00224254"/>
    <w:rsid w:val="00224FA1"/>
    <w:rsid w:val="00225037"/>
    <w:rsid w:val="00225238"/>
    <w:rsid w:val="002255B4"/>
    <w:rsid w:val="00225A49"/>
    <w:rsid w:val="00226B95"/>
    <w:rsid w:val="00226D6D"/>
    <w:rsid w:val="00227CAE"/>
    <w:rsid w:val="00227E5D"/>
    <w:rsid w:val="00230039"/>
    <w:rsid w:val="0023122C"/>
    <w:rsid w:val="00231B66"/>
    <w:rsid w:val="00232C04"/>
    <w:rsid w:val="002334B1"/>
    <w:rsid w:val="0023417E"/>
    <w:rsid w:val="0023442A"/>
    <w:rsid w:val="00234CE1"/>
    <w:rsid w:val="00234E2C"/>
    <w:rsid w:val="0023546B"/>
    <w:rsid w:val="00235650"/>
    <w:rsid w:val="00235FCA"/>
    <w:rsid w:val="00236F58"/>
    <w:rsid w:val="00237754"/>
    <w:rsid w:val="00237EF0"/>
    <w:rsid w:val="00240E81"/>
    <w:rsid w:val="0024147F"/>
    <w:rsid w:val="00241DA7"/>
    <w:rsid w:val="002420DE"/>
    <w:rsid w:val="0024278E"/>
    <w:rsid w:val="00242F3B"/>
    <w:rsid w:val="002438B1"/>
    <w:rsid w:val="00244D99"/>
    <w:rsid w:val="00245147"/>
    <w:rsid w:val="00245A10"/>
    <w:rsid w:val="00245D5A"/>
    <w:rsid w:val="002461E5"/>
    <w:rsid w:val="00250D5F"/>
    <w:rsid w:val="00251C8D"/>
    <w:rsid w:val="00252F02"/>
    <w:rsid w:val="002533EF"/>
    <w:rsid w:val="00253671"/>
    <w:rsid w:val="00253A77"/>
    <w:rsid w:val="002540F9"/>
    <w:rsid w:val="002544B6"/>
    <w:rsid w:val="00254C18"/>
    <w:rsid w:val="00254EEC"/>
    <w:rsid w:val="002555B6"/>
    <w:rsid w:val="00255E36"/>
    <w:rsid w:val="00256241"/>
    <w:rsid w:val="002563C5"/>
    <w:rsid w:val="00257B06"/>
    <w:rsid w:val="00260203"/>
    <w:rsid w:val="00260748"/>
    <w:rsid w:val="0026099A"/>
    <w:rsid w:val="00261285"/>
    <w:rsid w:val="002616B8"/>
    <w:rsid w:val="0026273C"/>
    <w:rsid w:val="002639F5"/>
    <w:rsid w:val="00263F3E"/>
    <w:rsid w:val="002643C3"/>
    <w:rsid w:val="00265104"/>
    <w:rsid w:val="00265AA2"/>
    <w:rsid w:val="00266A32"/>
    <w:rsid w:val="00266F90"/>
    <w:rsid w:val="00267200"/>
    <w:rsid w:val="00267A38"/>
    <w:rsid w:val="002705B9"/>
    <w:rsid w:val="00270C96"/>
    <w:rsid w:val="00270F6D"/>
    <w:rsid w:val="00272211"/>
    <w:rsid w:val="00272392"/>
    <w:rsid w:val="002724BA"/>
    <w:rsid w:val="00272759"/>
    <w:rsid w:val="00273371"/>
    <w:rsid w:val="002734C7"/>
    <w:rsid w:val="00273507"/>
    <w:rsid w:val="00273519"/>
    <w:rsid w:val="00274438"/>
    <w:rsid w:val="002752E1"/>
    <w:rsid w:val="002754BD"/>
    <w:rsid w:val="00275E51"/>
    <w:rsid w:val="0027630E"/>
    <w:rsid w:val="0027634F"/>
    <w:rsid w:val="00276495"/>
    <w:rsid w:val="00276A6B"/>
    <w:rsid w:val="00276A79"/>
    <w:rsid w:val="00276DD5"/>
    <w:rsid w:val="002771D3"/>
    <w:rsid w:val="00277951"/>
    <w:rsid w:val="002810A6"/>
    <w:rsid w:val="002813C8"/>
    <w:rsid w:val="00281733"/>
    <w:rsid w:val="002817B1"/>
    <w:rsid w:val="00281D4A"/>
    <w:rsid w:val="00282290"/>
    <w:rsid w:val="002847B8"/>
    <w:rsid w:val="00284B4C"/>
    <w:rsid w:val="00284CFA"/>
    <w:rsid w:val="00285664"/>
    <w:rsid w:val="002859E9"/>
    <w:rsid w:val="00285FC8"/>
    <w:rsid w:val="00286061"/>
    <w:rsid w:val="00287027"/>
    <w:rsid w:val="0028721B"/>
    <w:rsid w:val="00287968"/>
    <w:rsid w:val="00287DFA"/>
    <w:rsid w:val="002901DD"/>
    <w:rsid w:val="002913A5"/>
    <w:rsid w:val="0029164E"/>
    <w:rsid w:val="002918FC"/>
    <w:rsid w:val="00291F1E"/>
    <w:rsid w:val="0029206E"/>
    <w:rsid w:val="002920AA"/>
    <w:rsid w:val="00292568"/>
    <w:rsid w:val="00292932"/>
    <w:rsid w:val="00292C81"/>
    <w:rsid w:val="002934F4"/>
    <w:rsid w:val="002946CE"/>
    <w:rsid w:val="00294CE4"/>
    <w:rsid w:val="00295A16"/>
    <w:rsid w:val="00295B66"/>
    <w:rsid w:val="00295FF5"/>
    <w:rsid w:val="00296DF4"/>
    <w:rsid w:val="002A07AF"/>
    <w:rsid w:val="002A1B1D"/>
    <w:rsid w:val="002A20BE"/>
    <w:rsid w:val="002A28BE"/>
    <w:rsid w:val="002A3A1C"/>
    <w:rsid w:val="002A3C9C"/>
    <w:rsid w:val="002A4190"/>
    <w:rsid w:val="002A69D5"/>
    <w:rsid w:val="002A720F"/>
    <w:rsid w:val="002A73C5"/>
    <w:rsid w:val="002A7F3E"/>
    <w:rsid w:val="002B0040"/>
    <w:rsid w:val="002B0834"/>
    <w:rsid w:val="002B0EC1"/>
    <w:rsid w:val="002B0F9F"/>
    <w:rsid w:val="002B22C3"/>
    <w:rsid w:val="002B357E"/>
    <w:rsid w:val="002B3705"/>
    <w:rsid w:val="002B4DD2"/>
    <w:rsid w:val="002B51A8"/>
    <w:rsid w:val="002B51FD"/>
    <w:rsid w:val="002B5E8E"/>
    <w:rsid w:val="002B5F6C"/>
    <w:rsid w:val="002B667B"/>
    <w:rsid w:val="002B6923"/>
    <w:rsid w:val="002B69F3"/>
    <w:rsid w:val="002B6F02"/>
    <w:rsid w:val="002B711C"/>
    <w:rsid w:val="002C2919"/>
    <w:rsid w:val="002C3008"/>
    <w:rsid w:val="002C3034"/>
    <w:rsid w:val="002C34CD"/>
    <w:rsid w:val="002C4298"/>
    <w:rsid w:val="002C47D8"/>
    <w:rsid w:val="002C4938"/>
    <w:rsid w:val="002C5435"/>
    <w:rsid w:val="002C5676"/>
    <w:rsid w:val="002C5B79"/>
    <w:rsid w:val="002C61C9"/>
    <w:rsid w:val="002C678C"/>
    <w:rsid w:val="002D05C5"/>
    <w:rsid w:val="002D0A09"/>
    <w:rsid w:val="002D0D3F"/>
    <w:rsid w:val="002D0DE3"/>
    <w:rsid w:val="002D24CD"/>
    <w:rsid w:val="002D3665"/>
    <w:rsid w:val="002D427E"/>
    <w:rsid w:val="002D4315"/>
    <w:rsid w:val="002D5066"/>
    <w:rsid w:val="002D52AF"/>
    <w:rsid w:val="002D5750"/>
    <w:rsid w:val="002D5C66"/>
    <w:rsid w:val="002D66F3"/>
    <w:rsid w:val="002D6CC7"/>
    <w:rsid w:val="002D6DF7"/>
    <w:rsid w:val="002D6FE9"/>
    <w:rsid w:val="002D7CD7"/>
    <w:rsid w:val="002E0D37"/>
    <w:rsid w:val="002E0E72"/>
    <w:rsid w:val="002E1115"/>
    <w:rsid w:val="002E12BD"/>
    <w:rsid w:val="002E2798"/>
    <w:rsid w:val="002E2A2B"/>
    <w:rsid w:val="002E2ED7"/>
    <w:rsid w:val="002E4073"/>
    <w:rsid w:val="002E4188"/>
    <w:rsid w:val="002E5177"/>
    <w:rsid w:val="002E6069"/>
    <w:rsid w:val="002E6606"/>
    <w:rsid w:val="002E7908"/>
    <w:rsid w:val="002E7CC9"/>
    <w:rsid w:val="002F0401"/>
    <w:rsid w:val="002F0672"/>
    <w:rsid w:val="002F0E4C"/>
    <w:rsid w:val="002F18D7"/>
    <w:rsid w:val="002F219F"/>
    <w:rsid w:val="002F2B05"/>
    <w:rsid w:val="002F3825"/>
    <w:rsid w:val="002F42BD"/>
    <w:rsid w:val="002F43A0"/>
    <w:rsid w:val="002F4CBF"/>
    <w:rsid w:val="002F5322"/>
    <w:rsid w:val="002F55A9"/>
    <w:rsid w:val="002F5AB8"/>
    <w:rsid w:val="002F74C1"/>
    <w:rsid w:val="002F7ADB"/>
    <w:rsid w:val="002F7E83"/>
    <w:rsid w:val="003000B5"/>
    <w:rsid w:val="003003AB"/>
    <w:rsid w:val="00300691"/>
    <w:rsid w:val="00300801"/>
    <w:rsid w:val="00301E7B"/>
    <w:rsid w:val="003043DC"/>
    <w:rsid w:val="00304EB0"/>
    <w:rsid w:val="0030500E"/>
    <w:rsid w:val="003053D8"/>
    <w:rsid w:val="00306B25"/>
    <w:rsid w:val="00306BA8"/>
    <w:rsid w:val="00306CFB"/>
    <w:rsid w:val="0030729B"/>
    <w:rsid w:val="003074E7"/>
    <w:rsid w:val="003079ED"/>
    <w:rsid w:val="00310D93"/>
    <w:rsid w:val="00311885"/>
    <w:rsid w:val="00312F31"/>
    <w:rsid w:val="003141FE"/>
    <w:rsid w:val="003143DB"/>
    <w:rsid w:val="00314927"/>
    <w:rsid w:val="003149E5"/>
    <w:rsid w:val="00315065"/>
    <w:rsid w:val="0031508F"/>
    <w:rsid w:val="003159E4"/>
    <w:rsid w:val="00315AC2"/>
    <w:rsid w:val="00316722"/>
    <w:rsid w:val="00317851"/>
    <w:rsid w:val="00317896"/>
    <w:rsid w:val="00317A97"/>
    <w:rsid w:val="0032014B"/>
    <w:rsid w:val="00320418"/>
    <w:rsid w:val="00320537"/>
    <w:rsid w:val="00320844"/>
    <w:rsid w:val="00321D1D"/>
    <w:rsid w:val="00321F49"/>
    <w:rsid w:val="0032229E"/>
    <w:rsid w:val="00324A2E"/>
    <w:rsid w:val="00324D32"/>
    <w:rsid w:val="003253E8"/>
    <w:rsid w:val="0032640D"/>
    <w:rsid w:val="00327036"/>
    <w:rsid w:val="00327897"/>
    <w:rsid w:val="00330684"/>
    <w:rsid w:val="0033138D"/>
    <w:rsid w:val="00331516"/>
    <w:rsid w:val="00331D3B"/>
    <w:rsid w:val="003321F5"/>
    <w:rsid w:val="003333BA"/>
    <w:rsid w:val="00334A33"/>
    <w:rsid w:val="00334BDF"/>
    <w:rsid w:val="00336C50"/>
    <w:rsid w:val="003371D6"/>
    <w:rsid w:val="0033777C"/>
    <w:rsid w:val="00337F10"/>
    <w:rsid w:val="003414BA"/>
    <w:rsid w:val="00342276"/>
    <w:rsid w:val="00342506"/>
    <w:rsid w:val="00342895"/>
    <w:rsid w:val="00344DA2"/>
    <w:rsid w:val="00344FCE"/>
    <w:rsid w:val="003465CF"/>
    <w:rsid w:val="00347B98"/>
    <w:rsid w:val="00350362"/>
    <w:rsid w:val="00350502"/>
    <w:rsid w:val="003509FC"/>
    <w:rsid w:val="00350F6D"/>
    <w:rsid w:val="003518E1"/>
    <w:rsid w:val="00352011"/>
    <w:rsid w:val="003521F6"/>
    <w:rsid w:val="0035238F"/>
    <w:rsid w:val="00352BE2"/>
    <w:rsid w:val="00352ECF"/>
    <w:rsid w:val="003533EE"/>
    <w:rsid w:val="00353AA8"/>
    <w:rsid w:val="00353F20"/>
    <w:rsid w:val="00355965"/>
    <w:rsid w:val="003569C2"/>
    <w:rsid w:val="003569D9"/>
    <w:rsid w:val="00356A16"/>
    <w:rsid w:val="00356AFB"/>
    <w:rsid w:val="003579C1"/>
    <w:rsid w:val="003612A8"/>
    <w:rsid w:val="003620C9"/>
    <w:rsid w:val="003623AD"/>
    <w:rsid w:val="00362F8B"/>
    <w:rsid w:val="00363431"/>
    <w:rsid w:val="00366B81"/>
    <w:rsid w:val="00367471"/>
    <w:rsid w:val="003708EF"/>
    <w:rsid w:val="0037094B"/>
    <w:rsid w:val="003714B9"/>
    <w:rsid w:val="00371530"/>
    <w:rsid w:val="00371CC2"/>
    <w:rsid w:val="00372A79"/>
    <w:rsid w:val="00372D37"/>
    <w:rsid w:val="00373332"/>
    <w:rsid w:val="00373825"/>
    <w:rsid w:val="003738E1"/>
    <w:rsid w:val="00373A92"/>
    <w:rsid w:val="003747E3"/>
    <w:rsid w:val="00374E1E"/>
    <w:rsid w:val="0037557C"/>
    <w:rsid w:val="003756B7"/>
    <w:rsid w:val="00376178"/>
    <w:rsid w:val="003763F7"/>
    <w:rsid w:val="00376AE4"/>
    <w:rsid w:val="00377199"/>
    <w:rsid w:val="00377BE5"/>
    <w:rsid w:val="00377D7E"/>
    <w:rsid w:val="00377EFB"/>
    <w:rsid w:val="00380202"/>
    <w:rsid w:val="00382913"/>
    <w:rsid w:val="00382D0F"/>
    <w:rsid w:val="00382E76"/>
    <w:rsid w:val="00382ED4"/>
    <w:rsid w:val="003843F2"/>
    <w:rsid w:val="0038453B"/>
    <w:rsid w:val="00384A3E"/>
    <w:rsid w:val="00385140"/>
    <w:rsid w:val="003854DF"/>
    <w:rsid w:val="00385626"/>
    <w:rsid w:val="003856DF"/>
    <w:rsid w:val="00386A1D"/>
    <w:rsid w:val="00386ADD"/>
    <w:rsid w:val="00387E9B"/>
    <w:rsid w:val="003904BE"/>
    <w:rsid w:val="00390F49"/>
    <w:rsid w:val="00390FDD"/>
    <w:rsid w:val="0039261B"/>
    <w:rsid w:val="00393B90"/>
    <w:rsid w:val="00393EA9"/>
    <w:rsid w:val="003944A0"/>
    <w:rsid w:val="003948F3"/>
    <w:rsid w:val="00394A77"/>
    <w:rsid w:val="003950D2"/>
    <w:rsid w:val="00395EFA"/>
    <w:rsid w:val="00395F51"/>
    <w:rsid w:val="00396D15"/>
    <w:rsid w:val="00397811"/>
    <w:rsid w:val="003A011D"/>
    <w:rsid w:val="003A0430"/>
    <w:rsid w:val="003A1B6C"/>
    <w:rsid w:val="003A2D22"/>
    <w:rsid w:val="003A2F7E"/>
    <w:rsid w:val="003A3B5F"/>
    <w:rsid w:val="003A3BFD"/>
    <w:rsid w:val="003A413A"/>
    <w:rsid w:val="003A443D"/>
    <w:rsid w:val="003A4A07"/>
    <w:rsid w:val="003A504E"/>
    <w:rsid w:val="003A5519"/>
    <w:rsid w:val="003A59BC"/>
    <w:rsid w:val="003A7088"/>
    <w:rsid w:val="003A71E6"/>
    <w:rsid w:val="003A73C1"/>
    <w:rsid w:val="003A748B"/>
    <w:rsid w:val="003A7719"/>
    <w:rsid w:val="003A7816"/>
    <w:rsid w:val="003A7D40"/>
    <w:rsid w:val="003B007E"/>
    <w:rsid w:val="003B0087"/>
    <w:rsid w:val="003B0575"/>
    <w:rsid w:val="003B10FC"/>
    <w:rsid w:val="003B152A"/>
    <w:rsid w:val="003B1BA0"/>
    <w:rsid w:val="003B1DA2"/>
    <w:rsid w:val="003B24D5"/>
    <w:rsid w:val="003B286B"/>
    <w:rsid w:val="003B389E"/>
    <w:rsid w:val="003B4029"/>
    <w:rsid w:val="003B43BE"/>
    <w:rsid w:val="003B441F"/>
    <w:rsid w:val="003B467E"/>
    <w:rsid w:val="003B4719"/>
    <w:rsid w:val="003B5366"/>
    <w:rsid w:val="003B65CB"/>
    <w:rsid w:val="003B6905"/>
    <w:rsid w:val="003B7F2F"/>
    <w:rsid w:val="003C028B"/>
    <w:rsid w:val="003C16BB"/>
    <w:rsid w:val="003C201E"/>
    <w:rsid w:val="003C2087"/>
    <w:rsid w:val="003C2F3F"/>
    <w:rsid w:val="003C2FA0"/>
    <w:rsid w:val="003C32BA"/>
    <w:rsid w:val="003C3406"/>
    <w:rsid w:val="003C3681"/>
    <w:rsid w:val="003C3F4F"/>
    <w:rsid w:val="003C4359"/>
    <w:rsid w:val="003C4423"/>
    <w:rsid w:val="003C4775"/>
    <w:rsid w:val="003C4BB9"/>
    <w:rsid w:val="003C4EF1"/>
    <w:rsid w:val="003C4FE9"/>
    <w:rsid w:val="003C5173"/>
    <w:rsid w:val="003C6194"/>
    <w:rsid w:val="003C6213"/>
    <w:rsid w:val="003C78A2"/>
    <w:rsid w:val="003D0E97"/>
    <w:rsid w:val="003D1823"/>
    <w:rsid w:val="003D2CE6"/>
    <w:rsid w:val="003D2F03"/>
    <w:rsid w:val="003D300B"/>
    <w:rsid w:val="003D313C"/>
    <w:rsid w:val="003D4A52"/>
    <w:rsid w:val="003D4EAC"/>
    <w:rsid w:val="003D54A2"/>
    <w:rsid w:val="003D566F"/>
    <w:rsid w:val="003D5776"/>
    <w:rsid w:val="003D5933"/>
    <w:rsid w:val="003D6804"/>
    <w:rsid w:val="003D7174"/>
    <w:rsid w:val="003D7834"/>
    <w:rsid w:val="003D78E9"/>
    <w:rsid w:val="003D7A4D"/>
    <w:rsid w:val="003D7DF0"/>
    <w:rsid w:val="003E0167"/>
    <w:rsid w:val="003E0A70"/>
    <w:rsid w:val="003E0D45"/>
    <w:rsid w:val="003E184A"/>
    <w:rsid w:val="003E1CBA"/>
    <w:rsid w:val="003E1FBF"/>
    <w:rsid w:val="003E202A"/>
    <w:rsid w:val="003E28F3"/>
    <w:rsid w:val="003E2A58"/>
    <w:rsid w:val="003E36E8"/>
    <w:rsid w:val="003E3D0B"/>
    <w:rsid w:val="003E3DDF"/>
    <w:rsid w:val="003E3FA2"/>
    <w:rsid w:val="003E423C"/>
    <w:rsid w:val="003E49C1"/>
    <w:rsid w:val="003E4BE6"/>
    <w:rsid w:val="003E4C49"/>
    <w:rsid w:val="003E6072"/>
    <w:rsid w:val="003E7113"/>
    <w:rsid w:val="003F0509"/>
    <w:rsid w:val="003F1335"/>
    <w:rsid w:val="003F1D34"/>
    <w:rsid w:val="003F209A"/>
    <w:rsid w:val="003F23D6"/>
    <w:rsid w:val="003F2DA1"/>
    <w:rsid w:val="003F4292"/>
    <w:rsid w:val="003F4A66"/>
    <w:rsid w:val="003F5ABA"/>
    <w:rsid w:val="003F6F49"/>
    <w:rsid w:val="003F7F9A"/>
    <w:rsid w:val="003F7FC5"/>
    <w:rsid w:val="00400DD1"/>
    <w:rsid w:val="00401533"/>
    <w:rsid w:val="00401D2E"/>
    <w:rsid w:val="0040248B"/>
    <w:rsid w:val="004025BF"/>
    <w:rsid w:val="004026AE"/>
    <w:rsid w:val="00403116"/>
    <w:rsid w:val="004036CE"/>
    <w:rsid w:val="00403985"/>
    <w:rsid w:val="00404598"/>
    <w:rsid w:val="00404B23"/>
    <w:rsid w:val="004050ED"/>
    <w:rsid w:val="0040576C"/>
    <w:rsid w:val="0040673B"/>
    <w:rsid w:val="004069F5"/>
    <w:rsid w:val="00406CFE"/>
    <w:rsid w:val="00406E20"/>
    <w:rsid w:val="0041035D"/>
    <w:rsid w:val="00410760"/>
    <w:rsid w:val="00410A16"/>
    <w:rsid w:val="00410ECB"/>
    <w:rsid w:val="0041110F"/>
    <w:rsid w:val="0041282C"/>
    <w:rsid w:val="00412E6F"/>
    <w:rsid w:val="0041302C"/>
    <w:rsid w:val="00413272"/>
    <w:rsid w:val="00413C4C"/>
    <w:rsid w:val="004140D1"/>
    <w:rsid w:val="00414224"/>
    <w:rsid w:val="00414A15"/>
    <w:rsid w:val="00414ACF"/>
    <w:rsid w:val="00415180"/>
    <w:rsid w:val="004155CD"/>
    <w:rsid w:val="004155F3"/>
    <w:rsid w:val="0041639C"/>
    <w:rsid w:val="00417299"/>
    <w:rsid w:val="004178AC"/>
    <w:rsid w:val="00420992"/>
    <w:rsid w:val="00420D5E"/>
    <w:rsid w:val="00421730"/>
    <w:rsid w:val="00421841"/>
    <w:rsid w:val="00421C43"/>
    <w:rsid w:val="00421D72"/>
    <w:rsid w:val="00422307"/>
    <w:rsid w:val="004229FB"/>
    <w:rsid w:val="0042360E"/>
    <w:rsid w:val="0042375D"/>
    <w:rsid w:val="00423B0A"/>
    <w:rsid w:val="00423B1E"/>
    <w:rsid w:val="004246FA"/>
    <w:rsid w:val="004255ED"/>
    <w:rsid w:val="0042620F"/>
    <w:rsid w:val="004268C6"/>
    <w:rsid w:val="00426C6B"/>
    <w:rsid w:val="0042706F"/>
    <w:rsid w:val="004270BA"/>
    <w:rsid w:val="00430300"/>
    <w:rsid w:val="00430AA2"/>
    <w:rsid w:val="004318FF"/>
    <w:rsid w:val="00432797"/>
    <w:rsid w:val="004335DD"/>
    <w:rsid w:val="00433924"/>
    <w:rsid w:val="00433AAB"/>
    <w:rsid w:val="00433FFF"/>
    <w:rsid w:val="00434679"/>
    <w:rsid w:val="00434F3A"/>
    <w:rsid w:val="004350DC"/>
    <w:rsid w:val="0043714F"/>
    <w:rsid w:val="004375F0"/>
    <w:rsid w:val="00437689"/>
    <w:rsid w:val="00437B85"/>
    <w:rsid w:val="00440381"/>
    <w:rsid w:val="00441551"/>
    <w:rsid w:val="00442A5C"/>
    <w:rsid w:val="004437CF"/>
    <w:rsid w:val="00444340"/>
    <w:rsid w:val="004454FA"/>
    <w:rsid w:val="0044559B"/>
    <w:rsid w:val="00445C5C"/>
    <w:rsid w:val="00445CA6"/>
    <w:rsid w:val="00445E70"/>
    <w:rsid w:val="00446F7D"/>
    <w:rsid w:val="00450CD1"/>
    <w:rsid w:val="004517C9"/>
    <w:rsid w:val="00451CCE"/>
    <w:rsid w:val="00452159"/>
    <w:rsid w:val="00452523"/>
    <w:rsid w:val="00452C68"/>
    <w:rsid w:val="00453F22"/>
    <w:rsid w:val="00454E7A"/>
    <w:rsid w:val="0045558B"/>
    <w:rsid w:val="00455911"/>
    <w:rsid w:val="00456226"/>
    <w:rsid w:val="0045679C"/>
    <w:rsid w:val="00456ADE"/>
    <w:rsid w:val="00457331"/>
    <w:rsid w:val="0046012F"/>
    <w:rsid w:val="00460D8C"/>
    <w:rsid w:val="0046157F"/>
    <w:rsid w:val="00461AD1"/>
    <w:rsid w:val="004621E0"/>
    <w:rsid w:val="00462C21"/>
    <w:rsid w:val="00463205"/>
    <w:rsid w:val="0046345D"/>
    <w:rsid w:val="00463CC3"/>
    <w:rsid w:val="00463E6D"/>
    <w:rsid w:val="00463F6D"/>
    <w:rsid w:val="0046414C"/>
    <w:rsid w:val="004645DD"/>
    <w:rsid w:val="00465543"/>
    <w:rsid w:val="00465F4F"/>
    <w:rsid w:val="00465FDF"/>
    <w:rsid w:val="004667C3"/>
    <w:rsid w:val="0046783E"/>
    <w:rsid w:val="004679CD"/>
    <w:rsid w:val="00467CDE"/>
    <w:rsid w:val="00467D0C"/>
    <w:rsid w:val="004704FE"/>
    <w:rsid w:val="0047051C"/>
    <w:rsid w:val="004711A4"/>
    <w:rsid w:val="004713F7"/>
    <w:rsid w:val="00472220"/>
    <w:rsid w:val="004722FC"/>
    <w:rsid w:val="00472634"/>
    <w:rsid w:val="00473677"/>
    <w:rsid w:val="00473E6F"/>
    <w:rsid w:val="004743D1"/>
    <w:rsid w:val="00475319"/>
    <w:rsid w:val="00476FAC"/>
    <w:rsid w:val="004776A8"/>
    <w:rsid w:val="004777A2"/>
    <w:rsid w:val="004779E4"/>
    <w:rsid w:val="004802AC"/>
    <w:rsid w:val="004804E7"/>
    <w:rsid w:val="00480514"/>
    <w:rsid w:val="00481078"/>
    <w:rsid w:val="004812AF"/>
    <w:rsid w:val="00481E10"/>
    <w:rsid w:val="004823B7"/>
    <w:rsid w:val="0048259F"/>
    <w:rsid w:val="00482668"/>
    <w:rsid w:val="00482775"/>
    <w:rsid w:val="00484244"/>
    <w:rsid w:val="00484269"/>
    <w:rsid w:val="00484DA6"/>
    <w:rsid w:val="00484FE8"/>
    <w:rsid w:val="0048577A"/>
    <w:rsid w:val="00486569"/>
    <w:rsid w:val="00486CA4"/>
    <w:rsid w:val="00490934"/>
    <w:rsid w:val="00490E8C"/>
    <w:rsid w:val="004927A9"/>
    <w:rsid w:val="004927F9"/>
    <w:rsid w:val="00493861"/>
    <w:rsid w:val="004938A7"/>
    <w:rsid w:val="00494894"/>
    <w:rsid w:val="0049498D"/>
    <w:rsid w:val="00494A25"/>
    <w:rsid w:val="004954A3"/>
    <w:rsid w:val="004956F2"/>
    <w:rsid w:val="00495FBA"/>
    <w:rsid w:val="00497485"/>
    <w:rsid w:val="004976CB"/>
    <w:rsid w:val="00497848"/>
    <w:rsid w:val="004A0552"/>
    <w:rsid w:val="004A15EF"/>
    <w:rsid w:val="004A1CD0"/>
    <w:rsid w:val="004A1FF7"/>
    <w:rsid w:val="004A1FFA"/>
    <w:rsid w:val="004A25BC"/>
    <w:rsid w:val="004A3060"/>
    <w:rsid w:val="004A357D"/>
    <w:rsid w:val="004A4103"/>
    <w:rsid w:val="004A416F"/>
    <w:rsid w:val="004A46EA"/>
    <w:rsid w:val="004A4818"/>
    <w:rsid w:val="004A50B1"/>
    <w:rsid w:val="004A60C5"/>
    <w:rsid w:val="004A632A"/>
    <w:rsid w:val="004A6F3A"/>
    <w:rsid w:val="004A70AF"/>
    <w:rsid w:val="004A7732"/>
    <w:rsid w:val="004A7A00"/>
    <w:rsid w:val="004B0729"/>
    <w:rsid w:val="004B09D1"/>
    <w:rsid w:val="004B0F78"/>
    <w:rsid w:val="004B2259"/>
    <w:rsid w:val="004B2388"/>
    <w:rsid w:val="004B2925"/>
    <w:rsid w:val="004B297E"/>
    <w:rsid w:val="004B378C"/>
    <w:rsid w:val="004B385C"/>
    <w:rsid w:val="004B3E81"/>
    <w:rsid w:val="004B440B"/>
    <w:rsid w:val="004B4473"/>
    <w:rsid w:val="004B4CC7"/>
    <w:rsid w:val="004B508E"/>
    <w:rsid w:val="004B518A"/>
    <w:rsid w:val="004B556B"/>
    <w:rsid w:val="004B64E4"/>
    <w:rsid w:val="004B679B"/>
    <w:rsid w:val="004B68C9"/>
    <w:rsid w:val="004B6DD8"/>
    <w:rsid w:val="004B7503"/>
    <w:rsid w:val="004B7DA4"/>
    <w:rsid w:val="004C0856"/>
    <w:rsid w:val="004C0C77"/>
    <w:rsid w:val="004C17DC"/>
    <w:rsid w:val="004C1F49"/>
    <w:rsid w:val="004C4A87"/>
    <w:rsid w:val="004C4F62"/>
    <w:rsid w:val="004C5222"/>
    <w:rsid w:val="004C61C5"/>
    <w:rsid w:val="004C69BC"/>
    <w:rsid w:val="004C6F6E"/>
    <w:rsid w:val="004C703D"/>
    <w:rsid w:val="004C7318"/>
    <w:rsid w:val="004C7B16"/>
    <w:rsid w:val="004D06A9"/>
    <w:rsid w:val="004D123D"/>
    <w:rsid w:val="004D16A7"/>
    <w:rsid w:val="004D1A84"/>
    <w:rsid w:val="004D1B76"/>
    <w:rsid w:val="004D21CB"/>
    <w:rsid w:val="004D238E"/>
    <w:rsid w:val="004D239E"/>
    <w:rsid w:val="004D2C82"/>
    <w:rsid w:val="004D2D34"/>
    <w:rsid w:val="004D537F"/>
    <w:rsid w:val="004D548D"/>
    <w:rsid w:val="004D54FB"/>
    <w:rsid w:val="004D55D3"/>
    <w:rsid w:val="004D72F7"/>
    <w:rsid w:val="004E01E0"/>
    <w:rsid w:val="004E206C"/>
    <w:rsid w:val="004E253D"/>
    <w:rsid w:val="004E2F00"/>
    <w:rsid w:val="004E3884"/>
    <w:rsid w:val="004E3905"/>
    <w:rsid w:val="004E4F42"/>
    <w:rsid w:val="004E5E36"/>
    <w:rsid w:val="004E61FF"/>
    <w:rsid w:val="004E6399"/>
    <w:rsid w:val="004E6416"/>
    <w:rsid w:val="004F0C8D"/>
    <w:rsid w:val="004F0D80"/>
    <w:rsid w:val="004F0ED8"/>
    <w:rsid w:val="004F1018"/>
    <w:rsid w:val="004F15D0"/>
    <w:rsid w:val="004F1F25"/>
    <w:rsid w:val="004F2D8D"/>
    <w:rsid w:val="004F3AB6"/>
    <w:rsid w:val="004F41B4"/>
    <w:rsid w:val="004F4D0F"/>
    <w:rsid w:val="004F5994"/>
    <w:rsid w:val="004F5E18"/>
    <w:rsid w:val="004F6733"/>
    <w:rsid w:val="004F6EBF"/>
    <w:rsid w:val="004F6EF3"/>
    <w:rsid w:val="0050004E"/>
    <w:rsid w:val="00500788"/>
    <w:rsid w:val="00500A5C"/>
    <w:rsid w:val="00500F86"/>
    <w:rsid w:val="00501556"/>
    <w:rsid w:val="00502137"/>
    <w:rsid w:val="0050233A"/>
    <w:rsid w:val="00502768"/>
    <w:rsid w:val="00502FDE"/>
    <w:rsid w:val="00503F45"/>
    <w:rsid w:val="00504436"/>
    <w:rsid w:val="00504508"/>
    <w:rsid w:val="005048B1"/>
    <w:rsid w:val="005050F7"/>
    <w:rsid w:val="0050512C"/>
    <w:rsid w:val="00505F29"/>
    <w:rsid w:val="0050675F"/>
    <w:rsid w:val="00506D83"/>
    <w:rsid w:val="00506F80"/>
    <w:rsid w:val="005076E3"/>
    <w:rsid w:val="005103E5"/>
    <w:rsid w:val="00511708"/>
    <w:rsid w:val="00511FCB"/>
    <w:rsid w:val="00512712"/>
    <w:rsid w:val="0051277F"/>
    <w:rsid w:val="00512F28"/>
    <w:rsid w:val="0051337D"/>
    <w:rsid w:val="00513A05"/>
    <w:rsid w:val="00513B93"/>
    <w:rsid w:val="00513C3F"/>
    <w:rsid w:val="00513E92"/>
    <w:rsid w:val="00514F73"/>
    <w:rsid w:val="00516A7B"/>
    <w:rsid w:val="00516DF9"/>
    <w:rsid w:val="00517493"/>
    <w:rsid w:val="005178F7"/>
    <w:rsid w:val="00520B36"/>
    <w:rsid w:val="005216E8"/>
    <w:rsid w:val="00521ACB"/>
    <w:rsid w:val="00521D2E"/>
    <w:rsid w:val="00521EB3"/>
    <w:rsid w:val="00522214"/>
    <w:rsid w:val="00522387"/>
    <w:rsid w:val="005226A6"/>
    <w:rsid w:val="0052287E"/>
    <w:rsid w:val="0052388D"/>
    <w:rsid w:val="00523F14"/>
    <w:rsid w:val="005242D7"/>
    <w:rsid w:val="005242FF"/>
    <w:rsid w:val="00524A02"/>
    <w:rsid w:val="00524A43"/>
    <w:rsid w:val="00525844"/>
    <w:rsid w:val="00526691"/>
    <w:rsid w:val="005272A5"/>
    <w:rsid w:val="00527945"/>
    <w:rsid w:val="00527F8D"/>
    <w:rsid w:val="00530E8D"/>
    <w:rsid w:val="005313DD"/>
    <w:rsid w:val="0053275F"/>
    <w:rsid w:val="005327F0"/>
    <w:rsid w:val="005328B1"/>
    <w:rsid w:val="005329BC"/>
    <w:rsid w:val="0053334D"/>
    <w:rsid w:val="00533474"/>
    <w:rsid w:val="005338F1"/>
    <w:rsid w:val="00534239"/>
    <w:rsid w:val="005344D2"/>
    <w:rsid w:val="00535603"/>
    <w:rsid w:val="00535B15"/>
    <w:rsid w:val="00535CF9"/>
    <w:rsid w:val="00536548"/>
    <w:rsid w:val="00537262"/>
    <w:rsid w:val="00537884"/>
    <w:rsid w:val="00537D41"/>
    <w:rsid w:val="0054001E"/>
    <w:rsid w:val="00540089"/>
    <w:rsid w:val="00540AE4"/>
    <w:rsid w:val="00541B2B"/>
    <w:rsid w:val="00544C57"/>
    <w:rsid w:val="0054595B"/>
    <w:rsid w:val="005467A7"/>
    <w:rsid w:val="00546894"/>
    <w:rsid w:val="0054794F"/>
    <w:rsid w:val="00547C77"/>
    <w:rsid w:val="00547C93"/>
    <w:rsid w:val="005525B7"/>
    <w:rsid w:val="00552970"/>
    <w:rsid w:val="0055318A"/>
    <w:rsid w:val="00554124"/>
    <w:rsid w:val="005541EA"/>
    <w:rsid w:val="0055428C"/>
    <w:rsid w:val="00554FC5"/>
    <w:rsid w:val="00555212"/>
    <w:rsid w:val="00555AB8"/>
    <w:rsid w:val="00555DDF"/>
    <w:rsid w:val="00556131"/>
    <w:rsid w:val="005563CD"/>
    <w:rsid w:val="005565D4"/>
    <w:rsid w:val="005571BF"/>
    <w:rsid w:val="00557FA1"/>
    <w:rsid w:val="00560890"/>
    <w:rsid w:val="00560B6E"/>
    <w:rsid w:val="00561654"/>
    <w:rsid w:val="005621F0"/>
    <w:rsid w:val="00562657"/>
    <w:rsid w:val="005627FD"/>
    <w:rsid w:val="0056316C"/>
    <w:rsid w:val="00563A3E"/>
    <w:rsid w:val="0056467F"/>
    <w:rsid w:val="00564D40"/>
    <w:rsid w:val="00564F38"/>
    <w:rsid w:val="00565BB8"/>
    <w:rsid w:val="00565FB1"/>
    <w:rsid w:val="005665D2"/>
    <w:rsid w:val="00566DC0"/>
    <w:rsid w:val="00567FD7"/>
    <w:rsid w:val="00570079"/>
    <w:rsid w:val="00570349"/>
    <w:rsid w:val="005706EB"/>
    <w:rsid w:val="00570815"/>
    <w:rsid w:val="005726F0"/>
    <w:rsid w:val="00572A46"/>
    <w:rsid w:val="00573365"/>
    <w:rsid w:val="0057340B"/>
    <w:rsid w:val="00573C11"/>
    <w:rsid w:val="0057466B"/>
    <w:rsid w:val="005748EA"/>
    <w:rsid w:val="00574AE6"/>
    <w:rsid w:val="00577B99"/>
    <w:rsid w:val="005808D6"/>
    <w:rsid w:val="005815F9"/>
    <w:rsid w:val="005826B3"/>
    <w:rsid w:val="0058280F"/>
    <w:rsid w:val="00582917"/>
    <w:rsid w:val="00583632"/>
    <w:rsid w:val="00583651"/>
    <w:rsid w:val="00583CEE"/>
    <w:rsid w:val="005840C3"/>
    <w:rsid w:val="00584F33"/>
    <w:rsid w:val="0058565D"/>
    <w:rsid w:val="00585D85"/>
    <w:rsid w:val="0058630D"/>
    <w:rsid w:val="00586944"/>
    <w:rsid w:val="0058728E"/>
    <w:rsid w:val="005874EA"/>
    <w:rsid w:val="00587818"/>
    <w:rsid w:val="005907F6"/>
    <w:rsid w:val="00590C6D"/>
    <w:rsid w:val="00590D58"/>
    <w:rsid w:val="00591025"/>
    <w:rsid w:val="00591C02"/>
    <w:rsid w:val="00592740"/>
    <w:rsid w:val="0059291E"/>
    <w:rsid w:val="0059341B"/>
    <w:rsid w:val="0059350C"/>
    <w:rsid w:val="00594817"/>
    <w:rsid w:val="00595B6A"/>
    <w:rsid w:val="00595C84"/>
    <w:rsid w:val="00595EBB"/>
    <w:rsid w:val="00596EDE"/>
    <w:rsid w:val="00597746"/>
    <w:rsid w:val="00597F38"/>
    <w:rsid w:val="005A00C3"/>
    <w:rsid w:val="005A02F5"/>
    <w:rsid w:val="005A0412"/>
    <w:rsid w:val="005A1092"/>
    <w:rsid w:val="005A13A6"/>
    <w:rsid w:val="005A1E22"/>
    <w:rsid w:val="005A218D"/>
    <w:rsid w:val="005A2787"/>
    <w:rsid w:val="005A36CC"/>
    <w:rsid w:val="005A471C"/>
    <w:rsid w:val="005A490C"/>
    <w:rsid w:val="005A5689"/>
    <w:rsid w:val="005A6901"/>
    <w:rsid w:val="005A695D"/>
    <w:rsid w:val="005A6D6B"/>
    <w:rsid w:val="005A6FEE"/>
    <w:rsid w:val="005A7E1A"/>
    <w:rsid w:val="005A7EA5"/>
    <w:rsid w:val="005B023C"/>
    <w:rsid w:val="005B025D"/>
    <w:rsid w:val="005B0623"/>
    <w:rsid w:val="005B08BE"/>
    <w:rsid w:val="005B0AB0"/>
    <w:rsid w:val="005B17D0"/>
    <w:rsid w:val="005B1F71"/>
    <w:rsid w:val="005B2359"/>
    <w:rsid w:val="005B2931"/>
    <w:rsid w:val="005B35BE"/>
    <w:rsid w:val="005B4492"/>
    <w:rsid w:val="005B4881"/>
    <w:rsid w:val="005B4FFF"/>
    <w:rsid w:val="005B6142"/>
    <w:rsid w:val="005B67BC"/>
    <w:rsid w:val="005B6E4E"/>
    <w:rsid w:val="005B7264"/>
    <w:rsid w:val="005B7CDD"/>
    <w:rsid w:val="005B7E97"/>
    <w:rsid w:val="005C1247"/>
    <w:rsid w:val="005C1C43"/>
    <w:rsid w:val="005C1F53"/>
    <w:rsid w:val="005C2C80"/>
    <w:rsid w:val="005C3B95"/>
    <w:rsid w:val="005C443F"/>
    <w:rsid w:val="005C4BE8"/>
    <w:rsid w:val="005C4E40"/>
    <w:rsid w:val="005C5AE5"/>
    <w:rsid w:val="005C60D1"/>
    <w:rsid w:val="005C61C8"/>
    <w:rsid w:val="005C7525"/>
    <w:rsid w:val="005D01DC"/>
    <w:rsid w:val="005D02D3"/>
    <w:rsid w:val="005D094F"/>
    <w:rsid w:val="005D26D3"/>
    <w:rsid w:val="005D327A"/>
    <w:rsid w:val="005D336A"/>
    <w:rsid w:val="005D36E6"/>
    <w:rsid w:val="005D38FC"/>
    <w:rsid w:val="005D4512"/>
    <w:rsid w:val="005D488F"/>
    <w:rsid w:val="005D52DD"/>
    <w:rsid w:val="005D638C"/>
    <w:rsid w:val="005D6AD8"/>
    <w:rsid w:val="005D6CAC"/>
    <w:rsid w:val="005E114E"/>
    <w:rsid w:val="005E1366"/>
    <w:rsid w:val="005E1468"/>
    <w:rsid w:val="005E166E"/>
    <w:rsid w:val="005E1892"/>
    <w:rsid w:val="005E18CC"/>
    <w:rsid w:val="005E2A09"/>
    <w:rsid w:val="005E2B0F"/>
    <w:rsid w:val="005E314D"/>
    <w:rsid w:val="005E364D"/>
    <w:rsid w:val="005E3785"/>
    <w:rsid w:val="005E39D5"/>
    <w:rsid w:val="005E3C7D"/>
    <w:rsid w:val="005E400E"/>
    <w:rsid w:val="005E426E"/>
    <w:rsid w:val="005E44F7"/>
    <w:rsid w:val="005E4875"/>
    <w:rsid w:val="005E4FCA"/>
    <w:rsid w:val="005E55F1"/>
    <w:rsid w:val="005E5D78"/>
    <w:rsid w:val="005E628F"/>
    <w:rsid w:val="005E6E46"/>
    <w:rsid w:val="005E7B69"/>
    <w:rsid w:val="005F05E6"/>
    <w:rsid w:val="005F1179"/>
    <w:rsid w:val="005F1231"/>
    <w:rsid w:val="005F155C"/>
    <w:rsid w:val="005F1B2D"/>
    <w:rsid w:val="005F2789"/>
    <w:rsid w:val="005F2D55"/>
    <w:rsid w:val="005F3F95"/>
    <w:rsid w:val="005F413B"/>
    <w:rsid w:val="005F42D1"/>
    <w:rsid w:val="005F46F1"/>
    <w:rsid w:val="005F4E29"/>
    <w:rsid w:val="005F6193"/>
    <w:rsid w:val="005F6F8B"/>
    <w:rsid w:val="006014FF"/>
    <w:rsid w:val="00602133"/>
    <w:rsid w:val="006023A7"/>
    <w:rsid w:val="0060295C"/>
    <w:rsid w:val="00602A39"/>
    <w:rsid w:val="00603B78"/>
    <w:rsid w:val="00603D60"/>
    <w:rsid w:val="006040D6"/>
    <w:rsid w:val="00604973"/>
    <w:rsid w:val="00604F53"/>
    <w:rsid w:val="00605652"/>
    <w:rsid w:val="0060695F"/>
    <w:rsid w:val="0061072B"/>
    <w:rsid w:val="00611046"/>
    <w:rsid w:val="006112FC"/>
    <w:rsid w:val="006117A0"/>
    <w:rsid w:val="00611F18"/>
    <w:rsid w:val="00613162"/>
    <w:rsid w:val="006131EA"/>
    <w:rsid w:val="006134EB"/>
    <w:rsid w:val="0061407C"/>
    <w:rsid w:val="006150EB"/>
    <w:rsid w:val="00616DA2"/>
    <w:rsid w:val="00616FFD"/>
    <w:rsid w:val="006170F0"/>
    <w:rsid w:val="006204C9"/>
    <w:rsid w:val="00620885"/>
    <w:rsid w:val="00620C05"/>
    <w:rsid w:val="00621027"/>
    <w:rsid w:val="00621B82"/>
    <w:rsid w:val="0062215D"/>
    <w:rsid w:val="00622577"/>
    <w:rsid w:val="006227D1"/>
    <w:rsid w:val="006232FC"/>
    <w:rsid w:val="006233AF"/>
    <w:rsid w:val="00623DF9"/>
    <w:rsid w:val="00624067"/>
    <w:rsid w:val="006240E8"/>
    <w:rsid w:val="006242E1"/>
    <w:rsid w:val="00624411"/>
    <w:rsid w:val="00624896"/>
    <w:rsid w:val="0062511A"/>
    <w:rsid w:val="00625284"/>
    <w:rsid w:val="006257C1"/>
    <w:rsid w:val="0062589F"/>
    <w:rsid w:val="00625B70"/>
    <w:rsid w:val="0062640F"/>
    <w:rsid w:val="00626510"/>
    <w:rsid w:val="00626BAD"/>
    <w:rsid w:val="00626CC9"/>
    <w:rsid w:val="0062782A"/>
    <w:rsid w:val="0063008E"/>
    <w:rsid w:val="0063076E"/>
    <w:rsid w:val="00631825"/>
    <w:rsid w:val="006328FD"/>
    <w:rsid w:val="00632C79"/>
    <w:rsid w:val="00632CD4"/>
    <w:rsid w:val="006345FA"/>
    <w:rsid w:val="00634A84"/>
    <w:rsid w:val="00635627"/>
    <w:rsid w:val="0063563C"/>
    <w:rsid w:val="00636450"/>
    <w:rsid w:val="00636BCB"/>
    <w:rsid w:val="0064007A"/>
    <w:rsid w:val="0064080B"/>
    <w:rsid w:val="00640AE2"/>
    <w:rsid w:val="00640D73"/>
    <w:rsid w:val="00641923"/>
    <w:rsid w:val="00641D96"/>
    <w:rsid w:val="00644DCC"/>
    <w:rsid w:val="00644F0D"/>
    <w:rsid w:val="00645270"/>
    <w:rsid w:val="006454FD"/>
    <w:rsid w:val="0064608A"/>
    <w:rsid w:val="0064652E"/>
    <w:rsid w:val="00647CAB"/>
    <w:rsid w:val="006506E3"/>
    <w:rsid w:val="006509E6"/>
    <w:rsid w:val="006511FE"/>
    <w:rsid w:val="00652AD2"/>
    <w:rsid w:val="00652B74"/>
    <w:rsid w:val="00652E6E"/>
    <w:rsid w:val="006537D6"/>
    <w:rsid w:val="006540BA"/>
    <w:rsid w:val="0065429D"/>
    <w:rsid w:val="00654311"/>
    <w:rsid w:val="00654D4C"/>
    <w:rsid w:val="00656582"/>
    <w:rsid w:val="00657ED1"/>
    <w:rsid w:val="00660C3D"/>
    <w:rsid w:val="0066106F"/>
    <w:rsid w:val="006615C4"/>
    <w:rsid w:val="00661CF9"/>
    <w:rsid w:val="006620ED"/>
    <w:rsid w:val="00662A71"/>
    <w:rsid w:val="00662A9E"/>
    <w:rsid w:val="00663821"/>
    <w:rsid w:val="006639AA"/>
    <w:rsid w:val="00663DFA"/>
    <w:rsid w:val="0066522B"/>
    <w:rsid w:val="00666D38"/>
    <w:rsid w:val="00667582"/>
    <w:rsid w:val="00667DA3"/>
    <w:rsid w:val="00667ED4"/>
    <w:rsid w:val="0067049C"/>
    <w:rsid w:val="006706C2"/>
    <w:rsid w:val="006712F3"/>
    <w:rsid w:val="00671825"/>
    <w:rsid w:val="00672AEA"/>
    <w:rsid w:val="00672C9D"/>
    <w:rsid w:val="00673EA5"/>
    <w:rsid w:val="00674260"/>
    <w:rsid w:val="0067440D"/>
    <w:rsid w:val="006744CA"/>
    <w:rsid w:val="00674808"/>
    <w:rsid w:val="006751B2"/>
    <w:rsid w:val="00675D76"/>
    <w:rsid w:val="006761EA"/>
    <w:rsid w:val="00676550"/>
    <w:rsid w:val="006770B4"/>
    <w:rsid w:val="0067732B"/>
    <w:rsid w:val="006773B7"/>
    <w:rsid w:val="00677B4F"/>
    <w:rsid w:val="00677F9F"/>
    <w:rsid w:val="006800CE"/>
    <w:rsid w:val="006806E4"/>
    <w:rsid w:val="0068237E"/>
    <w:rsid w:val="00682E35"/>
    <w:rsid w:val="00683146"/>
    <w:rsid w:val="00683F04"/>
    <w:rsid w:val="00684266"/>
    <w:rsid w:val="0068433F"/>
    <w:rsid w:val="00684548"/>
    <w:rsid w:val="006849C9"/>
    <w:rsid w:val="006851D5"/>
    <w:rsid w:val="006852BA"/>
    <w:rsid w:val="006853C6"/>
    <w:rsid w:val="0068624C"/>
    <w:rsid w:val="00686269"/>
    <w:rsid w:val="00686D2D"/>
    <w:rsid w:val="006878C2"/>
    <w:rsid w:val="00687ADC"/>
    <w:rsid w:val="00691319"/>
    <w:rsid w:val="0069135D"/>
    <w:rsid w:val="00691FEC"/>
    <w:rsid w:val="006923B1"/>
    <w:rsid w:val="006924CD"/>
    <w:rsid w:val="006924ED"/>
    <w:rsid w:val="006925AA"/>
    <w:rsid w:val="0069262E"/>
    <w:rsid w:val="00692688"/>
    <w:rsid w:val="00692A41"/>
    <w:rsid w:val="006940DF"/>
    <w:rsid w:val="00694403"/>
    <w:rsid w:val="006947E5"/>
    <w:rsid w:val="006949E8"/>
    <w:rsid w:val="00695847"/>
    <w:rsid w:val="00696216"/>
    <w:rsid w:val="00696433"/>
    <w:rsid w:val="00696494"/>
    <w:rsid w:val="00696758"/>
    <w:rsid w:val="0069761C"/>
    <w:rsid w:val="00697B46"/>
    <w:rsid w:val="00697D4A"/>
    <w:rsid w:val="006A038A"/>
    <w:rsid w:val="006A05EF"/>
    <w:rsid w:val="006A063B"/>
    <w:rsid w:val="006A08C2"/>
    <w:rsid w:val="006A0D76"/>
    <w:rsid w:val="006A1FE6"/>
    <w:rsid w:val="006A2A4C"/>
    <w:rsid w:val="006A2DE8"/>
    <w:rsid w:val="006A361E"/>
    <w:rsid w:val="006A3960"/>
    <w:rsid w:val="006A3E5D"/>
    <w:rsid w:val="006A4CAA"/>
    <w:rsid w:val="006A5C94"/>
    <w:rsid w:val="006A6A52"/>
    <w:rsid w:val="006A6AFA"/>
    <w:rsid w:val="006A6FF0"/>
    <w:rsid w:val="006A7246"/>
    <w:rsid w:val="006A79D9"/>
    <w:rsid w:val="006A7BF6"/>
    <w:rsid w:val="006B0245"/>
    <w:rsid w:val="006B092F"/>
    <w:rsid w:val="006B0950"/>
    <w:rsid w:val="006B1131"/>
    <w:rsid w:val="006B1678"/>
    <w:rsid w:val="006B2484"/>
    <w:rsid w:val="006B29C3"/>
    <w:rsid w:val="006B4A2A"/>
    <w:rsid w:val="006B4EA9"/>
    <w:rsid w:val="006B62CD"/>
    <w:rsid w:val="006B69DB"/>
    <w:rsid w:val="006B6E22"/>
    <w:rsid w:val="006B7379"/>
    <w:rsid w:val="006B739E"/>
    <w:rsid w:val="006B75CD"/>
    <w:rsid w:val="006B7BD0"/>
    <w:rsid w:val="006B7CAD"/>
    <w:rsid w:val="006C04EF"/>
    <w:rsid w:val="006C1270"/>
    <w:rsid w:val="006C1350"/>
    <w:rsid w:val="006C1CE2"/>
    <w:rsid w:val="006C24D4"/>
    <w:rsid w:val="006C327C"/>
    <w:rsid w:val="006C346B"/>
    <w:rsid w:val="006C385A"/>
    <w:rsid w:val="006C476F"/>
    <w:rsid w:val="006C4BB4"/>
    <w:rsid w:val="006C4EF3"/>
    <w:rsid w:val="006C537D"/>
    <w:rsid w:val="006C5A99"/>
    <w:rsid w:val="006C5BFB"/>
    <w:rsid w:val="006C6C4A"/>
    <w:rsid w:val="006C7843"/>
    <w:rsid w:val="006D00B2"/>
    <w:rsid w:val="006D01BB"/>
    <w:rsid w:val="006D29D0"/>
    <w:rsid w:val="006D2BB0"/>
    <w:rsid w:val="006D2BEF"/>
    <w:rsid w:val="006D3C20"/>
    <w:rsid w:val="006D404D"/>
    <w:rsid w:val="006D4891"/>
    <w:rsid w:val="006D49B6"/>
    <w:rsid w:val="006D4AFC"/>
    <w:rsid w:val="006D55B3"/>
    <w:rsid w:val="006D68E1"/>
    <w:rsid w:val="006D6D4F"/>
    <w:rsid w:val="006D773A"/>
    <w:rsid w:val="006D7E0D"/>
    <w:rsid w:val="006D7FA4"/>
    <w:rsid w:val="006E03D6"/>
    <w:rsid w:val="006E09A3"/>
    <w:rsid w:val="006E1774"/>
    <w:rsid w:val="006E261C"/>
    <w:rsid w:val="006E293D"/>
    <w:rsid w:val="006E2BCD"/>
    <w:rsid w:val="006E2C27"/>
    <w:rsid w:val="006E2E1D"/>
    <w:rsid w:val="006E3B8B"/>
    <w:rsid w:val="006E3BF9"/>
    <w:rsid w:val="006E41DB"/>
    <w:rsid w:val="006E49E6"/>
    <w:rsid w:val="006E5171"/>
    <w:rsid w:val="006E5E7F"/>
    <w:rsid w:val="006E62D6"/>
    <w:rsid w:val="006E67C7"/>
    <w:rsid w:val="006E67F6"/>
    <w:rsid w:val="006E6950"/>
    <w:rsid w:val="006E70CE"/>
    <w:rsid w:val="006E71AE"/>
    <w:rsid w:val="006E7957"/>
    <w:rsid w:val="006E7E28"/>
    <w:rsid w:val="006F055C"/>
    <w:rsid w:val="006F0A76"/>
    <w:rsid w:val="006F0C50"/>
    <w:rsid w:val="006F1082"/>
    <w:rsid w:val="006F249D"/>
    <w:rsid w:val="006F30D6"/>
    <w:rsid w:val="006F3461"/>
    <w:rsid w:val="006F3D69"/>
    <w:rsid w:val="006F4023"/>
    <w:rsid w:val="006F4307"/>
    <w:rsid w:val="006F4DD8"/>
    <w:rsid w:val="006F560F"/>
    <w:rsid w:val="006F579E"/>
    <w:rsid w:val="006F59AC"/>
    <w:rsid w:val="006F6592"/>
    <w:rsid w:val="006F7381"/>
    <w:rsid w:val="006F7575"/>
    <w:rsid w:val="006F792F"/>
    <w:rsid w:val="006F7B35"/>
    <w:rsid w:val="00700159"/>
    <w:rsid w:val="00701111"/>
    <w:rsid w:val="00701637"/>
    <w:rsid w:val="00702431"/>
    <w:rsid w:val="0070281F"/>
    <w:rsid w:val="00702E0E"/>
    <w:rsid w:val="007030D7"/>
    <w:rsid w:val="00703679"/>
    <w:rsid w:val="0070373B"/>
    <w:rsid w:val="00703C39"/>
    <w:rsid w:val="00704053"/>
    <w:rsid w:val="00704128"/>
    <w:rsid w:val="00705738"/>
    <w:rsid w:val="007058B4"/>
    <w:rsid w:val="00705BE1"/>
    <w:rsid w:val="00705D0C"/>
    <w:rsid w:val="007065F1"/>
    <w:rsid w:val="007066AA"/>
    <w:rsid w:val="00706F81"/>
    <w:rsid w:val="007072A6"/>
    <w:rsid w:val="00707EFE"/>
    <w:rsid w:val="00710561"/>
    <w:rsid w:val="00710A1C"/>
    <w:rsid w:val="00711454"/>
    <w:rsid w:val="007115A7"/>
    <w:rsid w:val="00712059"/>
    <w:rsid w:val="00712C92"/>
    <w:rsid w:val="007130E3"/>
    <w:rsid w:val="007135B8"/>
    <w:rsid w:val="00713C26"/>
    <w:rsid w:val="0071478D"/>
    <w:rsid w:val="00714A0D"/>
    <w:rsid w:val="00714AFB"/>
    <w:rsid w:val="00714C9E"/>
    <w:rsid w:val="007150F1"/>
    <w:rsid w:val="007156FB"/>
    <w:rsid w:val="007162B3"/>
    <w:rsid w:val="007172D7"/>
    <w:rsid w:val="0072067B"/>
    <w:rsid w:val="00721728"/>
    <w:rsid w:val="00721D06"/>
    <w:rsid w:val="00723046"/>
    <w:rsid w:val="00723311"/>
    <w:rsid w:val="0072356B"/>
    <w:rsid w:val="0072396D"/>
    <w:rsid w:val="00723CF9"/>
    <w:rsid w:val="007246D7"/>
    <w:rsid w:val="00725666"/>
    <w:rsid w:val="00725BF1"/>
    <w:rsid w:val="007263EB"/>
    <w:rsid w:val="00726469"/>
    <w:rsid w:val="00726B25"/>
    <w:rsid w:val="00726BB4"/>
    <w:rsid w:val="007277CC"/>
    <w:rsid w:val="00727A58"/>
    <w:rsid w:val="00727B36"/>
    <w:rsid w:val="00730399"/>
    <w:rsid w:val="00730A56"/>
    <w:rsid w:val="00732698"/>
    <w:rsid w:val="007326AE"/>
    <w:rsid w:val="00733B65"/>
    <w:rsid w:val="00734C94"/>
    <w:rsid w:val="007373C1"/>
    <w:rsid w:val="00740222"/>
    <w:rsid w:val="007409F6"/>
    <w:rsid w:val="00740A20"/>
    <w:rsid w:val="00740D49"/>
    <w:rsid w:val="007417A7"/>
    <w:rsid w:val="00741ADF"/>
    <w:rsid w:val="00741B49"/>
    <w:rsid w:val="007426CF"/>
    <w:rsid w:val="00742B84"/>
    <w:rsid w:val="00742E87"/>
    <w:rsid w:val="007438B4"/>
    <w:rsid w:val="007467B6"/>
    <w:rsid w:val="0074699E"/>
    <w:rsid w:val="00746ECD"/>
    <w:rsid w:val="00747095"/>
    <w:rsid w:val="00747EAE"/>
    <w:rsid w:val="00750325"/>
    <w:rsid w:val="00750B79"/>
    <w:rsid w:val="00750CA7"/>
    <w:rsid w:val="00751908"/>
    <w:rsid w:val="00751D2B"/>
    <w:rsid w:val="00751F0A"/>
    <w:rsid w:val="00752D89"/>
    <w:rsid w:val="00752EC7"/>
    <w:rsid w:val="00753046"/>
    <w:rsid w:val="00753500"/>
    <w:rsid w:val="00753DA1"/>
    <w:rsid w:val="00753FD3"/>
    <w:rsid w:val="007541B5"/>
    <w:rsid w:val="0075444D"/>
    <w:rsid w:val="0075468E"/>
    <w:rsid w:val="00754AB0"/>
    <w:rsid w:val="0075593C"/>
    <w:rsid w:val="00755A4E"/>
    <w:rsid w:val="00755AFF"/>
    <w:rsid w:val="00756B34"/>
    <w:rsid w:val="00756E40"/>
    <w:rsid w:val="0076032D"/>
    <w:rsid w:val="00760543"/>
    <w:rsid w:val="007614F7"/>
    <w:rsid w:val="007621A2"/>
    <w:rsid w:val="00763B82"/>
    <w:rsid w:val="00763E4B"/>
    <w:rsid w:val="00763F5B"/>
    <w:rsid w:val="00764788"/>
    <w:rsid w:val="007647FE"/>
    <w:rsid w:val="00764A3D"/>
    <w:rsid w:val="00764CD8"/>
    <w:rsid w:val="00764D66"/>
    <w:rsid w:val="0076598E"/>
    <w:rsid w:val="00765FCE"/>
    <w:rsid w:val="0076619C"/>
    <w:rsid w:val="0076664E"/>
    <w:rsid w:val="0076686C"/>
    <w:rsid w:val="00770237"/>
    <w:rsid w:val="00770A47"/>
    <w:rsid w:val="00770DE4"/>
    <w:rsid w:val="0077161A"/>
    <w:rsid w:val="00771A09"/>
    <w:rsid w:val="00771E04"/>
    <w:rsid w:val="00771E3B"/>
    <w:rsid w:val="0077262E"/>
    <w:rsid w:val="00772D07"/>
    <w:rsid w:val="00773930"/>
    <w:rsid w:val="00773C07"/>
    <w:rsid w:val="00774536"/>
    <w:rsid w:val="00774EE1"/>
    <w:rsid w:val="00775286"/>
    <w:rsid w:val="007754A5"/>
    <w:rsid w:val="00775771"/>
    <w:rsid w:val="00776246"/>
    <w:rsid w:val="00776248"/>
    <w:rsid w:val="00776699"/>
    <w:rsid w:val="00776F3E"/>
    <w:rsid w:val="007800A7"/>
    <w:rsid w:val="007805FE"/>
    <w:rsid w:val="00780D3B"/>
    <w:rsid w:val="00780F35"/>
    <w:rsid w:val="0078163A"/>
    <w:rsid w:val="007816CF"/>
    <w:rsid w:val="007822D5"/>
    <w:rsid w:val="0078257A"/>
    <w:rsid w:val="00782E45"/>
    <w:rsid w:val="00783088"/>
    <w:rsid w:val="007834C5"/>
    <w:rsid w:val="007835D5"/>
    <w:rsid w:val="00783DE2"/>
    <w:rsid w:val="007840A2"/>
    <w:rsid w:val="0078472A"/>
    <w:rsid w:val="00784CAD"/>
    <w:rsid w:val="007865D9"/>
    <w:rsid w:val="00786650"/>
    <w:rsid w:val="00787225"/>
    <w:rsid w:val="00787245"/>
    <w:rsid w:val="00787AB6"/>
    <w:rsid w:val="00787F41"/>
    <w:rsid w:val="00791806"/>
    <w:rsid w:val="00792D69"/>
    <w:rsid w:val="0079304A"/>
    <w:rsid w:val="00793101"/>
    <w:rsid w:val="007937FA"/>
    <w:rsid w:val="00793A9A"/>
    <w:rsid w:val="00793BAF"/>
    <w:rsid w:val="00794138"/>
    <w:rsid w:val="00794B9E"/>
    <w:rsid w:val="00794BFC"/>
    <w:rsid w:val="00794E37"/>
    <w:rsid w:val="00795133"/>
    <w:rsid w:val="0079554C"/>
    <w:rsid w:val="00795952"/>
    <w:rsid w:val="00796832"/>
    <w:rsid w:val="007974DD"/>
    <w:rsid w:val="00797520"/>
    <w:rsid w:val="007977B2"/>
    <w:rsid w:val="00797D22"/>
    <w:rsid w:val="007A01EE"/>
    <w:rsid w:val="007A118A"/>
    <w:rsid w:val="007A14B4"/>
    <w:rsid w:val="007A1C96"/>
    <w:rsid w:val="007A225B"/>
    <w:rsid w:val="007A2D46"/>
    <w:rsid w:val="007A364D"/>
    <w:rsid w:val="007A3908"/>
    <w:rsid w:val="007A405C"/>
    <w:rsid w:val="007A447F"/>
    <w:rsid w:val="007A4D4B"/>
    <w:rsid w:val="007A57FA"/>
    <w:rsid w:val="007A5934"/>
    <w:rsid w:val="007A5C24"/>
    <w:rsid w:val="007A62FE"/>
    <w:rsid w:val="007A6640"/>
    <w:rsid w:val="007A6767"/>
    <w:rsid w:val="007A7032"/>
    <w:rsid w:val="007A7D6D"/>
    <w:rsid w:val="007B0B84"/>
    <w:rsid w:val="007B0EC4"/>
    <w:rsid w:val="007B185D"/>
    <w:rsid w:val="007B1B63"/>
    <w:rsid w:val="007B2536"/>
    <w:rsid w:val="007B2537"/>
    <w:rsid w:val="007B27B2"/>
    <w:rsid w:val="007B2B64"/>
    <w:rsid w:val="007B2BFC"/>
    <w:rsid w:val="007B382B"/>
    <w:rsid w:val="007B3F0F"/>
    <w:rsid w:val="007B42BD"/>
    <w:rsid w:val="007B434D"/>
    <w:rsid w:val="007B4943"/>
    <w:rsid w:val="007B5F6B"/>
    <w:rsid w:val="007B77B4"/>
    <w:rsid w:val="007B78E0"/>
    <w:rsid w:val="007C08F7"/>
    <w:rsid w:val="007C0EAB"/>
    <w:rsid w:val="007C10F3"/>
    <w:rsid w:val="007C1161"/>
    <w:rsid w:val="007C156C"/>
    <w:rsid w:val="007C1801"/>
    <w:rsid w:val="007C1BAF"/>
    <w:rsid w:val="007C20FB"/>
    <w:rsid w:val="007C291D"/>
    <w:rsid w:val="007C2C4D"/>
    <w:rsid w:val="007C2E5C"/>
    <w:rsid w:val="007C3102"/>
    <w:rsid w:val="007C3672"/>
    <w:rsid w:val="007C3746"/>
    <w:rsid w:val="007C38F6"/>
    <w:rsid w:val="007C3EDD"/>
    <w:rsid w:val="007C3F13"/>
    <w:rsid w:val="007C419F"/>
    <w:rsid w:val="007C55F4"/>
    <w:rsid w:val="007C56A3"/>
    <w:rsid w:val="007C5901"/>
    <w:rsid w:val="007C5C5C"/>
    <w:rsid w:val="007C5E79"/>
    <w:rsid w:val="007C6F02"/>
    <w:rsid w:val="007C79E9"/>
    <w:rsid w:val="007C7C6A"/>
    <w:rsid w:val="007D028E"/>
    <w:rsid w:val="007D037B"/>
    <w:rsid w:val="007D0511"/>
    <w:rsid w:val="007D0CE0"/>
    <w:rsid w:val="007D0E1D"/>
    <w:rsid w:val="007D0E79"/>
    <w:rsid w:val="007D16D8"/>
    <w:rsid w:val="007D17D7"/>
    <w:rsid w:val="007D2BFC"/>
    <w:rsid w:val="007D2DD3"/>
    <w:rsid w:val="007D2E50"/>
    <w:rsid w:val="007D2E67"/>
    <w:rsid w:val="007D326A"/>
    <w:rsid w:val="007D4381"/>
    <w:rsid w:val="007D4667"/>
    <w:rsid w:val="007D49C4"/>
    <w:rsid w:val="007D4EAC"/>
    <w:rsid w:val="007D5889"/>
    <w:rsid w:val="007D6262"/>
    <w:rsid w:val="007D63F7"/>
    <w:rsid w:val="007D65EE"/>
    <w:rsid w:val="007D71A5"/>
    <w:rsid w:val="007E075B"/>
    <w:rsid w:val="007E0828"/>
    <w:rsid w:val="007E0ACB"/>
    <w:rsid w:val="007E0D72"/>
    <w:rsid w:val="007E0E90"/>
    <w:rsid w:val="007E1067"/>
    <w:rsid w:val="007E110A"/>
    <w:rsid w:val="007E1196"/>
    <w:rsid w:val="007E1BEF"/>
    <w:rsid w:val="007E255E"/>
    <w:rsid w:val="007E2A9A"/>
    <w:rsid w:val="007E35FE"/>
    <w:rsid w:val="007E37DF"/>
    <w:rsid w:val="007E5069"/>
    <w:rsid w:val="007E55FB"/>
    <w:rsid w:val="007E58CA"/>
    <w:rsid w:val="007E5EA4"/>
    <w:rsid w:val="007E653A"/>
    <w:rsid w:val="007E6655"/>
    <w:rsid w:val="007E6FB1"/>
    <w:rsid w:val="007E72BA"/>
    <w:rsid w:val="007E7B1A"/>
    <w:rsid w:val="007E7D9E"/>
    <w:rsid w:val="007F1AE0"/>
    <w:rsid w:val="007F1F45"/>
    <w:rsid w:val="007F28C5"/>
    <w:rsid w:val="007F345C"/>
    <w:rsid w:val="007F39DD"/>
    <w:rsid w:val="007F461F"/>
    <w:rsid w:val="007F6736"/>
    <w:rsid w:val="007F69D2"/>
    <w:rsid w:val="007F6C67"/>
    <w:rsid w:val="007F6CA2"/>
    <w:rsid w:val="007F6CC6"/>
    <w:rsid w:val="007F780A"/>
    <w:rsid w:val="00800190"/>
    <w:rsid w:val="0080028C"/>
    <w:rsid w:val="008009A1"/>
    <w:rsid w:val="00800DD4"/>
    <w:rsid w:val="00801147"/>
    <w:rsid w:val="0080152D"/>
    <w:rsid w:val="008026F2"/>
    <w:rsid w:val="00802E51"/>
    <w:rsid w:val="00803695"/>
    <w:rsid w:val="00803FF6"/>
    <w:rsid w:val="0080494E"/>
    <w:rsid w:val="00804FE2"/>
    <w:rsid w:val="00805313"/>
    <w:rsid w:val="00805752"/>
    <w:rsid w:val="00805CC1"/>
    <w:rsid w:val="008065AD"/>
    <w:rsid w:val="00806F6D"/>
    <w:rsid w:val="0080708B"/>
    <w:rsid w:val="00807756"/>
    <w:rsid w:val="00810162"/>
    <w:rsid w:val="0081067C"/>
    <w:rsid w:val="0081097E"/>
    <w:rsid w:val="0081242F"/>
    <w:rsid w:val="00812777"/>
    <w:rsid w:val="00812965"/>
    <w:rsid w:val="0081340C"/>
    <w:rsid w:val="008136F9"/>
    <w:rsid w:val="0081392E"/>
    <w:rsid w:val="00814A28"/>
    <w:rsid w:val="008166EF"/>
    <w:rsid w:val="00816BA1"/>
    <w:rsid w:val="0081713E"/>
    <w:rsid w:val="0081746D"/>
    <w:rsid w:val="00817A2A"/>
    <w:rsid w:val="00817AA1"/>
    <w:rsid w:val="00817D66"/>
    <w:rsid w:val="008203CE"/>
    <w:rsid w:val="0082100B"/>
    <w:rsid w:val="008212F9"/>
    <w:rsid w:val="008220CB"/>
    <w:rsid w:val="0082282D"/>
    <w:rsid w:val="00823580"/>
    <w:rsid w:val="00825044"/>
    <w:rsid w:val="0082523B"/>
    <w:rsid w:val="00825707"/>
    <w:rsid w:val="00825FDA"/>
    <w:rsid w:val="00826E21"/>
    <w:rsid w:val="0082742E"/>
    <w:rsid w:val="00830033"/>
    <w:rsid w:val="0083177E"/>
    <w:rsid w:val="00831D73"/>
    <w:rsid w:val="008322AC"/>
    <w:rsid w:val="00832897"/>
    <w:rsid w:val="00833711"/>
    <w:rsid w:val="00833713"/>
    <w:rsid w:val="00833926"/>
    <w:rsid w:val="008339BB"/>
    <w:rsid w:val="00833CCE"/>
    <w:rsid w:val="00834CF1"/>
    <w:rsid w:val="008352C2"/>
    <w:rsid w:val="008352F3"/>
    <w:rsid w:val="008358EC"/>
    <w:rsid w:val="00835AC8"/>
    <w:rsid w:val="00836546"/>
    <w:rsid w:val="00836CC2"/>
    <w:rsid w:val="00837310"/>
    <w:rsid w:val="0083780C"/>
    <w:rsid w:val="00837994"/>
    <w:rsid w:val="00837B53"/>
    <w:rsid w:val="00837D43"/>
    <w:rsid w:val="0084088F"/>
    <w:rsid w:val="00840C10"/>
    <w:rsid w:val="00841986"/>
    <w:rsid w:val="00844D39"/>
    <w:rsid w:val="008451A8"/>
    <w:rsid w:val="008458D0"/>
    <w:rsid w:val="0084604F"/>
    <w:rsid w:val="0084656D"/>
    <w:rsid w:val="00846DF2"/>
    <w:rsid w:val="00847DC7"/>
    <w:rsid w:val="00850F46"/>
    <w:rsid w:val="0085126C"/>
    <w:rsid w:val="008521BF"/>
    <w:rsid w:val="00852984"/>
    <w:rsid w:val="00852A97"/>
    <w:rsid w:val="00852C49"/>
    <w:rsid w:val="008547A4"/>
    <w:rsid w:val="00856378"/>
    <w:rsid w:val="0085761F"/>
    <w:rsid w:val="00857739"/>
    <w:rsid w:val="00857B7A"/>
    <w:rsid w:val="00857BEE"/>
    <w:rsid w:val="0086074F"/>
    <w:rsid w:val="00860968"/>
    <w:rsid w:val="0086102A"/>
    <w:rsid w:val="008610CB"/>
    <w:rsid w:val="00861416"/>
    <w:rsid w:val="00861893"/>
    <w:rsid w:val="00861C3C"/>
    <w:rsid w:val="0086208A"/>
    <w:rsid w:val="008621ED"/>
    <w:rsid w:val="008626CC"/>
    <w:rsid w:val="0086326D"/>
    <w:rsid w:val="008643C8"/>
    <w:rsid w:val="0086446F"/>
    <w:rsid w:val="008646C3"/>
    <w:rsid w:val="00864C5C"/>
    <w:rsid w:val="00864E83"/>
    <w:rsid w:val="00864ECE"/>
    <w:rsid w:val="0086517A"/>
    <w:rsid w:val="008654A8"/>
    <w:rsid w:val="008655FB"/>
    <w:rsid w:val="0086565D"/>
    <w:rsid w:val="00865755"/>
    <w:rsid w:val="00866187"/>
    <w:rsid w:val="00866BFA"/>
    <w:rsid w:val="00867380"/>
    <w:rsid w:val="008673C4"/>
    <w:rsid w:val="00867BB9"/>
    <w:rsid w:val="00867D9A"/>
    <w:rsid w:val="00867E99"/>
    <w:rsid w:val="0087005A"/>
    <w:rsid w:val="00871089"/>
    <w:rsid w:val="008714F5"/>
    <w:rsid w:val="008715DF"/>
    <w:rsid w:val="00871A71"/>
    <w:rsid w:val="00871ADE"/>
    <w:rsid w:val="008722C7"/>
    <w:rsid w:val="008722E2"/>
    <w:rsid w:val="00872BAB"/>
    <w:rsid w:val="00872D0F"/>
    <w:rsid w:val="0087470F"/>
    <w:rsid w:val="00874894"/>
    <w:rsid w:val="008751A1"/>
    <w:rsid w:val="00875370"/>
    <w:rsid w:val="008754F9"/>
    <w:rsid w:val="0087574E"/>
    <w:rsid w:val="008759E4"/>
    <w:rsid w:val="00876E85"/>
    <w:rsid w:val="00876EF7"/>
    <w:rsid w:val="00877FAD"/>
    <w:rsid w:val="0088094B"/>
    <w:rsid w:val="00881147"/>
    <w:rsid w:val="008817E2"/>
    <w:rsid w:val="00882540"/>
    <w:rsid w:val="00883210"/>
    <w:rsid w:val="0088341E"/>
    <w:rsid w:val="00883888"/>
    <w:rsid w:val="00883B54"/>
    <w:rsid w:val="008851CA"/>
    <w:rsid w:val="0088550D"/>
    <w:rsid w:val="00885E93"/>
    <w:rsid w:val="00885F7A"/>
    <w:rsid w:val="00885FB4"/>
    <w:rsid w:val="008901CA"/>
    <w:rsid w:val="0089071D"/>
    <w:rsid w:val="00890E27"/>
    <w:rsid w:val="00891062"/>
    <w:rsid w:val="00891815"/>
    <w:rsid w:val="00892204"/>
    <w:rsid w:val="00892993"/>
    <w:rsid w:val="00892C8D"/>
    <w:rsid w:val="00892D2A"/>
    <w:rsid w:val="00892F23"/>
    <w:rsid w:val="0089339F"/>
    <w:rsid w:val="00893AD8"/>
    <w:rsid w:val="00893BE0"/>
    <w:rsid w:val="00893D8F"/>
    <w:rsid w:val="008941CB"/>
    <w:rsid w:val="008947F6"/>
    <w:rsid w:val="008953B7"/>
    <w:rsid w:val="0089541F"/>
    <w:rsid w:val="008955C4"/>
    <w:rsid w:val="00895FD1"/>
    <w:rsid w:val="00896C94"/>
    <w:rsid w:val="00896D04"/>
    <w:rsid w:val="00897771"/>
    <w:rsid w:val="00897FA1"/>
    <w:rsid w:val="008A02AE"/>
    <w:rsid w:val="008A0B48"/>
    <w:rsid w:val="008A1549"/>
    <w:rsid w:val="008A1F71"/>
    <w:rsid w:val="008A28B6"/>
    <w:rsid w:val="008A3605"/>
    <w:rsid w:val="008A3714"/>
    <w:rsid w:val="008A3806"/>
    <w:rsid w:val="008A386C"/>
    <w:rsid w:val="008A3A45"/>
    <w:rsid w:val="008A4DB8"/>
    <w:rsid w:val="008A51BD"/>
    <w:rsid w:val="008A5789"/>
    <w:rsid w:val="008A606F"/>
    <w:rsid w:val="008A7FB4"/>
    <w:rsid w:val="008B0791"/>
    <w:rsid w:val="008B0920"/>
    <w:rsid w:val="008B0DB2"/>
    <w:rsid w:val="008B142D"/>
    <w:rsid w:val="008B1DC8"/>
    <w:rsid w:val="008B1EFA"/>
    <w:rsid w:val="008B23AB"/>
    <w:rsid w:val="008B24D0"/>
    <w:rsid w:val="008B3625"/>
    <w:rsid w:val="008B37C8"/>
    <w:rsid w:val="008B42B9"/>
    <w:rsid w:val="008B45DE"/>
    <w:rsid w:val="008B51C7"/>
    <w:rsid w:val="008B6049"/>
    <w:rsid w:val="008B6EBC"/>
    <w:rsid w:val="008B79D5"/>
    <w:rsid w:val="008B79DB"/>
    <w:rsid w:val="008B7CBA"/>
    <w:rsid w:val="008C0079"/>
    <w:rsid w:val="008C0F3A"/>
    <w:rsid w:val="008C19EC"/>
    <w:rsid w:val="008C1A0D"/>
    <w:rsid w:val="008C1EA3"/>
    <w:rsid w:val="008C2087"/>
    <w:rsid w:val="008C21D0"/>
    <w:rsid w:val="008C2A2B"/>
    <w:rsid w:val="008C316E"/>
    <w:rsid w:val="008C3431"/>
    <w:rsid w:val="008C3DDF"/>
    <w:rsid w:val="008C42D6"/>
    <w:rsid w:val="008C4F4C"/>
    <w:rsid w:val="008C519A"/>
    <w:rsid w:val="008C58B4"/>
    <w:rsid w:val="008C6951"/>
    <w:rsid w:val="008C7A8C"/>
    <w:rsid w:val="008D02B4"/>
    <w:rsid w:val="008D193B"/>
    <w:rsid w:val="008D2220"/>
    <w:rsid w:val="008D2225"/>
    <w:rsid w:val="008D2255"/>
    <w:rsid w:val="008D2DB0"/>
    <w:rsid w:val="008D33D3"/>
    <w:rsid w:val="008D3EE5"/>
    <w:rsid w:val="008D4592"/>
    <w:rsid w:val="008D4C14"/>
    <w:rsid w:val="008D52D3"/>
    <w:rsid w:val="008D54D7"/>
    <w:rsid w:val="008D5A9B"/>
    <w:rsid w:val="008D5B62"/>
    <w:rsid w:val="008D5C3C"/>
    <w:rsid w:val="008D7019"/>
    <w:rsid w:val="008D7CD7"/>
    <w:rsid w:val="008E0181"/>
    <w:rsid w:val="008E01E7"/>
    <w:rsid w:val="008E0C04"/>
    <w:rsid w:val="008E0E8C"/>
    <w:rsid w:val="008E10ED"/>
    <w:rsid w:val="008E14CC"/>
    <w:rsid w:val="008E24A1"/>
    <w:rsid w:val="008E2C4B"/>
    <w:rsid w:val="008E2E7E"/>
    <w:rsid w:val="008E32F5"/>
    <w:rsid w:val="008E37C2"/>
    <w:rsid w:val="008E390F"/>
    <w:rsid w:val="008E40ED"/>
    <w:rsid w:val="008E49FA"/>
    <w:rsid w:val="008E4F78"/>
    <w:rsid w:val="008E53C7"/>
    <w:rsid w:val="008E71C3"/>
    <w:rsid w:val="008E7478"/>
    <w:rsid w:val="008E78AC"/>
    <w:rsid w:val="008F0F4E"/>
    <w:rsid w:val="008F1448"/>
    <w:rsid w:val="008F1727"/>
    <w:rsid w:val="008F1B69"/>
    <w:rsid w:val="008F1CE6"/>
    <w:rsid w:val="008F1F7D"/>
    <w:rsid w:val="008F2E49"/>
    <w:rsid w:val="008F4377"/>
    <w:rsid w:val="008F4979"/>
    <w:rsid w:val="008F6B3F"/>
    <w:rsid w:val="008F6E57"/>
    <w:rsid w:val="008F6FA4"/>
    <w:rsid w:val="008F79D4"/>
    <w:rsid w:val="00900345"/>
    <w:rsid w:val="00900868"/>
    <w:rsid w:val="0090089C"/>
    <w:rsid w:val="00900A6F"/>
    <w:rsid w:val="00900BEA"/>
    <w:rsid w:val="00901636"/>
    <w:rsid w:val="009021F1"/>
    <w:rsid w:val="009029EF"/>
    <w:rsid w:val="00902AF3"/>
    <w:rsid w:val="00902DB9"/>
    <w:rsid w:val="00903067"/>
    <w:rsid w:val="009049B8"/>
    <w:rsid w:val="00904C60"/>
    <w:rsid w:val="00905355"/>
    <w:rsid w:val="00905CC8"/>
    <w:rsid w:val="00905F0D"/>
    <w:rsid w:val="00906CA6"/>
    <w:rsid w:val="00906DE7"/>
    <w:rsid w:val="00907B55"/>
    <w:rsid w:val="00911710"/>
    <w:rsid w:val="00912703"/>
    <w:rsid w:val="00912B34"/>
    <w:rsid w:val="00912C46"/>
    <w:rsid w:val="00913582"/>
    <w:rsid w:val="00913FDF"/>
    <w:rsid w:val="0091421B"/>
    <w:rsid w:val="0091437C"/>
    <w:rsid w:val="009143EB"/>
    <w:rsid w:val="00914B3E"/>
    <w:rsid w:val="00915000"/>
    <w:rsid w:val="00915742"/>
    <w:rsid w:val="00915983"/>
    <w:rsid w:val="009167DC"/>
    <w:rsid w:val="00916E16"/>
    <w:rsid w:val="00916F55"/>
    <w:rsid w:val="00917856"/>
    <w:rsid w:val="00917F12"/>
    <w:rsid w:val="00920C38"/>
    <w:rsid w:val="00920C58"/>
    <w:rsid w:val="00920F4B"/>
    <w:rsid w:val="009219FF"/>
    <w:rsid w:val="00921A61"/>
    <w:rsid w:val="00921AB1"/>
    <w:rsid w:val="00921CC4"/>
    <w:rsid w:val="00921D6B"/>
    <w:rsid w:val="009227C7"/>
    <w:rsid w:val="00922891"/>
    <w:rsid w:val="00922EF7"/>
    <w:rsid w:val="009237A2"/>
    <w:rsid w:val="0092392B"/>
    <w:rsid w:val="00923F3C"/>
    <w:rsid w:val="00924041"/>
    <w:rsid w:val="00924101"/>
    <w:rsid w:val="0092453F"/>
    <w:rsid w:val="00924F80"/>
    <w:rsid w:val="009253DA"/>
    <w:rsid w:val="00925A0F"/>
    <w:rsid w:val="00925BF2"/>
    <w:rsid w:val="00925CD8"/>
    <w:rsid w:val="00926584"/>
    <w:rsid w:val="009270DA"/>
    <w:rsid w:val="0092757C"/>
    <w:rsid w:val="00927EA7"/>
    <w:rsid w:val="00930E9C"/>
    <w:rsid w:val="00930EE1"/>
    <w:rsid w:val="00931ABA"/>
    <w:rsid w:val="00932D21"/>
    <w:rsid w:val="009334B7"/>
    <w:rsid w:val="0093368D"/>
    <w:rsid w:val="009346B1"/>
    <w:rsid w:val="00935C0F"/>
    <w:rsid w:val="00936439"/>
    <w:rsid w:val="00937557"/>
    <w:rsid w:val="00937AE4"/>
    <w:rsid w:val="00937D33"/>
    <w:rsid w:val="0094180C"/>
    <w:rsid w:val="00941A85"/>
    <w:rsid w:val="00941DDE"/>
    <w:rsid w:val="00942013"/>
    <w:rsid w:val="00942DBD"/>
    <w:rsid w:val="009432B9"/>
    <w:rsid w:val="009434F1"/>
    <w:rsid w:val="00943BFF"/>
    <w:rsid w:val="00943FDB"/>
    <w:rsid w:val="009442E0"/>
    <w:rsid w:val="00944DA6"/>
    <w:rsid w:val="00944F9F"/>
    <w:rsid w:val="009454DC"/>
    <w:rsid w:val="00945FE3"/>
    <w:rsid w:val="009462CA"/>
    <w:rsid w:val="00946883"/>
    <w:rsid w:val="00946D6E"/>
    <w:rsid w:val="00947A04"/>
    <w:rsid w:val="00947C7A"/>
    <w:rsid w:val="00950074"/>
    <w:rsid w:val="00950D40"/>
    <w:rsid w:val="00951099"/>
    <w:rsid w:val="00951968"/>
    <w:rsid w:val="009519A9"/>
    <w:rsid w:val="00951F9E"/>
    <w:rsid w:val="00952554"/>
    <w:rsid w:val="00953904"/>
    <w:rsid w:val="0095396F"/>
    <w:rsid w:val="00954535"/>
    <w:rsid w:val="00954A5D"/>
    <w:rsid w:val="00954D8B"/>
    <w:rsid w:val="009558BC"/>
    <w:rsid w:val="00956BCF"/>
    <w:rsid w:val="009570AE"/>
    <w:rsid w:val="009575F0"/>
    <w:rsid w:val="00957938"/>
    <w:rsid w:val="00957D53"/>
    <w:rsid w:val="00960911"/>
    <w:rsid w:val="00961037"/>
    <w:rsid w:val="009612B5"/>
    <w:rsid w:val="009621BD"/>
    <w:rsid w:val="009627EA"/>
    <w:rsid w:val="00963473"/>
    <w:rsid w:val="009638AB"/>
    <w:rsid w:val="00963A6A"/>
    <w:rsid w:val="00964014"/>
    <w:rsid w:val="0096554B"/>
    <w:rsid w:val="0096594E"/>
    <w:rsid w:val="00965C18"/>
    <w:rsid w:val="00965EB4"/>
    <w:rsid w:val="00966474"/>
    <w:rsid w:val="00966FEB"/>
    <w:rsid w:val="009671C7"/>
    <w:rsid w:val="00967301"/>
    <w:rsid w:val="0096739E"/>
    <w:rsid w:val="009675C2"/>
    <w:rsid w:val="00967737"/>
    <w:rsid w:val="009702F7"/>
    <w:rsid w:val="00970869"/>
    <w:rsid w:val="00970DC9"/>
    <w:rsid w:val="00971A06"/>
    <w:rsid w:val="00971B03"/>
    <w:rsid w:val="00972402"/>
    <w:rsid w:val="009728B7"/>
    <w:rsid w:val="00972DD8"/>
    <w:rsid w:val="00973832"/>
    <w:rsid w:val="009747D7"/>
    <w:rsid w:val="009765FA"/>
    <w:rsid w:val="00977709"/>
    <w:rsid w:val="009809E5"/>
    <w:rsid w:val="00980A7B"/>
    <w:rsid w:val="00980D8D"/>
    <w:rsid w:val="009816D3"/>
    <w:rsid w:val="0098192F"/>
    <w:rsid w:val="00982FB5"/>
    <w:rsid w:val="0098348C"/>
    <w:rsid w:val="00983886"/>
    <w:rsid w:val="00983DA5"/>
    <w:rsid w:val="00984B7C"/>
    <w:rsid w:val="00984BEC"/>
    <w:rsid w:val="00984E06"/>
    <w:rsid w:val="00984F21"/>
    <w:rsid w:val="00985A1F"/>
    <w:rsid w:val="00985BAA"/>
    <w:rsid w:val="00985D0C"/>
    <w:rsid w:val="009863DC"/>
    <w:rsid w:val="00986D08"/>
    <w:rsid w:val="0098745A"/>
    <w:rsid w:val="00987FD5"/>
    <w:rsid w:val="0099046A"/>
    <w:rsid w:val="00991864"/>
    <w:rsid w:val="00992495"/>
    <w:rsid w:val="00992872"/>
    <w:rsid w:val="00992FA1"/>
    <w:rsid w:val="00993A3C"/>
    <w:rsid w:val="00995ECB"/>
    <w:rsid w:val="00996388"/>
    <w:rsid w:val="009968BC"/>
    <w:rsid w:val="00997BD3"/>
    <w:rsid w:val="00997C8C"/>
    <w:rsid w:val="009A05CB"/>
    <w:rsid w:val="009A0D1E"/>
    <w:rsid w:val="009A0D85"/>
    <w:rsid w:val="009A18C9"/>
    <w:rsid w:val="009A1E8D"/>
    <w:rsid w:val="009A2356"/>
    <w:rsid w:val="009A24D6"/>
    <w:rsid w:val="009A2CFF"/>
    <w:rsid w:val="009A30E4"/>
    <w:rsid w:val="009A31FE"/>
    <w:rsid w:val="009A3578"/>
    <w:rsid w:val="009A386D"/>
    <w:rsid w:val="009A4B41"/>
    <w:rsid w:val="009A5391"/>
    <w:rsid w:val="009A554A"/>
    <w:rsid w:val="009A646B"/>
    <w:rsid w:val="009A6CEF"/>
    <w:rsid w:val="009A7F17"/>
    <w:rsid w:val="009B0BA9"/>
    <w:rsid w:val="009B0CFC"/>
    <w:rsid w:val="009B1D59"/>
    <w:rsid w:val="009B22EA"/>
    <w:rsid w:val="009B2482"/>
    <w:rsid w:val="009B2BE6"/>
    <w:rsid w:val="009B46D2"/>
    <w:rsid w:val="009B59A9"/>
    <w:rsid w:val="009B6591"/>
    <w:rsid w:val="009B7011"/>
    <w:rsid w:val="009B701B"/>
    <w:rsid w:val="009B7E7A"/>
    <w:rsid w:val="009C0E59"/>
    <w:rsid w:val="009C11CD"/>
    <w:rsid w:val="009C14B4"/>
    <w:rsid w:val="009C4EFF"/>
    <w:rsid w:val="009C50A2"/>
    <w:rsid w:val="009C51B9"/>
    <w:rsid w:val="009C53B1"/>
    <w:rsid w:val="009C57E9"/>
    <w:rsid w:val="009C64B0"/>
    <w:rsid w:val="009C6664"/>
    <w:rsid w:val="009C697C"/>
    <w:rsid w:val="009C6E2D"/>
    <w:rsid w:val="009C7F81"/>
    <w:rsid w:val="009C7FBB"/>
    <w:rsid w:val="009D2940"/>
    <w:rsid w:val="009D2C26"/>
    <w:rsid w:val="009D2CCD"/>
    <w:rsid w:val="009D3B49"/>
    <w:rsid w:val="009D3E76"/>
    <w:rsid w:val="009D409E"/>
    <w:rsid w:val="009D4FC6"/>
    <w:rsid w:val="009D5D2B"/>
    <w:rsid w:val="009D5ECA"/>
    <w:rsid w:val="009D6124"/>
    <w:rsid w:val="009D6A15"/>
    <w:rsid w:val="009D6C60"/>
    <w:rsid w:val="009D74CC"/>
    <w:rsid w:val="009E0FA8"/>
    <w:rsid w:val="009E10E2"/>
    <w:rsid w:val="009E1717"/>
    <w:rsid w:val="009E1C09"/>
    <w:rsid w:val="009E1DC7"/>
    <w:rsid w:val="009E2127"/>
    <w:rsid w:val="009E217C"/>
    <w:rsid w:val="009E2725"/>
    <w:rsid w:val="009E2ABD"/>
    <w:rsid w:val="009E318D"/>
    <w:rsid w:val="009E3320"/>
    <w:rsid w:val="009E3759"/>
    <w:rsid w:val="009E39EB"/>
    <w:rsid w:val="009E3F3D"/>
    <w:rsid w:val="009E4DB2"/>
    <w:rsid w:val="009E5758"/>
    <w:rsid w:val="009E576D"/>
    <w:rsid w:val="009E5859"/>
    <w:rsid w:val="009E6391"/>
    <w:rsid w:val="009E65CD"/>
    <w:rsid w:val="009E6748"/>
    <w:rsid w:val="009E723F"/>
    <w:rsid w:val="009E7425"/>
    <w:rsid w:val="009E7C6C"/>
    <w:rsid w:val="009F0603"/>
    <w:rsid w:val="009F1396"/>
    <w:rsid w:val="009F1F4E"/>
    <w:rsid w:val="009F2AF6"/>
    <w:rsid w:val="009F3366"/>
    <w:rsid w:val="009F360B"/>
    <w:rsid w:val="009F3C80"/>
    <w:rsid w:val="009F45AA"/>
    <w:rsid w:val="009F4653"/>
    <w:rsid w:val="009F48E7"/>
    <w:rsid w:val="009F4BBC"/>
    <w:rsid w:val="009F4CAF"/>
    <w:rsid w:val="009F548E"/>
    <w:rsid w:val="009F57CE"/>
    <w:rsid w:val="009F5FD9"/>
    <w:rsid w:val="009F66BF"/>
    <w:rsid w:val="009F7472"/>
    <w:rsid w:val="009F78BB"/>
    <w:rsid w:val="00A00B03"/>
    <w:rsid w:val="00A01EF4"/>
    <w:rsid w:val="00A02080"/>
    <w:rsid w:val="00A02756"/>
    <w:rsid w:val="00A02A3C"/>
    <w:rsid w:val="00A02C7E"/>
    <w:rsid w:val="00A0325F"/>
    <w:rsid w:val="00A03BDA"/>
    <w:rsid w:val="00A04AF4"/>
    <w:rsid w:val="00A04F87"/>
    <w:rsid w:val="00A05112"/>
    <w:rsid w:val="00A05135"/>
    <w:rsid w:val="00A053EB"/>
    <w:rsid w:val="00A05645"/>
    <w:rsid w:val="00A06717"/>
    <w:rsid w:val="00A0695C"/>
    <w:rsid w:val="00A06CE3"/>
    <w:rsid w:val="00A07303"/>
    <w:rsid w:val="00A0755C"/>
    <w:rsid w:val="00A07D2E"/>
    <w:rsid w:val="00A10171"/>
    <w:rsid w:val="00A10725"/>
    <w:rsid w:val="00A11F38"/>
    <w:rsid w:val="00A1293F"/>
    <w:rsid w:val="00A12CCA"/>
    <w:rsid w:val="00A13089"/>
    <w:rsid w:val="00A1318C"/>
    <w:rsid w:val="00A135FA"/>
    <w:rsid w:val="00A13CCE"/>
    <w:rsid w:val="00A15015"/>
    <w:rsid w:val="00A152BE"/>
    <w:rsid w:val="00A1551B"/>
    <w:rsid w:val="00A155F5"/>
    <w:rsid w:val="00A15D0D"/>
    <w:rsid w:val="00A166BB"/>
    <w:rsid w:val="00A17206"/>
    <w:rsid w:val="00A176DE"/>
    <w:rsid w:val="00A176F9"/>
    <w:rsid w:val="00A17C04"/>
    <w:rsid w:val="00A17CFF"/>
    <w:rsid w:val="00A20EB4"/>
    <w:rsid w:val="00A21106"/>
    <w:rsid w:val="00A225AB"/>
    <w:rsid w:val="00A22F9B"/>
    <w:rsid w:val="00A241F9"/>
    <w:rsid w:val="00A24D2F"/>
    <w:rsid w:val="00A25505"/>
    <w:rsid w:val="00A2551D"/>
    <w:rsid w:val="00A25B33"/>
    <w:rsid w:val="00A25CED"/>
    <w:rsid w:val="00A26026"/>
    <w:rsid w:val="00A261F5"/>
    <w:rsid w:val="00A274CA"/>
    <w:rsid w:val="00A30913"/>
    <w:rsid w:val="00A3280F"/>
    <w:rsid w:val="00A32912"/>
    <w:rsid w:val="00A33F4B"/>
    <w:rsid w:val="00A342E4"/>
    <w:rsid w:val="00A34937"/>
    <w:rsid w:val="00A35ACA"/>
    <w:rsid w:val="00A370F2"/>
    <w:rsid w:val="00A3737C"/>
    <w:rsid w:val="00A3738B"/>
    <w:rsid w:val="00A3780B"/>
    <w:rsid w:val="00A37A02"/>
    <w:rsid w:val="00A37DED"/>
    <w:rsid w:val="00A40280"/>
    <w:rsid w:val="00A40300"/>
    <w:rsid w:val="00A40B8D"/>
    <w:rsid w:val="00A40F65"/>
    <w:rsid w:val="00A41268"/>
    <w:rsid w:val="00A41696"/>
    <w:rsid w:val="00A43297"/>
    <w:rsid w:val="00A4331D"/>
    <w:rsid w:val="00A442C4"/>
    <w:rsid w:val="00A44C33"/>
    <w:rsid w:val="00A44CB8"/>
    <w:rsid w:val="00A44CCC"/>
    <w:rsid w:val="00A45DE4"/>
    <w:rsid w:val="00A46456"/>
    <w:rsid w:val="00A46648"/>
    <w:rsid w:val="00A471A6"/>
    <w:rsid w:val="00A5015C"/>
    <w:rsid w:val="00A518B7"/>
    <w:rsid w:val="00A519D1"/>
    <w:rsid w:val="00A5246B"/>
    <w:rsid w:val="00A5279E"/>
    <w:rsid w:val="00A52B32"/>
    <w:rsid w:val="00A52BD2"/>
    <w:rsid w:val="00A52DDC"/>
    <w:rsid w:val="00A52DDD"/>
    <w:rsid w:val="00A5499C"/>
    <w:rsid w:val="00A551C8"/>
    <w:rsid w:val="00A55675"/>
    <w:rsid w:val="00A55DF9"/>
    <w:rsid w:val="00A56466"/>
    <w:rsid w:val="00A57C2D"/>
    <w:rsid w:val="00A60527"/>
    <w:rsid w:val="00A606BA"/>
    <w:rsid w:val="00A60E7D"/>
    <w:rsid w:val="00A61229"/>
    <w:rsid w:val="00A615AB"/>
    <w:rsid w:val="00A6161E"/>
    <w:rsid w:val="00A617C7"/>
    <w:rsid w:val="00A6182B"/>
    <w:rsid w:val="00A61DCE"/>
    <w:rsid w:val="00A6307F"/>
    <w:rsid w:val="00A63435"/>
    <w:rsid w:val="00A63CDA"/>
    <w:rsid w:val="00A642DB"/>
    <w:rsid w:val="00A643A0"/>
    <w:rsid w:val="00A650BB"/>
    <w:rsid w:val="00A65162"/>
    <w:rsid w:val="00A65835"/>
    <w:rsid w:val="00A65E83"/>
    <w:rsid w:val="00A660F1"/>
    <w:rsid w:val="00A671E1"/>
    <w:rsid w:val="00A701DF"/>
    <w:rsid w:val="00A70536"/>
    <w:rsid w:val="00A7097C"/>
    <w:rsid w:val="00A7313E"/>
    <w:rsid w:val="00A74331"/>
    <w:rsid w:val="00A74386"/>
    <w:rsid w:val="00A74389"/>
    <w:rsid w:val="00A74532"/>
    <w:rsid w:val="00A762EE"/>
    <w:rsid w:val="00A767F6"/>
    <w:rsid w:val="00A76885"/>
    <w:rsid w:val="00A769F0"/>
    <w:rsid w:val="00A77C33"/>
    <w:rsid w:val="00A80689"/>
    <w:rsid w:val="00A80895"/>
    <w:rsid w:val="00A80F4E"/>
    <w:rsid w:val="00A81129"/>
    <w:rsid w:val="00A81D0F"/>
    <w:rsid w:val="00A82A58"/>
    <w:rsid w:val="00A8463C"/>
    <w:rsid w:val="00A848C8"/>
    <w:rsid w:val="00A850C1"/>
    <w:rsid w:val="00A85176"/>
    <w:rsid w:val="00A853C4"/>
    <w:rsid w:val="00A858AD"/>
    <w:rsid w:val="00A85B33"/>
    <w:rsid w:val="00A85E02"/>
    <w:rsid w:val="00A86399"/>
    <w:rsid w:val="00A9014E"/>
    <w:rsid w:val="00A90692"/>
    <w:rsid w:val="00A91001"/>
    <w:rsid w:val="00A91A03"/>
    <w:rsid w:val="00A924E1"/>
    <w:rsid w:val="00A9261A"/>
    <w:rsid w:val="00A92759"/>
    <w:rsid w:val="00A92B07"/>
    <w:rsid w:val="00A92DA4"/>
    <w:rsid w:val="00A930BC"/>
    <w:rsid w:val="00A93274"/>
    <w:rsid w:val="00A936F8"/>
    <w:rsid w:val="00A93C99"/>
    <w:rsid w:val="00A93F68"/>
    <w:rsid w:val="00A94298"/>
    <w:rsid w:val="00A955D1"/>
    <w:rsid w:val="00A963F7"/>
    <w:rsid w:val="00A97533"/>
    <w:rsid w:val="00A976CE"/>
    <w:rsid w:val="00A97ECC"/>
    <w:rsid w:val="00AA0122"/>
    <w:rsid w:val="00AA0868"/>
    <w:rsid w:val="00AA08F0"/>
    <w:rsid w:val="00AA0A08"/>
    <w:rsid w:val="00AA18E7"/>
    <w:rsid w:val="00AA19CD"/>
    <w:rsid w:val="00AA1D48"/>
    <w:rsid w:val="00AA250A"/>
    <w:rsid w:val="00AA2C9E"/>
    <w:rsid w:val="00AA2E99"/>
    <w:rsid w:val="00AA3963"/>
    <w:rsid w:val="00AA3DB0"/>
    <w:rsid w:val="00AA3E1A"/>
    <w:rsid w:val="00AA4022"/>
    <w:rsid w:val="00AA40F4"/>
    <w:rsid w:val="00AA4F22"/>
    <w:rsid w:val="00AA52E8"/>
    <w:rsid w:val="00AA7000"/>
    <w:rsid w:val="00AA7013"/>
    <w:rsid w:val="00AA7AE8"/>
    <w:rsid w:val="00AA7EFF"/>
    <w:rsid w:val="00AB0255"/>
    <w:rsid w:val="00AB13C7"/>
    <w:rsid w:val="00AB15EB"/>
    <w:rsid w:val="00AB1F4E"/>
    <w:rsid w:val="00AB35AB"/>
    <w:rsid w:val="00AB411B"/>
    <w:rsid w:val="00AB446C"/>
    <w:rsid w:val="00AB460B"/>
    <w:rsid w:val="00AB501B"/>
    <w:rsid w:val="00AB51A5"/>
    <w:rsid w:val="00AB5228"/>
    <w:rsid w:val="00AB5269"/>
    <w:rsid w:val="00AB59E2"/>
    <w:rsid w:val="00AB68C3"/>
    <w:rsid w:val="00AB6CE3"/>
    <w:rsid w:val="00AB7076"/>
    <w:rsid w:val="00AB7703"/>
    <w:rsid w:val="00AB7D33"/>
    <w:rsid w:val="00AC09DF"/>
    <w:rsid w:val="00AC0CFF"/>
    <w:rsid w:val="00AC1140"/>
    <w:rsid w:val="00AC2BE3"/>
    <w:rsid w:val="00AC3071"/>
    <w:rsid w:val="00AC33C2"/>
    <w:rsid w:val="00AC371B"/>
    <w:rsid w:val="00AC56FC"/>
    <w:rsid w:val="00AC5C5E"/>
    <w:rsid w:val="00AC63D7"/>
    <w:rsid w:val="00AC6E6D"/>
    <w:rsid w:val="00AC7282"/>
    <w:rsid w:val="00AC7537"/>
    <w:rsid w:val="00AC75B4"/>
    <w:rsid w:val="00AD0698"/>
    <w:rsid w:val="00AD08F5"/>
    <w:rsid w:val="00AD2176"/>
    <w:rsid w:val="00AD24EA"/>
    <w:rsid w:val="00AD2690"/>
    <w:rsid w:val="00AD2F24"/>
    <w:rsid w:val="00AD4AA6"/>
    <w:rsid w:val="00AD519A"/>
    <w:rsid w:val="00AD5434"/>
    <w:rsid w:val="00AD56BC"/>
    <w:rsid w:val="00AD5DCA"/>
    <w:rsid w:val="00AD5F84"/>
    <w:rsid w:val="00AD6224"/>
    <w:rsid w:val="00AD713D"/>
    <w:rsid w:val="00AD7C05"/>
    <w:rsid w:val="00AD7D5B"/>
    <w:rsid w:val="00AD7FA5"/>
    <w:rsid w:val="00AE15E0"/>
    <w:rsid w:val="00AE253B"/>
    <w:rsid w:val="00AE2701"/>
    <w:rsid w:val="00AE3776"/>
    <w:rsid w:val="00AE3E0D"/>
    <w:rsid w:val="00AE3FD0"/>
    <w:rsid w:val="00AE4BAC"/>
    <w:rsid w:val="00AE4D64"/>
    <w:rsid w:val="00AE5426"/>
    <w:rsid w:val="00AE573B"/>
    <w:rsid w:val="00AE5D9D"/>
    <w:rsid w:val="00AE61B6"/>
    <w:rsid w:val="00AE629D"/>
    <w:rsid w:val="00AE6B00"/>
    <w:rsid w:val="00AE75F3"/>
    <w:rsid w:val="00AE7981"/>
    <w:rsid w:val="00AE7FE6"/>
    <w:rsid w:val="00AF03B1"/>
    <w:rsid w:val="00AF0B63"/>
    <w:rsid w:val="00AF0C30"/>
    <w:rsid w:val="00AF1A2B"/>
    <w:rsid w:val="00AF1D93"/>
    <w:rsid w:val="00AF351E"/>
    <w:rsid w:val="00AF3A14"/>
    <w:rsid w:val="00AF3A9A"/>
    <w:rsid w:val="00AF3C32"/>
    <w:rsid w:val="00AF3C83"/>
    <w:rsid w:val="00AF45E6"/>
    <w:rsid w:val="00AF5160"/>
    <w:rsid w:val="00AF52B7"/>
    <w:rsid w:val="00AF5E36"/>
    <w:rsid w:val="00AF68C8"/>
    <w:rsid w:val="00AF6E90"/>
    <w:rsid w:val="00AF748B"/>
    <w:rsid w:val="00AF79BC"/>
    <w:rsid w:val="00AF7F9E"/>
    <w:rsid w:val="00B000C2"/>
    <w:rsid w:val="00B004DA"/>
    <w:rsid w:val="00B00C70"/>
    <w:rsid w:val="00B02605"/>
    <w:rsid w:val="00B02BFD"/>
    <w:rsid w:val="00B03E87"/>
    <w:rsid w:val="00B04377"/>
    <w:rsid w:val="00B0508D"/>
    <w:rsid w:val="00B05908"/>
    <w:rsid w:val="00B05A83"/>
    <w:rsid w:val="00B05D39"/>
    <w:rsid w:val="00B06B36"/>
    <w:rsid w:val="00B06B83"/>
    <w:rsid w:val="00B10169"/>
    <w:rsid w:val="00B12A0B"/>
    <w:rsid w:val="00B13A9E"/>
    <w:rsid w:val="00B14127"/>
    <w:rsid w:val="00B14A2B"/>
    <w:rsid w:val="00B14D81"/>
    <w:rsid w:val="00B15188"/>
    <w:rsid w:val="00B15509"/>
    <w:rsid w:val="00B15759"/>
    <w:rsid w:val="00B17237"/>
    <w:rsid w:val="00B17CF7"/>
    <w:rsid w:val="00B17D05"/>
    <w:rsid w:val="00B202C1"/>
    <w:rsid w:val="00B20762"/>
    <w:rsid w:val="00B209B7"/>
    <w:rsid w:val="00B21588"/>
    <w:rsid w:val="00B22AF9"/>
    <w:rsid w:val="00B22FB9"/>
    <w:rsid w:val="00B23145"/>
    <w:rsid w:val="00B23EF5"/>
    <w:rsid w:val="00B23F86"/>
    <w:rsid w:val="00B24A7A"/>
    <w:rsid w:val="00B24B3F"/>
    <w:rsid w:val="00B257A4"/>
    <w:rsid w:val="00B26C44"/>
    <w:rsid w:val="00B273B9"/>
    <w:rsid w:val="00B305C1"/>
    <w:rsid w:val="00B30842"/>
    <w:rsid w:val="00B30CA7"/>
    <w:rsid w:val="00B311CD"/>
    <w:rsid w:val="00B32DFB"/>
    <w:rsid w:val="00B33138"/>
    <w:rsid w:val="00B33419"/>
    <w:rsid w:val="00B3459E"/>
    <w:rsid w:val="00B3464D"/>
    <w:rsid w:val="00B3534D"/>
    <w:rsid w:val="00B35382"/>
    <w:rsid w:val="00B35517"/>
    <w:rsid w:val="00B3565F"/>
    <w:rsid w:val="00B358B1"/>
    <w:rsid w:val="00B35A23"/>
    <w:rsid w:val="00B35B46"/>
    <w:rsid w:val="00B35FBF"/>
    <w:rsid w:val="00B36297"/>
    <w:rsid w:val="00B3660B"/>
    <w:rsid w:val="00B37344"/>
    <w:rsid w:val="00B3736F"/>
    <w:rsid w:val="00B37815"/>
    <w:rsid w:val="00B37905"/>
    <w:rsid w:val="00B4023B"/>
    <w:rsid w:val="00B4035B"/>
    <w:rsid w:val="00B4187C"/>
    <w:rsid w:val="00B41CAF"/>
    <w:rsid w:val="00B42681"/>
    <w:rsid w:val="00B42979"/>
    <w:rsid w:val="00B42AD8"/>
    <w:rsid w:val="00B42B8D"/>
    <w:rsid w:val="00B42B98"/>
    <w:rsid w:val="00B430B0"/>
    <w:rsid w:val="00B43D78"/>
    <w:rsid w:val="00B451A3"/>
    <w:rsid w:val="00B45577"/>
    <w:rsid w:val="00B46198"/>
    <w:rsid w:val="00B4691C"/>
    <w:rsid w:val="00B46FD1"/>
    <w:rsid w:val="00B47209"/>
    <w:rsid w:val="00B4766B"/>
    <w:rsid w:val="00B4777E"/>
    <w:rsid w:val="00B477FB"/>
    <w:rsid w:val="00B502C9"/>
    <w:rsid w:val="00B502F5"/>
    <w:rsid w:val="00B5046A"/>
    <w:rsid w:val="00B51002"/>
    <w:rsid w:val="00B51B0E"/>
    <w:rsid w:val="00B51B8C"/>
    <w:rsid w:val="00B53FB5"/>
    <w:rsid w:val="00B5451A"/>
    <w:rsid w:val="00B545AF"/>
    <w:rsid w:val="00B54F2A"/>
    <w:rsid w:val="00B551B4"/>
    <w:rsid w:val="00B55E4F"/>
    <w:rsid w:val="00B566DB"/>
    <w:rsid w:val="00B56E27"/>
    <w:rsid w:val="00B571DB"/>
    <w:rsid w:val="00B60BD8"/>
    <w:rsid w:val="00B61443"/>
    <w:rsid w:val="00B63969"/>
    <w:rsid w:val="00B63E7B"/>
    <w:rsid w:val="00B63F99"/>
    <w:rsid w:val="00B6404F"/>
    <w:rsid w:val="00B6446C"/>
    <w:rsid w:val="00B64E38"/>
    <w:rsid w:val="00B64FA8"/>
    <w:rsid w:val="00B65586"/>
    <w:rsid w:val="00B655BA"/>
    <w:rsid w:val="00B65E10"/>
    <w:rsid w:val="00B66232"/>
    <w:rsid w:val="00B663B2"/>
    <w:rsid w:val="00B67A44"/>
    <w:rsid w:val="00B70070"/>
    <w:rsid w:val="00B70361"/>
    <w:rsid w:val="00B70EAE"/>
    <w:rsid w:val="00B712AF"/>
    <w:rsid w:val="00B7140F"/>
    <w:rsid w:val="00B716BE"/>
    <w:rsid w:val="00B718A7"/>
    <w:rsid w:val="00B718FA"/>
    <w:rsid w:val="00B724CD"/>
    <w:rsid w:val="00B72668"/>
    <w:rsid w:val="00B72863"/>
    <w:rsid w:val="00B72BDE"/>
    <w:rsid w:val="00B73938"/>
    <w:rsid w:val="00B740F3"/>
    <w:rsid w:val="00B7546E"/>
    <w:rsid w:val="00B75726"/>
    <w:rsid w:val="00B7666C"/>
    <w:rsid w:val="00B76F39"/>
    <w:rsid w:val="00B7706A"/>
    <w:rsid w:val="00B77B59"/>
    <w:rsid w:val="00B77D4A"/>
    <w:rsid w:val="00B802B4"/>
    <w:rsid w:val="00B80598"/>
    <w:rsid w:val="00B80DBA"/>
    <w:rsid w:val="00B81194"/>
    <w:rsid w:val="00B81363"/>
    <w:rsid w:val="00B819D7"/>
    <w:rsid w:val="00B81FE6"/>
    <w:rsid w:val="00B8233C"/>
    <w:rsid w:val="00B8237F"/>
    <w:rsid w:val="00B8299F"/>
    <w:rsid w:val="00B82A62"/>
    <w:rsid w:val="00B82C36"/>
    <w:rsid w:val="00B82CD9"/>
    <w:rsid w:val="00B838E7"/>
    <w:rsid w:val="00B85735"/>
    <w:rsid w:val="00B85DA1"/>
    <w:rsid w:val="00B86C96"/>
    <w:rsid w:val="00B871C7"/>
    <w:rsid w:val="00B87562"/>
    <w:rsid w:val="00B909A7"/>
    <w:rsid w:val="00B90B9A"/>
    <w:rsid w:val="00B91775"/>
    <w:rsid w:val="00B9235A"/>
    <w:rsid w:val="00B928A8"/>
    <w:rsid w:val="00B93112"/>
    <w:rsid w:val="00B9336B"/>
    <w:rsid w:val="00B94385"/>
    <w:rsid w:val="00B9441A"/>
    <w:rsid w:val="00B9471E"/>
    <w:rsid w:val="00B94D41"/>
    <w:rsid w:val="00B962FA"/>
    <w:rsid w:val="00B963AB"/>
    <w:rsid w:val="00B975BE"/>
    <w:rsid w:val="00B97A8E"/>
    <w:rsid w:val="00BA0277"/>
    <w:rsid w:val="00BA06BB"/>
    <w:rsid w:val="00BA08AB"/>
    <w:rsid w:val="00BA1762"/>
    <w:rsid w:val="00BA24BE"/>
    <w:rsid w:val="00BA2706"/>
    <w:rsid w:val="00BA27D5"/>
    <w:rsid w:val="00BA3706"/>
    <w:rsid w:val="00BA3CCD"/>
    <w:rsid w:val="00BA4E8E"/>
    <w:rsid w:val="00BA5704"/>
    <w:rsid w:val="00BA5783"/>
    <w:rsid w:val="00BA5B89"/>
    <w:rsid w:val="00BA5DC4"/>
    <w:rsid w:val="00BA62FE"/>
    <w:rsid w:val="00BA7029"/>
    <w:rsid w:val="00BA7D24"/>
    <w:rsid w:val="00BB0AA8"/>
    <w:rsid w:val="00BB0B8B"/>
    <w:rsid w:val="00BB12E0"/>
    <w:rsid w:val="00BB12EC"/>
    <w:rsid w:val="00BB2423"/>
    <w:rsid w:val="00BB242B"/>
    <w:rsid w:val="00BB2944"/>
    <w:rsid w:val="00BB3079"/>
    <w:rsid w:val="00BB365C"/>
    <w:rsid w:val="00BB3674"/>
    <w:rsid w:val="00BB507C"/>
    <w:rsid w:val="00BB509E"/>
    <w:rsid w:val="00BB5AC9"/>
    <w:rsid w:val="00BB5B23"/>
    <w:rsid w:val="00BB5B6F"/>
    <w:rsid w:val="00BB5DD0"/>
    <w:rsid w:val="00BB66DA"/>
    <w:rsid w:val="00BB6E60"/>
    <w:rsid w:val="00BB736A"/>
    <w:rsid w:val="00BB769D"/>
    <w:rsid w:val="00BB77B7"/>
    <w:rsid w:val="00BB7B73"/>
    <w:rsid w:val="00BB7DBA"/>
    <w:rsid w:val="00BC1949"/>
    <w:rsid w:val="00BC19B3"/>
    <w:rsid w:val="00BC1BE2"/>
    <w:rsid w:val="00BC1E4C"/>
    <w:rsid w:val="00BC2116"/>
    <w:rsid w:val="00BC27C8"/>
    <w:rsid w:val="00BC29ED"/>
    <w:rsid w:val="00BC3738"/>
    <w:rsid w:val="00BC4111"/>
    <w:rsid w:val="00BC4203"/>
    <w:rsid w:val="00BC4C46"/>
    <w:rsid w:val="00BC4D4B"/>
    <w:rsid w:val="00BC4EBD"/>
    <w:rsid w:val="00BC50B7"/>
    <w:rsid w:val="00BC62E4"/>
    <w:rsid w:val="00BC7474"/>
    <w:rsid w:val="00BC781F"/>
    <w:rsid w:val="00BD20BE"/>
    <w:rsid w:val="00BD2823"/>
    <w:rsid w:val="00BD3E7F"/>
    <w:rsid w:val="00BD4078"/>
    <w:rsid w:val="00BD4A63"/>
    <w:rsid w:val="00BD4B3B"/>
    <w:rsid w:val="00BD521E"/>
    <w:rsid w:val="00BD589C"/>
    <w:rsid w:val="00BD59A4"/>
    <w:rsid w:val="00BD5BAB"/>
    <w:rsid w:val="00BD5D56"/>
    <w:rsid w:val="00BD5F4C"/>
    <w:rsid w:val="00BD5F5C"/>
    <w:rsid w:val="00BD6F9D"/>
    <w:rsid w:val="00BD7958"/>
    <w:rsid w:val="00BD7E0D"/>
    <w:rsid w:val="00BD7FB1"/>
    <w:rsid w:val="00BE0943"/>
    <w:rsid w:val="00BE0EA9"/>
    <w:rsid w:val="00BE0EF4"/>
    <w:rsid w:val="00BE13DB"/>
    <w:rsid w:val="00BE18BE"/>
    <w:rsid w:val="00BE1BA4"/>
    <w:rsid w:val="00BE1F5E"/>
    <w:rsid w:val="00BE20BE"/>
    <w:rsid w:val="00BE2438"/>
    <w:rsid w:val="00BE35A4"/>
    <w:rsid w:val="00BE35AD"/>
    <w:rsid w:val="00BE4DDB"/>
    <w:rsid w:val="00BE4E28"/>
    <w:rsid w:val="00BE58F0"/>
    <w:rsid w:val="00BE66E7"/>
    <w:rsid w:val="00BE7126"/>
    <w:rsid w:val="00BE7321"/>
    <w:rsid w:val="00BE7561"/>
    <w:rsid w:val="00BE775D"/>
    <w:rsid w:val="00BE782F"/>
    <w:rsid w:val="00BE7ED0"/>
    <w:rsid w:val="00BF146A"/>
    <w:rsid w:val="00BF1527"/>
    <w:rsid w:val="00BF1D32"/>
    <w:rsid w:val="00BF1F0C"/>
    <w:rsid w:val="00BF2EB3"/>
    <w:rsid w:val="00BF3A69"/>
    <w:rsid w:val="00BF3C0E"/>
    <w:rsid w:val="00BF497B"/>
    <w:rsid w:val="00BF4A2B"/>
    <w:rsid w:val="00BF4AC2"/>
    <w:rsid w:val="00BF4CE5"/>
    <w:rsid w:val="00BF4EF4"/>
    <w:rsid w:val="00BF50FF"/>
    <w:rsid w:val="00BF5E40"/>
    <w:rsid w:val="00BF6876"/>
    <w:rsid w:val="00BF6DDA"/>
    <w:rsid w:val="00BF7B31"/>
    <w:rsid w:val="00C011C7"/>
    <w:rsid w:val="00C01241"/>
    <w:rsid w:val="00C016C3"/>
    <w:rsid w:val="00C018C2"/>
    <w:rsid w:val="00C02241"/>
    <w:rsid w:val="00C022F3"/>
    <w:rsid w:val="00C0255F"/>
    <w:rsid w:val="00C026F8"/>
    <w:rsid w:val="00C028A9"/>
    <w:rsid w:val="00C02A07"/>
    <w:rsid w:val="00C02BAE"/>
    <w:rsid w:val="00C02F8C"/>
    <w:rsid w:val="00C03392"/>
    <w:rsid w:val="00C03A0C"/>
    <w:rsid w:val="00C047DE"/>
    <w:rsid w:val="00C048EE"/>
    <w:rsid w:val="00C05C33"/>
    <w:rsid w:val="00C05CE6"/>
    <w:rsid w:val="00C05CEF"/>
    <w:rsid w:val="00C06C53"/>
    <w:rsid w:val="00C1011F"/>
    <w:rsid w:val="00C10228"/>
    <w:rsid w:val="00C118D2"/>
    <w:rsid w:val="00C11982"/>
    <w:rsid w:val="00C1240C"/>
    <w:rsid w:val="00C13603"/>
    <w:rsid w:val="00C137AC"/>
    <w:rsid w:val="00C13CFD"/>
    <w:rsid w:val="00C1446C"/>
    <w:rsid w:val="00C14A0C"/>
    <w:rsid w:val="00C15695"/>
    <w:rsid w:val="00C15876"/>
    <w:rsid w:val="00C15BB2"/>
    <w:rsid w:val="00C1662D"/>
    <w:rsid w:val="00C168CD"/>
    <w:rsid w:val="00C16A78"/>
    <w:rsid w:val="00C16ACA"/>
    <w:rsid w:val="00C170A5"/>
    <w:rsid w:val="00C17332"/>
    <w:rsid w:val="00C17F2E"/>
    <w:rsid w:val="00C212ED"/>
    <w:rsid w:val="00C215E9"/>
    <w:rsid w:val="00C21C9B"/>
    <w:rsid w:val="00C21E5C"/>
    <w:rsid w:val="00C2239E"/>
    <w:rsid w:val="00C22EF4"/>
    <w:rsid w:val="00C23E6B"/>
    <w:rsid w:val="00C24040"/>
    <w:rsid w:val="00C2429D"/>
    <w:rsid w:val="00C24BDD"/>
    <w:rsid w:val="00C25061"/>
    <w:rsid w:val="00C262AA"/>
    <w:rsid w:val="00C263E3"/>
    <w:rsid w:val="00C26C4D"/>
    <w:rsid w:val="00C27120"/>
    <w:rsid w:val="00C2720A"/>
    <w:rsid w:val="00C277D7"/>
    <w:rsid w:val="00C27DDE"/>
    <w:rsid w:val="00C30CB8"/>
    <w:rsid w:val="00C31028"/>
    <w:rsid w:val="00C31973"/>
    <w:rsid w:val="00C31D71"/>
    <w:rsid w:val="00C3219F"/>
    <w:rsid w:val="00C325FF"/>
    <w:rsid w:val="00C326E3"/>
    <w:rsid w:val="00C32B73"/>
    <w:rsid w:val="00C348AD"/>
    <w:rsid w:val="00C35189"/>
    <w:rsid w:val="00C35FAF"/>
    <w:rsid w:val="00C35FEE"/>
    <w:rsid w:val="00C36A59"/>
    <w:rsid w:val="00C36EEE"/>
    <w:rsid w:val="00C374A0"/>
    <w:rsid w:val="00C376E2"/>
    <w:rsid w:val="00C378AF"/>
    <w:rsid w:val="00C37AEC"/>
    <w:rsid w:val="00C41373"/>
    <w:rsid w:val="00C41949"/>
    <w:rsid w:val="00C41D54"/>
    <w:rsid w:val="00C42EFB"/>
    <w:rsid w:val="00C42F41"/>
    <w:rsid w:val="00C4300C"/>
    <w:rsid w:val="00C4382D"/>
    <w:rsid w:val="00C442CA"/>
    <w:rsid w:val="00C446E6"/>
    <w:rsid w:val="00C45AF8"/>
    <w:rsid w:val="00C464A6"/>
    <w:rsid w:val="00C46A02"/>
    <w:rsid w:val="00C46BF6"/>
    <w:rsid w:val="00C47EC9"/>
    <w:rsid w:val="00C50061"/>
    <w:rsid w:val="00C5008A"/>
    <w:rsid w:val="00C5018D"/>
    <w:rsid w:val="00C52CA6"/>
    <w:rsid w:val="00C54232"/>
    <w:rsid w:val="00C546DA"/>
    <w:rsid w:val="00C54934"/>
    <w:rsid w:val="00C54C29"/>
    <w:rsid w:val="00C55392"/>
    <w:rsid w:val="00C567FE"/>
    <w:rsid w:val="00C56855"/>
    <w:rsid w:val="00C56CA2"/>
    <w:rsid w:val="00C56FA7"/>
    <w:rsid w:val="00C57821"/>
    <w:rsid w:val="00C6013C"/>
    <w:rsid w:val="00C60D64"/>
    <w:rsid w:val="00C618F8"/>
    <w:rsid w:val="00C61951"/>
    <w:rsid w:val="00C62AC9"/>
    <w:rsid w:val="00C6316F"/>
    <w:rsid w:val="00C63735"/>
    <w:rsid w:val="00C64291"/>
    <w:rsid w:val="00C656B6"/>
    <w:rsid w:val="00C6669B"/>
    <w:rsid w:val="00C71332"/>
    <w:rsid w:val="00C71728"/>
    <w:rsid w:val="00C71999"/>
    <w:rsid w:val="00C722A8"/>
    <w:rsid w:val="00C72C30"/>
    <w:rsid w:val="00C737E3"/>
    <w:rsid w:val="00C742E2"/>
    <w:rsid w:val="00C752F6"/>
    <w:rsid w:val="00C75BC5"/>
    <w:rsid w:val="00C76EEE"/>
    <w:rsid w:val="00C7785D"/>
    <w:rsid w:val="00C77BFB"/>
    <w:rsid w:val="00C77F28"/>
    <w:rsid w:val="00C802E2"/>
    <w:rsid w:val="00C80950"/>
    <w:rsid w:val="00C80D4E"/>
    <w:rsid w:val="00C81557"/>
    <w:rsid w:val="00C8162B"/>
    <w:rsid w:val="00C81677"/>
    <w:rsid w:val="00C834BE"/>
    <w:rsid w:val="00C83F66"/>
    <w:rsid w:val="00C86921"/>
    <w:rsid w:val="00C86B9C"/>
    <w:rsid w:val="00C8748F"/>
    <w:rsid w:val="00C879CC"/>
    <w:rsid w:val="00C87D2B"/>
    <w:rsid w:val="00C9084A"/>
    <w:rsid w:val="00C90980"/>
    <w:rsid w:val="00C90E16"/>
    <w:rsid w:val="00C91315"/>
    <w:rsid w:val="00C91680"/>
    <w:rsid w:val="00C91CBB"/>
    <w:rsid w:val="00C9239E"/>
    <w:rsid w:val="00C927B4"/>
    <w:rsid w:val="00C92AAC"/>
    <w:rsid w:val="00C92F80"/>
    <w:rsid w:val="00C92F81"/>
    <w:rsid w:val="00C93510"/>
    <w:rsid w:val="00C93689"/>
    <w:rsid w:val="00C93D50"/>
    <w:rsid w:val="00C945E2"/>
    <w:rsid w:val="00C949A3"/>
    <w:rsid w:val="00C94FBC"/>
    <w:rsid w:val="00C9501B"/>
    <w:rsid w:val="00C9607B"/>
    <w:rsid w:val="00C96E0D"/>
    <w:rsid w:val="00C974B6"/>
    <w:rsid w:val="00C9757B"/>
    <w:rsid w:val="00C97860"/>
    <w:rsid w:val="00C97E8D"/>
    <w:rsid w:val="00CA23A6"/>
    <w:rsid w:val="00CA259C"/>
    <w:rsid w:val="00CA2A57"/>
    <w:rsid w:val="00CA3222"/>
    <w:rsid w:val="00CA3533"/>
    <w:rsid w:val="00CA3738"/>
    <w:rsid w:val="00CA4046"/>
    <w:rsid w:val="00CA43A1"/>
    <w:rsid w:val="00CA4F51"/>
    <w:rsid w:val="00CA5A5E"/>
    <w:rsid w:val="00CA63E1"/>
    <w:rsid w:val="00CA6536"/>
    <w:rsid w:val="00CA668B"/>
    <w:rsid w:val="00CA6D8E"/>
    <w:rsid w:val="00CA7183"/>
    <w:rsid w:val="00CA7A3E"/>
    <w:rsid w:val="00CA7F65"/>
    <w:rsid w:val="00CB0D40"/>
    <w:rsid w:val="00CB1090"/>
    <w:rsid w:val="00CB1105"/>
    <w:rsid w:val="00CB24A4"/>
    <w:rsid w:val="00CB2A99"/>
    <w:rsid w:val="00CB2D01"/>
    <w:rsid w:val="00CB2EBB"/>
    <w:rsid w:val="00CB386F"/>
    <w:rsid w:val="00CB3AC3"/>
    <w:rsid w:val="00CB3BBA"/>
    <w:rsid w:val="00CB3D4A"/>
    <w:rsid w:val="00CB40A5"/>
    <w:rsid w:val="00CB44D5"/>
    <w:rsid w:val="00CB5ADA"/>
    <w:rsid w:val="00CB5B6D"/>
    <w:rsid w:val="00CB6215"/>
    <w:rsid w:val="00CB7AD9"/>
    <w:rsid w:val="00CB7B98"/>
    <w:rsid w:val="00CC0C92"/>
    <w:rsid w:val="00CC0EE9"/>
    <w:rsid w:val="00CC1368"/>
    <w:rsid w:val="00CC181C"/>
    <w:rsid w:val="00CC2A92"/>
    <w:rsid w:val="00CC3A16"/>
    <w:rsid w:val="00CC3F14"/>
    <w:rsid w:val="00CC408F"/>
    <w:rsid w:val="00CC42B2"/>
    <w:rsid w:val="00CC44F8"/>
    <w:rsid w:val="00CC467A"/>
    <w:rsid w:val="00CC5DD0"/>
    <w:rsid w:val="00CC66FB"/>
    <w:rsid w:val="00CC70AC"/>
    <w:rsid w:val="00CC7F8A"/>
    <w:rsid w:val="00CD1288"/>
    <w:rsid w:val="00CD1310"/>
    <w:rsid w:val="00CD1AD6"/>
    <w:rsid w:val="00CD1E76"/>
    <w:rsid w:val="00CD273A"/>
    <w:rsid w:val="00CD27AE"/>
    <w:rsid w:val="00CD3E8F"/>
    <w:rsid w:val="00CD3F90"/>
    <w:rsid w:val="00CD4E98"/>
    <w:rsid w:val="00CD4F8D"/>
    <w:rsid w:val="00CD533B"/>
    <w:rsid w:val="00CD6273"/>
    <w:rsid w:val="00CD700E"/>
    <w:rsid w:val="00CD720E"/>
    <w:rsid w:val="00CD782C"/>
    <w:rsid w:val="00CD78DB"/>
    <w:rsid w:val="00CE0312"/>
    <w:rsid w:val="00CE0608"/>
    <w:rsid w:val="00CE09C1"/>
    <w:rsid w:val="00CE13B8"/>
    <w:rsid w:val="00CE16CD"/>
    <w:rsid w:val="00CE1838"/>
    <w:rsid w:val="00CE1E1F"/>
    <w:rsid w:val="00CE2174"/>
    <w:rsid w:val="00CE2777"/>
    <w:rsid w:val="00CE369D"/>
    <w:rsid w:val="00CE37C7"/>
    <w:rsid w:val="00CE460B"/>
    <w:rsid w:val="00CE4914"/>
    <w:rsid w:val="00CE49B3"/>
    <w:rsid w:val="00CE5347"/>
    <w:rsid w:val="00CE7263"/>
    <w:rsid w:val="00CE79C4"/>
    <w:rsid w:val="00CF02E2"/>
    <w:rsid w:val="00CF060F"/>
    <w:rsid w:val="00CF0D75"/>
    <w:rsid w:val="00CF1644"/>
    <w:rsid w:val="00CF1E4F"/>
    <w:rsid w:val="00CF212D"/>
    <w:rsid w:val="00CF217E"/>
    <w:rsid w:val="00CF305C"/>
    <w:rsid w:val="00CF362D"/>
    <w:rsid w:val="00CF3EC5"/>
    <w:rsid w:val="00CF41FD"/>
    <w:rsid w:val="00CF4C6A"/>
    <w:rsid w:val="00CF4E1B"/>
    <w:rsid w:val="00D00533"/>
    <w:rsid w:val="00D005A6"/>
    <w:rsid w:val="00D01379"/>
    <w:rsid w:val="00D02593"/>
    <w:rsid w:val="00D02941"/>
    <w:rsid w:val="00D0366D"/>
    <w:rsid w:val="00D03748"/>
    <w:rsid w:val="00D05092"/>
    <w:rsid w:val="00D05A9E"/>
    <w:rsid w:val="00D05C22"/>
    <w:rsid w:val="00D05F12"/>
    <w:rsid w:val="00D07055"/>
    <w:rsid w:val="00D07309"/>
    <w:rsid w:val="00D07C75"/>
    <w:rsid w:val="00D10C81"/>
    <w:rsid w:val="00D10D0F"/>
    <w:rsid w:val="00D1102F"/>
    <w:rsid w:val="00D11334"/>
    <w:rsid w:val="00D12497"/>
    <w:rsid w:val="00D12A45"/>
    <w:rsid w:val="00D130A5"/>
    <w:rsid w:val="00D13EAF"/>
    <w:rsid w:val="00D14C78"/>
    <w:rsid w:val="00D14FA4"/>
    <w:rsid w:val="00D15159"/>
    <w:rsid w:val="00D16526"/>
    <w:rsid w:val="00D167FD"/>
    <w:rsid w:val="00D17484"/>
    <w:rsid w:val="00D17978"/>
    <w:rsid w:val="00D204C8"/>
    <w:rsid w:val="00D20C6C"/>
    <w:rsid w:val="00D2183F"/>
    <w:rsid w:val="00D2199C"/>
    <w:rsid w:val="00D21C41"/>
    <w:rsid w:val="00D21C54"/>
    <w:rsid w:val="00D21EEA"/>
    <w:rsid w:val="00D22232"/>
    <w:rsid w:val="00D22D4A"/>
    <w:rsid w:val="00D230B4"/>
    <w:rsid w:val="00D23E7E"/>
    <w:rsid w:val="00D23FA7"/>
    <w:rsid w:val="00D24B54"/>
    <w:rsid w:val="00D26153"/>
    <w:rsid w:val="00D261F0"/>
    <w:rsid w:val="00D2629A"/>
    <w:rsid w:val="00D2658E"/>
    <w:rsid w:val="00D26C68"/>
    <w:rsid w:val="00D27B2E"/>
    <w:rsid w:val="00D27B31"/>
    <w:rsid w:val="00D27CAA"/>
    <w:rsid w:val="00D27E52"/>
    <w:rsid w:val="00D27EE5"/>
    <w:rsid w:val="00D30E2B"/>
    <w:rsid w:val="00D31652"/>
    <w:rsid w:val="00D31A54"/>
    <w:rsid w:val="00D31EDD"/>
    <w:rsid w:val="00D32D82"/>
    <w:rsid w:val="00D3301D"/>
    <w:rsid w:val="00D330CD"/>
    <w:rsid w:val="00D33EB3"/>
    <w:rsid w:val="00D344F2"/>
    <w:rsid w:val="00D350EE"/>
    <w:rsid w:val="00D36405"/>
    <w:rsid w:val="00D36796"/>
    <w:rsid w:val="00D37012"/>
    <w:rsid w:val="00D3715D"/>
    <w:rsid w:val="00D400E3"/>
    <w:rsid w:val="00D41F3E"/>
    <w:rsid w:val="00D4372D"/>
    <w:rsid w:val="00D43F5B"/>
    <w:rsid w:val="00D4426E"/>
    <w:rsid w:val="00D44ADD"/>
    <w:rsid w:val="00D44F73"/>
    <w:rsid w:val="00D44F9F"/>
    <w:rsid w:val="00D450CD"/>
    <w:rsid w:val="00D459DC"/>
    <w:rsid w:val="00D45F3B"/>
    <w:rsid w:val="00D46388"/>
    <w:rsid w:val="00D502A8"/>
    <w:rsid w:val="00D50ECE"/>
    <w:rsid w:val="00D513F5"/>
    <w:rsid w:val="00D51D4A"/>
    <w:rsid w:val="00D520D5"/>
    <w:rsid w:val="00D52F35"/>
    <w:rsid w:val="00D52FB3"/>
    <w:rsid w:val="00D537B2"/>
    <w:rsid w:val="00D53E7D"/>
    <w:rsid w:val="00D541F8"/>
    <w:rsid w:val="00D5434C"/>
    <w:rsid w:val="00D558C0"/>
    <w:rsid w:val="00D558D6"/>
    <w:rsid w:val="00D56488"/>
    <w:rsid w:val="00D56E5E"/>
    <w:rsid w:val="00D571E8"/>
    <w:rsid w:val="00D573DC"/>
    <w:rsid w:val="00D60B1A"/>
    <w:rsid w:val="00D615C2"/>
    <w:rsid w:val="00D61EA8"/>
    <w:rsid w:val="00D622BF"/>
    <w:rsid w:val="00D626DB"/>
    <w:rsid w:val="00D62A40"/>
    <w:rsid w:val="00D62C5D"/>
    <w:rsid w:val="00D638F7"/>
    <w:rsid w:val="00D63961"/>
    <w:rsid w:val="00D63CCE"/>
    <w:rsid w:val="00D64036"/>
    <w:rsid w:val="00D6554B"/>
    <w:rsid w:val="00D65976"/>
    <w:rsid w:val="00D65C31"/>
    <w:rsid w:val="00D65C94"/>
    <w:rsid w:val="00D66187"/>
    <w:rsid w:val="00D66202"/>
    <w:rsid w:val="00D66328"/>
    <w:rsid w:val="00D664B9"/>
    <w:rsid w:val="00D6682C"/>
    <w:rsid w:val="00D66A5A"/>
    <w:rsid w:val="00D66F6D"/>
    <w:rsid w:val="00D66FAF"/>
    <w:rsid w:val="00D679FD"/>
    <w:rsid w:val="00D67B2E"/>
    <w:rsid w:val="00D702B5"/>
    <w:rsid w:val="00D70501"/>
    <w:rsid w:val="00D70D2D"/>
    <w:rsid w:val="00D70E20"/>
    <w:rsid w:val="00D70E22"/>
    <w:rsid w:val="00D7199B"/>
    <w:rsid w:val="00D72DF5"/>
    <w:rsid w:val="00D7314B"/>
    <w:rsid w:val="00D738FA"/>
    <w:rsid w:val="00D7405C"/>
    <w:rsid w:val="00D74697"/>
    <w:rsid w:val="00D74B89"/>
    <w:rsid w:val="00D74E72"/>
    <w:rsid w:val="00D74FC1"/>
    <w:rsid w:val="00D762F9"/>
    <w:rsid w:val="00D77E84"/>
    <w:rsid w:val="00D80243"/>
    <w:rsid w:val="00D8069D"/>
    <w:rsid w:val="00D81180"/>
    <w:rsid w:val="00D8155E"/>
    <w:rsid w:val="00D81697"/>
    <w:rsid w:val="00D81B50"/>
    <w:rsid w:val="00D81DF3"/>
    <w:rsid w:val="00D81F2D"/>
    <w:rsid w:val="00D823FE"/>
    <w:rsid w:val="00D82451"/>
    <w:rsid w:val="00D82737"/>
    <w:rsid w:val="00D828FA"/>
    <w:rsid w:val="00D82911"/>
    <w:rsid w:val="00D82C0B"/>
    <w:rsid w:val="00D82E47"/>
    <w:rsid w:val="00D83F9A"/>
    <w:rsid w:val="00D84AAE"/>
    <w:rsid w:val="00D84B59"/>
    <w:rsid w:val="00D84D38"/>
    <w:rsid w:val="00D85A00"/>
    <w:rsid w:val="00D85A45"/>
    <w:rsid w:val="00D85AFC"/>
    <w:rsid w:val="00D85D0C"/>
    <w:rsid w:val="00D877C0"/>
    <w:rsid w:val="00D87F5E"/>
    <w:rsid w:val="00D91118"/>
    <w:rsid w:val="00D91C0F"/>
    <w:rsid w:val="00D93054"/>
    <w:rsid w:val="00D93779"/>
    <w:rsid w:val="00D9420C"/>
    <w:rsid w:val="00D943B7"/>
    <w:rsid w:val="00D957B8"/>
    <w:rsid w:val="00D96178"/>
    <w:rsid w:val="00D96BFA"/>
    <w:rsid w:val="00D96D5E"/>
    <w:rsid w:val="00DA0897"/>
    <w:rsid w:val="00DA0BF4"/>
    <w:rsid w:val="00DA160B"/>
    <w:rsid w:val="00DA1B07"/>
    <w:rsid w:val="00DA20E2"/>
    <w:rsid w:val="00DA21E7"/>
    <w:rsid w:val="00DA2689"/>
    <w:rsid w:val="00DA3117"/>
    <w:rsid w:val="00DA325C"/>
    <w:rsid w:val="00DA4165"/>
    <w:rsid w:val="00DA4512"/>
    <w:rsid w:val="00DA50C0"/>
    <w:rsid w:val="00DA5425"/>
    <w:rsid w:val="00DA5811"/>
    <w:rsid w:val="00DA6B32"/>
    <w:rsid w:val="00DA6B6C"/>
    <w:rsid w:val="00DB074A"/>
    <w:rsid w:val="00DB0D4B"/>
    <w:rsid w:val="00DB1383"/>
    <w:rsid w:val="00DB1B89"/>
    <w:rsid w:val="00DB20EE"/>
    <w:rsid w:val="00DB2770"/>
    <w:rsid w:val="00DB3A71"/>
    <w:rsid w:val="00DB3AA1"/>
    <w:rsid w:val="00DB4F25"/>
    <w:rsid w:val="00DB58CC"/>
    <w:rsid w:val="00DB5C4B"/>
    <w:rsid w:val="00DB615E"/>
    <w:rsid w:val="00DB61E7"/>
    <w:rsid w:val="00DB7B16"/>
    <w:rsid w:val="00DB7B5D"/>
    <w:rsid w:val="00DC027B"/>
    <w:rsid w:val="00DC13C7"/>
    <w:rsid w:val="00DC2085"/>
    <w:rsid w:val="00DC3160"/>
    <w:rsid w:val="00DC33B6"/>
    <w:rsid w:val="00DC4A6B"/>
    <w:rsid w:val="00DC54AD"/>
    <w:rsid w:val="00DC550F"/>
    <w:rsid w:val="00DC5CDD"/>
    <w:rsid w:val="00DC6172"/>
    <w:rsid w:val="00DC762B"/>
    <w:rsid w:val="00DD23E7"/>
    <w:rsid w:val="00DD2D78"/>
    <w:rsid w:val="00DD4912"/>
    <w:rsid w:val="00DD4C10"/>
    <w:rsid w:val="00DD503A"/>
    <w:rsid w:val="00DD57CE"/>
    <w:rsid w:val="00DD6B76"/>
    <w:rsid w:val="00DD796C"/>
    <w:rsid w:val="00DE0223"/>
    <w:rsid w:val="00DE09DB"/>
    <w:rsid w:val="00DE1C5A"/>
    <w:rsid w:val="00DE25DC"/>
    <w:rsid w:val="00DE2FF0"/>
    <w:rsid w:val="00DE3099"/>
    <w:rsid w:val="00DE3226"/>
    <w:rsid w:val="00DE41BB"/>
    <w:rsid w:val="00DE4304"/>
    <w:rsid w:val="00DE463F"/>
    <w:rsid w:val="00DE4C8F"/>
    <w:rsid w:val="00DE56E3"/>
    <w:rsid w:val="00DE5F17"/>
    <w:rsid w:val="00DE650C"/>
    <w:rsid w:val="00DE6B25"/>
    <w:rsid w:val="00DE70B4"/>
    <w:rsid w:val="00DE716F"/>
    <w:rsid w:val="00DF1DC3"/>
    <w:rsid w:val="00DF3AB2"/>
    <w:rsid w:val="00DF45E8"/>
    <w:rsid w:val="00DF4D20"/>
    <w:rsid w:val="00DF4EDF"/>
    <w:rsid w:val="00DF535A"/>
    <w:rsid w:val="00DF6710"/>
    <w:rsid w:val="00DF6763"/>
    <w:rsid w:val="00DF6E7B"/>
    <w:rsid w:val="00E00165"/>
    <w:rsid w:val="00E00FFF"/>
    <w:rsid w:val="00E01571"/>
    <w:rsid w:val="00E018BF"/>
    <w:rsid w:val="00E02C1E"/>
    <w:rsid w:val="00E02E2C"/>
    <w:rsid w:val="00E02FE2"/>
    <w:rsid w:val="00E03861"/>
    <w:rsid w:val="00E044D6"/>
    <w:rsid w:val="00E05F69"/>
    <w:rsid w:val="00E06A5A"/>
    <w:rsid w:val="00E06AE7"/>
    <w:rsid w:val="00E07C9A"/>
    <w:rsid w:val="00E10C76"/>
    <w:rsid w:val="00E11BBB"/>
    <w:rsid w:val="00E124E1"/>
    <w:rsid w:val="00E12AD4"/>
    <w:rsid w:val="00E12C32"/>
    <w:rsid w:val="00E12FD5"/>
    <w:rsid w:val="00E13E55"/>
    <w:rsid w:val="00E13FB6"/>
    <w:rsid w:val="00E152EB"/>
    <w:rsid w:val="00E159B5"/>
    <w:rsid w:val="00E17685"/>
    <w:rsid w:val="00E17832"/>
    <w:rsid w:val="00E179C7"/>
    <w:rsid w:val="00E17EAD"/>
    <w:rsid w:val="00E20282"/>
    <w:rsid w:val="00E233C9"/>
    <w:rsid w:val="00E23572"/>
    <w:rsid w:val="00E235B8"/>
    <w:rsid w:val="00E2376D"/>
    <w:rsid w:val="00E23947"/>
    <w:rsid w:val="00E24426"/>
    <w:rsid w:val="00E2490F"/>
    <w:rsid w:val="00E2536D"/>
    <w:rsid w:val="00E259FF"/>
    <w:rsid w:val="00E25CDD"/>
    <w:rsid w:val="00E25F9E"/>
    <w:rsid w:val="00E263D0"/>
    <w:rsid w:val="00E27934"/>
    <w:rsid w:val="00E27DF9"/>
    <w:rsid w:val="00E30394"/>
    <w:rsid w:val="00E31215"/>
    <w:rsid w:val="00E318E6"/>
    <w:rsid w:val="00E31C81"/>
    <w:rsid w:val="00E31FF5"/>
    <w:rsid w:val="00E321E5"/>
    <w:rsid w:val="00E32C41"/>
    <w:rsid w:val="00E339A6"/>
    <w:rsid w:val="00E33CFF"/>
    <w:rsid w:val="00E33E89"/>
    <w:rsid w:val="00E34949"/>
    <w:rsid w:val="00E34B43"/>
    <w:rsid w:val="00E34EFA"/>
    <w:rsid w:val="00E351B0"/>
    <w:rsid w:val="00E35A64"/>
    <w:rsid w:val="00E35BD2"/>
    <w:rsid w:val="00E35F44"/>
    <w:rsid w:val="00E36E19"/>
    <w:rsid w:val="00E40A47"/>
    <w:rsid w:val="00E40A56"/>
    <w:rsid w:val="00E40ABD"/>
    <w:rsid w:val="00E40B34"/>
    <w:rsid w:val="00E410A0"/>
    <w:rsid w:val="00E41933"/>
    <w:rsid w:val="00E42147"/>
    <w:rsid w:val="00E421BC"/>
    <w:rsid w:val="00E424FA"/>
    <w:rsid w:val="00E42DAE"/>
    <w:rsid w:val="00E4318E"/>
    <w:rsid w:val="00E43D6E"/>
    <w:rsid w:val="00E445BB"/>
    <w:rsid w:val="00E44896"/>
    <w:rsid w:val="00E452AE"/>
    <w:rsid w:val="00E452D3"/>
    <w:rsid w:val="00E4561A"/>
    <w:rsid w:val="00E46840"/>
    <w:rsid w:val="00E4792B"/>
    <w:rsid w:val="00E47D0E"/>
    <w:rsid w:val="00E50397"/>
    <w:rsid w:val="00E50CD4"/>
    <w:rsid w:val="00E5195D"/>
    <w:rsid w:val="00E5209A"/>
    <w:rsid w:val="00E52499"/>
    <w:rsid w:val="00E5252E"/>
    <w:rsid w:val="00E52A79"/>
    <w:rsid w:val="00E53496"/>
    <w:rsid w:val="00E54740"/>
    <w:rsid w:val="00E557F1"/>
    <w:rsid w:val="00E55A80"/>
    <w:rsid w:val="00E562B1"/>
    <w:rsid w:val="00E564B3"/>
    <w:rsid w:val="00E57432"/>
    <w:rsid w:val="00E575A0"/>
    <w:rsid w:val="00E6101F"/>
    <w:rsid w:val="00E61147"/>
    <w:rsid w:val="00E6168C"/>
    <w:rsid w:val="00E6172D"/>
    <w:rsid w:val="00E617D8"/>
    <w:rsid w:val="00E62A57"/>
    <w:rsid w:val="00E62BC2"/>
    <w:rsid w:val="00E65EC0"/>
    <w:rsid w:val="00E667B1"/>
    <w:rsid w:val="00E66805"/>
    <w:rsid w:val="00E66C95"/>
    <w:rsid w:val="00E674C2"/>
    <w:rsid w:val="00E67ABE"/>
    <w:rsid w:val="00E70B34"/>
    <w:rsid w:val="00E713CA"/>
    <w:rsid w:val="00E716A3"/>
    <w:rsid w:val="00E7174C"/>
    <w:rsid w:val="00E71F7D"/>
    <w:rsid w:val="00E727E7"/>
    <w:rsid w:val="00E72A64"/>
    <w:rsid w:val="00E7302C"/>
    <w:rsid w:val="00E73471"/>
    <w:rsid w:val="00E73943"/>
    <w:rsid w:val="00E74BB5"/>
    <w:rsid w:val="00E74D65"/>
    <w:rsid w:val="00E75252"/>
    <w:rsid w:val="00E75309"/>
    <w:rsid w:val="00E7559C"/>
    <w:rsid w:val="00E75797"/>
    <w:rsid w:val="00E757D1"/>
    <w:rsid w:val="00E75B0D"/>
    <w:rsid w:val="00E76E58"/>
    <w:rsid w:val="00E76F19"/>
    <w:rsid w:val="00E80077"/>
    <w:rsid w:val="00E807CB"/>
    <w:rsid w:val="00E80F1B"/>
    <w:rsid w:val="00E811D8"/>
    <w:rsid w:val="00E81BBB"/>
    <w:rsid w:val="00E82C90"/>
    <w:rsid w:val="00E82E7B"/>
    <w:rsid w:val="00E82EC9"/>
    <w:rsid w:val="00E8508D"/>
    <w:rsid w:val="00E852A7"/>
    <w:rsid w:val="00E86C2E"/>
    <w:rsid w:val="00E87157"/>
    <w:rsid w:val="00E873C6"/>
    <w:rsid w:val="00E87CA1"/>
    <w:rsid w:val="00E90080"/>
    <w:rsid w:val="00E90822"/>
    <w:rsid w:val="00E90C59"/>
    <w:rsid w:val="00E91547"/>
    <w:rsid w:val="00E91967"/>
    <w:rsid w:val="00E91ACD"/>
    <w:rsid w:val="00E91C23"/>
    <w:rsid w:val="00E92020"/>
    <w:rsid w:val="00E924B7"/>
    <w:rsid w:val="00E926F4"/>
    <w:rsid w:val="00E942D3"/>
    <w:rsid w:val="00E945E4"/>
    <w:rsid w:val="00E94A0E"/>
    <w:rsid w:val="00E94A7A"/>
    <w:rsid w:val="00E94D02"/>
    <w:rsid w:val="00E95228"/>
    <w:rsid w:val="00E953BC"/>
    <w:rsid w:val="00E95764"/>
    <w:rsid w:val="00E9579F"/>
    <w:rsid w:val="00E95A75"/>
    <w:rsid w:val="00E95B23"/>
    <w:rsid w:val="00E961FD"/>
    <w:rsid w:val="00E970C3"/>
    <w:rsid w:val="00E97437"/>
    <w:rsid w:val="00E97521"/>
    <w:rsid w:val="00E9776E"/>
    <w:rsid w:val="00E97F6F"/>
    <w:rsid w:val="00EA089F"/>
    <w:rsid w:val="00EA0AEB"/>
    <w:rsid w:val="00EA11F8"/>
    <w:rsid w:val="00EA15EC"/>
    <w:rsid w:val="00EA1633"/>
    <w:rsid w:val="00EA1747"/>
    <w:rsid w:val="00EA1BCF"/>
    <w:rsid w:val="00EA255C"/>
    <w:rsid w:val="00EA309B"/>
    <w:rsid w:val="00EA3DE6"/>
    <w:rsid w:val="00EA42F9"/>
    <w:rsid w:val="00EA4EB7"/>
    <w:rsid w:val="00EA4F6D"/>
    <w:rsid w:val="00EA55A5"/>
    <w:rsid w:val="00EA74BF"/>
    <w:rsid w:val="00EB0075"/>
    <w:rsid w:val="00EB0862"/>
    <w:rsid w:val="00EB1C8C"/>
    <w:rsid w:val="00EB1CAA"/>
    <w:rsid w:val="00EB1D2A"/>
    <w:rsid w:val="00EB1FF9"/>
    <w:rsid w:val="00EB2474"/>
    <w:rsid w:val="00EB27D9"/>
    <w:rsid w:val="00EB2E07"/>
    <w:rsid w:val="00EB2F96"/>
    <w:rsid w:val="00EB4E32"/>
    <w:rsid w:val="00EB51C8"/>
    <w:rsid w:val="00EB52AA"/>
    <w:rsid w:val="00EB601C"/>
    <w:rsid w:val="00EB75F2"/>
    <w:rsid w:val="00EC07B3"/>
    <w:rsid w:val="00EC0892"/>
    <w:rsid w:val="00EC095F"/>
    <w:rsid w:val="00EC12B3"/>
    <w:rsid w:val="00EC186F"/>
    <w:rsid w:val="00EC1AE9"/>
    <w:rsid w:val="00EC1D57"/>
    <w:rsid w:val="00EC2216"/>
    <w:rsid w:val="00EC28EB"/>
    <w:rsid w:val="00EC29CE"/>
    <w:rsid w:val="00EC3489"/>
    <w:rsid w:val="00EC3A16"/>
    <w:rsid w:val="00EC3ED0"/>
    <w:rsid w:val="00EC3F06"/>
    <w:rsid w:val="00EC4C37"/>
    <w:rsid w:val="00EC61BF"/>
    <w:rsid w:val="00EC7DB5"/>
    <w:rsid w:val="00ED0081"/>
    <w:rsid w:val="00ED020F"/>
    <w:rsid w:val="00ED042F"/>
    <w:rsid w:val="00ED0613"/>
    <w:rsid w:val="00ED1549"/>
    <w:rsid w:val="00ED16A1"/>
    <w:rsid w:val="00ED1B1D"/>
    <w:rsid w:val="00ED2F22"/>
    <w:rsid w:val="00ED4587"/>
    <w:rsid w:val="00ED4C2D"/>
    <w:rsid w:val="00ED4FBC"/>
    <w:rsid w:val="00ED5511"/>
    <w:rsid w:val="00ED5B06"/>
    <w:rsid w:val="00ED76F2"/>
    <w:rsid w:val="00EE0F72"/>
    <w:rsid w:val="00EE11C6"/>
    <w:rsid w:val="00EE1369"/>
    <w:rsid w:val="00EE1578"/>
    <w:rsid w:val="00EE22B1"/>
    <w:rsid w:val="00EE22D6"/>
    <w:rsid w:val="00EE24C2"/>
    <w:rsid w:val="00EE2CE3"/>
    <w:rsid w:val="00EE2DFE"/>
    <w:rsid w:val="00EE4888"/>
    <w:rsid w:val="00EE55AF"/>
    <w:rsid w:val="00EE57DA"/>
    <w:rsid w:val="00EE5AB7"/>
    <w:rsid w:val="00EE6313"/>
    <w:rsid w:val="00EE6487"/>
    <w:rsid w:val="00EF0780"/>
    <w:rsid w:val="00EF0CE0"/>
    <w:rsid w:val="00EF1823"/>
    <w:rsid w:val="00EF1C67"/>
    <w:rsid w:val="00EF1F08"/>
    <w:rsid w:val="00EF2153"/>
    <w:rsid w:val="00EF2350"/>
    <w:rsid w:val="00EF2550"/>
    <w:rsid w:val="00EF2D24"/>
    <w:rsid w:val="00EF3C6B"/>
    <w:rsid w:val="00EF45F1"/>
    <w:rsid w:val="00EF4833"/>
    <w:rsid w:val="00EF4D3D"/>
    <w:rsid w:val="00EF6966"/>
    <w:rsid w:val="00EF69E9"/>
    <w:rsid w:val="00EF6B33"/>
    <w:rsid w:val="00EF7316"/>
    <w:rsid w:val="00EF7FD3"/>
    <w:rsid w:val="00F00B84"/>
    <w:rsid w:val="00F01374"/>
    <w:rsid w:val="00F01D8C"/>
    <w:rsid w:val="00F01E21"/>
    <w:rsid w:val="00F022FA"/>
    <w:rsid w:val="00F028F5"/>
    <w:rsid w:val="00F0294E"/>
    <w:rsid w:val="00F02DE5"/>
    <w:rsid w:val="00F03C15"/>
    <w:rsid w:val="00F05793"/>
    <w:rsid w:val="00F06771"/>
    <w:rsid w:val="00F06D62"/>
    <w:rsid w:val="00F07052"/>
    <w:rsid w:val="00F07076"/>
    <w:rsid w:val="00F10471"/>
    <w:rsid w:val="00F106B4"/>
    <w:rsid w:val="00F1155B"/>
    <w:rsid w:val="00F11A8E"/>
    <w:rsid w:val="00F11E97"/>
    <w:rsid w:val="00F11ECC"/>
    <w:rsid w:val="00F12327"/>
    <w:rsid w:val="00F12685"/>
    <w:rsid w:val="00F13184"/>
    <w:rsid w:val="00F133A5"/>
    <w:rsid w:val="00F13839"/>
    <w:rsid w:val="00F1407D"/>
    <w:rsid w:val="00F155EB"/>
    <w:rsid w:val="00F16347"/>
    <w:rsid w:val="00F17041"/>
    <w:rsid w:val="00F170E6"/>
    <w:rsid w:val="00F17205"/>
    <w:rsid w:val="00F17882"/>
    <w:rsid w:val="00F17947"/>
    <w:rsid w:val="00F217D8"/>
    <w:rsid w:val="00F21C92"/>
    <w:rsid w:val="00F229D2"/>
    <w:rsid w:val="00F2382C"/>
    <w:rsid w:val="00F23A7D"/>
    <w:rsid w:val="00F23D52"/>
    <w:rsid w:val="00F24181"/>
    <w:rsid w:val="00F242D4"/>
    <w:rsid w:val="00F244F5"/>
    <w:rsid w:val="00F24988"/>
    <w:rsid w:val="00F257BC"/>
    <w:rsid w:val="00F2695E"/>
    <w:rsid w:val="00F26DC9"/>
    <w:rsid w:val="00F27C16"/>
    <w:rsid w:val="00F30717"/>
    <w:rsid w:val="00F30B3D"/>
    <w:rsid w:val="00F314AB"/>
    <w:rsid w:val="00F3155C"/>
    <w:rsid w:val="00F3161E"/>
    <w:rsid w:val="00F317DE"/>
    <w:rsid w:val="00F31D1B"/>
    <w:rsid w:val="00F32464"/>
    <w:rsid w:val="00F33120"/>
    <w:rsid w:val="00F334DB"/>
    <w:rsid w:val="00F33882"/>
    <w:rsid w:val="00F33B1C"/>
    <w:rsid w:val="00F33DD3"/>
    <w:rsid w:val="00F3429E"/>
    <w:rsid w:val="00F35725"/>
    <w:rsid w:val="00F35E45"/>
    <w:rsid w:val="00F362A1"/>
    <w:rsid w:val="00F3671D"/>
    <w:rsid w:val="00F36753"/>
    <w:rsid w:val="00F367A3"/>
    <w:rsid w:val="00F3687B"/>
    <w:rsid w:val="00F36BD4"/>
    <w:rsid w:val="00F36D19"/>
    <w:rsid w:val="00F36F48"/>
    <w:rsid w:val="00F37530"/>
    <w:rsid w:val="00F375D2"/>
    <w:rsid w:val="00F37B05"/>
    <w:rsid w:val="00F37C9D"/>
    <w:rsid w:val="00F37CD2"/>
    <w:rsid w:val="00F37CE1"/>
    <w:rsid w:val="00F37F17"/>
    <w:rsid w:val="00F40280"/>
    <w:rsid w:val="00F40644"/>
    <w:rsid w:val="00F4089D"/>
    <w:rsid w:val="00F40919"/>
    <w:rsid w:val="00F409B4"/>
    <w:rsid w:val="00F4193D"/>
    <w:rsid w:val="00F42762"/>
    <w:rsid w:val="00F42D4C"/>
    <w:rsid w:val="00F43023"/>
    <w:rsid w:val="00F43B0A"/>
    <w:rsid w:val="00F43D19"/>
    <w:rsid w:val="00F43FF8"/>
    <w:rsid w:val="00F44C1B"/>
    <w:rsid w:val="00F461EC"/>
    <w:rsid w:val="00F4621D"/>
    <w:rsid w:val="00F46307"/>
    <w:rsid w:val="00F47D28"/>
    <w:rsid w:val="00F47F3F"/>
    <w:rsid w:val="00F506D4"/>
    <w:rsid w:val="00F50863"/>
    <w:rsid w:val="00F51051"/>
    <w:rsid w:val="00F5147B"/>
    <w:rsid w:val="00F515A7"/>
    <w:rsid w:val="00F51634"/>
    <w:rsid w:val="00F519F8"/>
    <w:rsid w:val="00F51C51"/>
    <w:rsid w:val="00F52093"/>
    <w:rsid w:val="00F5245A"/>
    <w:rsid w:val="00F52489"/>
    <w:rsid w:val="00F52E1E"/>
    <w:rsid w:val="00F53616"/>
    <w:rsid w:val="00F53689"/>
    <w:rsid w:val="00F53740"/>
    <w:rsid w:val="00F53CBB"/>
    <w:rsid w:val="00F541AA"/>
    <w:rsid w:val="00F54A47"/>
    <w:rsid w:val="00F54B13"/>
    <w:rsid w:val="00F54CE9"/>
    <w:rsid w:val="00F5516D"/>
    <w:rsid w:val="00F55299"/>
    <w:rsid w:val="00F55391"/>
    <w:rsid w:val="00F55F1A"/>
    <w:rsid w:val="00F564FC"/>
    <w:rsid w:val="00F569A6"/>
    <w:rsid w:val="00F56A10"/>
    <w:rsid w:val="00F56E68"/>
    <w:rsid w:val="00F570A1"/>
    <w:rsid w:val="00F57965"/>
    <w:rsid w:val="00F57AC1"/>
    <w:rsid w:val="00F57FE5"/>
    <w:rsid w:val="00F6039B"/>
    <w:rsid w:val="00F60BA6"/>
    <w:rsid w:val="00F61B35"/>
    <w:rsid w:val="00F6248E"/>
    <w:rsid w:val="00F629D4"/>
    <w:rsid w:val="00F62B6C"/>
    <w:rsid w:val="00F62DDE"/>
    <w:rsid w:val="00F62FB1"/>
    <w:rsid w:val="00F6326E"/>
    <w:rsid w:val="00F632C3"/>
    <w:rsid w:val="00F63730"/>
    <w:rsid w:val="00F64494"/>
    <w:rsid w:val="00F64998"/>
    <w:rsid w:val="00F653E0"/>
    <w:rsid w:val="00F655FC"/>
    <w:rsid w:val="00F6567D"/>
    <w:rsid w:val="00F656D9"/>
    <w:rsid w:val="00F66BC6"/>
    <w:rsid w:val="00F66DE7"/>
    <w:rsid w:val="00F67366"/>
    <w:rsid w:val="00F67C48"/>
    <w:rsid w:val="00F67CFC"/>
    <w:rsid w:val="00F703A1"/>
    <w:rsid w:val="00F70E2A"/>
    <w:rsid w:val="00F71456"/>
    <w:rsid w:val="00F719C9"/>
    <w:rsid w:val="00F723EE"/>
    <w:rsid w:val="00F7242C"/>
    <w:rsid w:val="00F724AB"/>
    <w:rsid w:val="00F7517E"/>
    <w:rsid w:val="00F7541E"/>
    <w:rsid w:val="00F75422"/>
    <w:rsid w:val="00F75F30"/>
    <w:rsid w:val="00F75FE2"/>
    <w:rsid w:val="00F765DC"/>
    <w:rsid w:val="00F767CA"/>
    <w:rsid w:val="00F76E32"/>
    <w:rsid w:val="00F76FAE"/>
    <w:rsid w:val="00F77001"/>
    <w:rsid w:val="00F77484"/>
    <w:rsid w:val="00F801E8"/>
    <w:rsid w:val="00F80D65"/>
    <w:rsid w:val="00F812E1"/>
    <w:rsid w:val="00F822C5"/>
    <w:rsid w:val="00F8240F"/>
    <w:rsid w:val="00F82840"/>
    <w:rsid w:val="00F848ED"/>
    <w:rsid w:val="00F84E3F"/>
    <w:rsid w:val="00F858B4"/>
    <w:rsid w:val="00F85B78"/>
    <w:rsid w:val="00F8654F"/>
    <w:rsid w:val="00F866AA"/>
    <w:rsid w:val="00F86909"/>
    <w:rsid w:val="00F87481"/>
    <w:rsid w:val="00F874DB"/>
    <w:rsid w:val="00F874F5"/>
    <w:rsid w:val="00F87B3C"/>
    <w:rsid w:val="00F87EEB"/>
    <w:rsid w:val="00F904D9"/>
    <w:rsid w:val="00F90DC1"/>
    <w:rsid w:val="00F912AD"/>
    <w:rsid w:val="00F91371"/>
    <w:rsid w:val="00F920AA"/>
    <w:rsid w:val="00F92C0F"/>
    <w:rsid w:val="00F93258"/>
    <w:rsid w:val="00F932B0"/>
    <w:rsid w:val="00F93353"/>
    <w:rsid w:val="00F933D2"/>
    <w:rsid w:val="00F938E0"/>
    <w:rsid w:val="00F93FCF"/>
    <w:rsid w:val="00F9425C"/>
    <w:rsid w:val="00F94F6F"/>
    <w:rsid w:val="00F95D27"/>
    <w:rsid w:val="00F95DF9"/>
    <w:rsid w:val="00F95E65"/>
    <w:rsid w:val="00F9696C"/>
    <w:rsid w:val="00F96CD9"/>
    <w:rsid w:val="00F9712D"/>
    <w:rsid w:val="00FA00AF"/>
    <w:rsid w:val="00FA05E2"/>
    <w:rsid w:val="00FA09B6"/>
    <w:rsid w:val="00FA0DA8"/>
    <w:rsid w:val="00FA12C5"/>
    <w:rsid w:val="00FA18DF"/>
    <w:rsid w:val="00FA2BD3"/>
    <w:rsid w:val="00FA2D84"/>
    <w:rsid w:val="00FA3696"/>
    <w:rsid w:val="00FA439B"/>
    <w:rsid w:val="00FA448D"/>
    <w:rsid w:val="00FA45DC"/>
    <w:rsid w:val="00FA48CF"/>
    <w:rsid w:val="00FA5304"/>
    <w:rsid w:val="00FA5E65"/>
    <w:rsid w:val="00FA69B5"/>
    <w:rsid w:val="00FA75B8"/>
    <w:rsid w:val="00FA7DCD"/>
    <w:rsid w:val="00FB0497"/>
    <w:rsid w:val="00FB10C0"/>
    <w:rsid w:val="00FB1A23"/>
    <w:rsid w:val="00FB2284"/>
    <w:rsid w:val="00FB2700"/>
    <w:rsid w:val="00FB6212"/>
    <w:rsid w:val="00FB65CE"/>
    <w:rsid w:val="00FB713A"/>
    <w:rsid w:val="00FB72BC"/>
    <w:rsid w:val="00FB755F"/>
    <w:rsid w:val="00FC05D8"/>
    <w:rsid w:val="00FC2070"/>
    <w:rsid w:val="00FC2A64"/>
    <w:rsid w:val="00FC3091"/>
    <w:rsid w:val="00FC315F"/>
    <w:rsid w:val="00FC47CB"/>
    <w:rsid w:val="00FC4AE2"/>
    <w:rsid w:val="00FC4B51"/>
    <w:rsid w:val="00FC59CB"/>
    <w:rsid w:val="00FC5FEA"/>
    <w:rsid w:val="00FC63AC"/>
    <w:rsid w:val="00FC761F"/>
    <w:rsid w:val="00FC7642"/>
    <w:rsid w:val="00FC7A4A"/>
    <w:rsid w:val="00FC7B3F"/>
    <w:rsid w:val="00FC7DA7"/>
    <w:rsid w:val="00FD0734"/>
    <w:rsid w:val="00FD1003"/>
    <w:rsid w:val="00FD1189"/>
    <w:rsid w:val="00FD1294"/>
    <w:rsid w:val="00FD14A9"/>
    <w:rsid w:val="00FD1AFB"/>
    <w:rsid w:val="00FD29FC"/>
    <w:rsid w:val="00FD2B81"/>
    <w:rsid w:val="00FD2D52"/>
    <w:rsid w:val="00FD34CA"/>
    <w:rsid w:val="00FD3650"/>
    <w:rsid w:val="00FD3B14"/>
    <w:rsid w:val="00FD3CC0"/>
    <w:rsid w:val="00FD4D9F"/>
    <w:rsid w:val="00FD4DFD"/>
    <w:rsid w:val="00FD5550"/>
    <w:rsid w:val="00FD55AF"/>
    <w:rsid w:val="00FD56D3"/>
    <w:rsid w:val="00FD596D"/>
    <w:rsid w:val="00FD5E24"/>
    <w:rsid w:val="00FD6449"/>
    <w:rsid w:val="00FD6E8F"/>
    <w:rsid w:val="00FD6FBB"/>
    <w:rsid w:val="00FD753B"/>
    <w:rsid w:val="00FD77AB"/>
    <w:rsid w:val="00FE1895"/>
    <w:rsid w:val="00FE2C0D"/>
    <w:rsid w:val="00FE414F"/>
    <w:rsid w:val="00FE46E5"/>
    <w:rsid w:val="00FE51DA"/>
    <w:rsid w:val="00FE5833"/>
    <w:rsid w:val="00FE5F77"/>
    <w:rsid w:val="00FE61A4"/>
    <w:rsid w:val="00FE6595"/>
    <w:rsid w:val="00FE68DC"/>
    <w:rsid w:val="00FE6AE7"/>
    <w:rsid w:val="00FE7187"/>
    <w:rsid w:val="00FE73AC"/>
    <w:rsid w:val="00FE7438"/>
    <w:rsid w:val="00FE756B"/>
    <w:rsid w:val="00FE7607"/>
    <w:rsid w:val="00FE7851"/>
    <w:rsid w:val="00FF0428"/>
    <w:rsid w:val="00FF0BD8"/>
    <w:rsid w:val="00FF0E79"/>
    <w:rsid w:val="00FF17C6"/>
    <w:rsid w:val="00FF19DE"/>
    <w:rsid w:val="00FF1CF7"/>
    <w:rsid w:val="00FF5501"/>
    <w:rsid w:val="00FF5674"/>
    <w:rsid w:val="00FF56A9"/>
    <w:rsid w:val="00FF65D3"/>
    <w:rsid w:val="00FF7062"/>
    <w:rsid w:val="00FF7B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138A80BA"/>
  <w15:docId w15:val="{C08ED1AB-182B-43FA-80EF-D6D8BF18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29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75051F"/>
    <w:rPr>
      <w:sz w:val="16"/>
    </w:rPr>
  </w:style>
  <w:style w:type="paragraph" w:styleId="CommentText">
    <w:name w:val="annotation text"/>
    <w:basedOn w:val="Normal"/>
    <w:link w:val="CommentTextChar"/>
    <w:rsid w:val="0075051F"/>
    <w:rPr>
      <w:sz w:val="20"/>
      <w:szCs w:val="20"/>
      <w:lang w:val="en-GB" w:eastAsia="en-GB"/>
    </w:rPr>
  </w:style>
  <w:style w:type="character" w:customStyle="1" w:styleId="CommentTextChar">
    <w:name w:val="Comment Text Char"/>
    <w:link w:val="CommentText"/>
    <w:locked/>
    <w:rsid w:val="0075051F"/>
    <w:rPr>
      <w:lang w:val="en-GB" w:eastAsia="en-GB" w:bidi="ar-SA"/>
    </w:rPr>
  </w:style>
  <w:style w:type="paragraph" w:styleId="BalloonText">
    <w:name w:val="Balloon Text"/>
    <w:basedOn w:val="Normal"/>
    <w:semiHidden/>
    <w:rsid w:val="0075051F"/>
    <w:rPr>
      <w:rFonts w:ascii="Tahoma" w:hAnsi="Tahoma" w:cs="Tahoma"/>
      <w:sz w:val="16"/>
      <w:szCs w:val="16"/>
    </w:rPr>
  </w:style>
  <w:style w:type="character" w:styleId="Strong">
    <w:name w:val="Strong"/>
    <w:qFormat/>
    <w:rsid w:val="00CE7581"/>
    <w:rPr>
      <w:b/>
      <w:bCs/>
    </w:rPr>
  </w:style>
  <w:style w:type="table" w:styleId="TableGrid">
    <w:name w:val="Table Grid"/>
    <w:basedOn w:val="TableNormal"/>
    <w:rsid w:val="00A84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link w:val="ParaChar"/>
    <w:rsid w:val="008F4AD1"/>
    <w:pPr>
      <w:suppressAutoHyphens/>
      <w:spacing w:after="180" w:line="320" w:lineRule="exact"/>
    </w:pPr>
    <w:rPr>
      <w:sz w:val="24"/>
    </w:rPr>
  </w:style>
  <w:style w:type="paragraph" w:customStyle="1" w:styleId="figtitle">
    <w:name w:val="fig:title"/>
    <w:basedOn w:val="Normal"/>
    <w:next w:val="Para"/>
    <w:rsid w:val="008F4AD1"/>
    <w:pPr>
      <w:suppressAutoHyphens/>
      <w:spacing w:after="180"/>
      <w:jc w:val="center"/>
    </w:pPr>
    <w:rPr>
      <w:rFonts w:ascii="Arial" w:hAnsi="Arial"/>
      <w:b/>
      <w:szCs w:val="20"/>
    </w:rPr>
  </w:style>
  <w:style w:type="character" w:customStyle="1" w:styleId="ParaChar">
    <w:name w:val="Para Char"/>
    <w:link w:val="Para"/>
    <w:locked/>
    <w:rsid w:val="008F4AD1"/>
    <w:rPr>
      <w:sz w:val="24"/>
      <w:lang w:val="en-US" w:eastAsia="en-US" w:bidi="ar-SA"/>
    </w:rPr>
  </w:style>
  <w:style w:type="paragraph" w:styleId="CommentSubject">
    <w:name w:val="annotation subject"/>
    <w:basedOn w:val="CommentText"/>
    <w:next w:val="CommentText"/>
    <w:semiHidden/>
    <w:rsid w:val="000F5746"/>
    <w:rPr>
      <w:b/>
      <w:bCs/>
      <w:lang w:val="en-US" w:eastAsia="en-US"/>
    </w:rPr>
  </w:style>
  <w:style w:type="character" w:styleId="Hyperlink">
    <w:name w:val="Hyperlink"/>
    <w:uiPriority w:val="99"/>
    <w:unhideWhenUsed/>
    <w:rsid w:val="002929C8"/>
    <w:rPr>
      <w:color w:val="0000FF"/>
      <w:u w:val="single"/>
    </w:rPr>
  </w:style>
  <w:style w:type="paragraph" w:customStyle="1" w:styleId="Title1">
    <w:name w:val="Title1"/>
    <w:basedOn w:val="Normal"/>
    <w:rsid w:val="002929C8"/>
    <w:pPr>
      <w:spacing w:before="100" w:beforeAutospacing="1" w:after="100" w:afterAutospacing="1"/>
    </w:pPr>
    <w:rPr>
      <w:lang w:val="en-GB" w:eastAsia="en-GB"/>
    </w:rPr>
  </w:style>
  <w:style w:type="paragraph" w:customStyle="1" w:styleId="desc">
    <w:name w:val="desc"/>
    <w:basedOn w:val="Normal"/>
    <w:rsid w:val="002929C8"/>
    <w:pPr>
      <w:spacing w:before="100" w:beforeAutospacing="1" w:after="100" w:afterAutospacing="1"/>
    </w:pPr>
    <w:rPr>
      <w:lang w:val="en-GB" w:eastAsia="en-GB"/>
    </w:rPr>
  </w:style>
  <w:style w:type="paragraph" w:customStyle="1" w:styleId="details">
    <w:name w:val="details"/>
    <w:basedOn w:val="Normal"/>
    <w:rsid w:val="002929C8"/>
    <w:pPr>
      <w:spacing w:before="100" w:beforeAutospacing="1" w:after="100" w:afterAutospacing="1"/>
    </w:pPr>
    <w:rPr>
      <w:lang w:val="en-GB" w:eastAsia="en-GB"/>
    </w:rPr>
  </w:style>
  <w:style w:type="character" w:customStyle="1" w:styleId="jrnl">
    <w:name w:val="jrnl"/>
    <w:rsid w:val="002929C8"/>
  </w:style>
  <w:style w:type="paragraph" w:styleId="Revision">
    <w:name w:val="Revision"/>
    <w:hidden/>
    <w:uiPriority w:val="99"/>
    <w:semiHidden/>
    <w:rsid w:val="00D02593"/>
    <w:rPr>
      <w:sz w:val="24"/>
      <w:szCs w:val="24"/>
    </w:rPr>
  </w:style>
  <w:style w:type="paragraph" w:styleId="ListParagraph">
    <w:name w:val="List Paragraph"/>
    <w:basedOn w:val="Normal"/>
    <w:uiPriority w:val="34"/>
    <w:qFormat/>
    <w:rsid w:val="006C327C"/>
    <w:pPr>
      <w:ind w:left="720"/>
      <w:contextualSpacing/>
    </w:pPr>
  </w:style>
  <w:style w:type="paragraph" w:styleId="Header">
    <w:name w:val="header"/>
    <w:basedOn w:val="Normal"/>
    <w:link w:val="HeaderChar"/>
    <w:rsid w:val="00527F8D"/>
    <w:pPr>
      <w:tabs>
        <w:tab w:val="center" w:pos="4513"/>
        <w:tab w:val="right" w:pos="9026"/>
      </w:tabs>
    </w:pPr>
  </w:style>
  <w:style w:type="character" w:customStyle="1" w:styleId="HeaderChar">
    <w:name w:val="Header Char"/>
    <w:basedOn w:val="DefaultParagraphFont"/>
    <w:link w:val="Header"/>
    <w:rsid w:val="00527F8D"/>
    <w:rPr>
      <w:sz w:val="24"/>
      <w:szCs w:val="24"/>
    </w:rPr>
  </w:style>
  <w:style w:type="paragraph" w:styleId="Footer">
    <w:name w:val="footer"/>
    <w:basedOn w:val="Normal"/>
    <w:link w:val="FooterChar"/>
    <w:uiPriority w:val="99"/>
    <w:rsid w:val="00527F8D"/>
    <w:pPr>
      <w:tabs>
        <w:tab w:val="center" w:pos="4513"/>
        <w:tab w:val="right" w:pos="9026"/>
      </w:tabs>
    </w:pPr>
  </w:style>
  <w:style w:type="character" w:customStyle="1" w:styleId="FooterChar">
    <w:name w:val="Footer Char"/>
    <w:basedOn w:val="DefaultParagraphFont"/>
    <w:link w:val="Footer"/>
    <w:uiPriority w:val="99"/>
    <w:rsid w:val="00527F8D"/>
    <w:rPr>
      <w:sz w:val="24"/>
      <w:szCs w:val="24"/>
    </w:rPr>
  </w:style>
  <w:style w:type="paragraph" w:customStyle="1" w:styleId="Default">
    <w:name w:val="Default"/>
    <w:rsid w:val="009143EB"/>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75468E"/>
    <w:rPr>
      <w:color w:val="808080"/>
    </w:rPr>
  </w:style>
  <w:style w:type="paragraph" w:customStyle="1" w:styleId="BodyText">
    <w:name w:val="@BodyText"/>
    <w:basedOn w:val="Normal"/>
    <w:rsid w:val="00794BFC"/>
    <w:pPr>
      <w:spacing w:before="240" w:after="120" w:line="360" w:lineRule="auto"/>
      <w:jc w:val="both"/>
    </w:pPr>
  </w:style>
  <w:style w:type="character" w:customStyle="1" w:styleId="title-pubtype1">
    <w:name w:val="title-pubtype1"/>
    <w:basedOn w:val="DefaultParagraphFont"/>
    <w:rsid w:val="00526691"/>
    <w:rPr>
      <w:b w:val="0"/>
      <w:bCs w:val="0"/>
    </w:rPr>
  </w:style>
  <w:style w:type="character" w:customStyle="1" w:styleId="A3">
    <w:name w:val="A3"/>
    <w:uiPriority w:val="99"/>
    <w:rsid w:val="005E3C7D"/>
    <w:rPr>
      <w:rFonts w:cs="Calibri"/>
      <w:color w:val="221E1F"/>
      <w:sz w:val="16"/>
      <w:szCs w:val="16"/>
    </w:rPr>
  </w:style>
  <w:style w:type="paragraph" w:customStyle="1" w:styleId="Pa3">
    <w:name w:val="Pa3"/>
    <w:basedOn w:val="Default"/>
    <w:next w:val="Default"/>
    <w:uiPriority w:val="99"/>
    <w:rsid w:val="005E3C7D"/>
    <w:pPr>
      <w:spacing w:line="241" w:lineRule="atLeast"/>
    </w:pPr>
    <w:rPr>
      <w:rFonts w:ascii="Calibri" w:hAnsi="Calibri"/>
      <w:color w:val="auto"/>
    </w:rPr>
  </w:style>
  <w:style w:type="character" w:styleId="FollowedHyperlink">
    <w:name w:val="FollowedHyperlink"/>
    <w:basedOn w:val="DefaultParagraphFont"/>
    <w:semiHidden/>
    <w:unhideWhenUsed/>
    <w:rsid w:val="006257C1"/>
    <w:rPr>
      <w:color w:val="800080" w:themeColor="followedHyperlink"/>
      <w:u w:val="single"/>
    </w:rPr>
  </w:style>
  <w:style w:type="character" w:styleId="Emphasis">
    <w:name w:val="Emphasis"/>
    <w:basedOn w:val="DefaultParagraphFont"/>
    <w:qFormat/>
    <w:rsid w:val="00925CD8"/>
    <w:rPr>
      <w:i/>
      <w:iCs/>
    </w:rPr>
  </w:style>
  <w:style w:type="paragraph" w:customStyle="1" w:styleId="NumberedList">
    <w:name w:val="Numbered List"/>
    <w:basedOn w:val="Normal"/>
    <w:rsid w:val="005E314D"/>
    <w:pPr>
      <w:tabs>
        <w:tab w:val="left" w:pos="851"/>
      </w:tabs>
      <w:spacing w:before="120" w:after="120" w:line="288" w:lineRule="auto"/>
      <w:ind w:left="357" w:hanging="357"/>
      <w:jc w:val="both"/>
    </w:pPr>
    <w:rPr>
      <w:lang w:val="en-GB" w:eastAsia="en-GB"/>
    </w:rPr>
  </w:style>
  <w:style w:type="character" w:styleId="UnresolvedMention">
    <w:name w:val="Unresolved Mention"/>
    <w:basedOn w:val="DefaultParagraphFont"/>
    <w:uiPriority w:val="99"/>
    <w:semiHidden/>
    <w:unhideWhenUsed/>
    <w:rsid w:val="00E72A64"/>
    <w:rPr>
      <w:color w:val="605E5C"/>
      <w:shd w:val="clear" w:color="auto" w:fill="E1DFDD"/>
    </w:rPr>
  </w:style>
  <w:style w:type="character" w:styleId="LineNumber">
    <w:name w:val="line number"/>
    <w:basedOn w:val="DefaultParagraphFont"/>
    <w:semiHidden/>
    <w:unhideWhenUsed/>
    <w:rsid w:val="00DA1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79692">
      <w:bodyDiv w:val="1"/>
      <w:marLeft w:val="0"/>
      <w:marRight w:val="0"/>
      <w:marTop w:val="0"/>
      <w:marBottom w:val="0"/>
      <w:divBdr>
        <w:top w:val="none" w:sz="0" w:space="0" w:color="auto"/>
        <w:left w:val="none" w:sz="0" w:space="0" w:color="auto"/>
        <w:bottom w:val="none" w:sz="0" w:space="0" w:color="auto"/>
        <w:right w:val="none" w:sz="0" w:space="0" w:color="auto"/>
      </w:divBdr>
      <w:divsChild>
        <w:div w:id="1698584105">
          <w:marLeft w:val="0"/>
          <w:marRight w:val="1"/>
          <w:marTop w:val="0"/>
          <w:marBottom w:val="0"/>
          <w:divBdr>
            <w:top w:val="none" w:sz="0" w:space="0" w:color="auto"/>
            <w:left w:val="none" w:sz="0" w:space="0" w:color="auto"/>
            <w:bottom w:val="none" w:sz="0" w:space="0" w:color="auto"/>
            <w:right w:val="none" w:sz="0" w:space="0" w:color="auto"/>
          </w:divBdr>
          <w:divsChild>
            <w:div w:id="1799758272">
              <w:marLeft w:val="0"/>
              <w:marRight w:val="0"/>
              <w:marTop w:val="0"/>
              <w:marBottom w:val="0"/>
              <w:divBdr>
                <w:top w:val="none" w:sz="0" w:space="0" w:color="auto"/>
                <w:left w:val="none" w:sz="0" w:space="0" w:color="auto"/>
                <w:bottom w:val="none" w:sz="0" w:space="0" w:color="auto"/>
                <w:right w:val="none" w:sz="0" w:space="0" w:color="auto"/>
              </w:divBdr>
              <w:divsChild>
                <w:div w:id="1304311331">
                  <w:marLeft w:val="0"/>
                  <w:marRight w:val="1"/>
                  <w:marTop w:val="0"/>
                  <w:marBottom w:val="0"/>
                  <w:divBdr>
                    <w:top w:val="none" w:sz="0" w:space="0" w:color="auto"/>
                    <w:left w:val="none" w:sz="0" w:space="0" w:color="auto"/>
                    <w:bottom w:val="none" w:sz="0" w:space="0" w:color="auto"/>
                    <w:right w:val="none" w:sz="0" w:space="0" w:color="auto"/>
                  </w:divBdr>
                  <w:divsChild>
                    <w:div w:id="605356591">
                      <w:marLeft w:val="0"/>
                      <w:marRight w:val="0"/>
                      <w:marTop w:val="0"/>
                      <w:marBottom w:val="0"/>
                      <w:divBdr>
                        <w:top w:val="none" w:sz="0" w:space="0" w:color="auto"/>
                        <w:left w:val="none" w:sz="0" w:space="0" w:color="auto"/>
                        <w:bottom w:val="none" w:sz="0" w:space="0" w:color="auto"/>
                        <w:right w:val="none" w:sz="0" w:space="0" w:color="auto"/>
                      </w:divBdr>
                      <w:divsChild>
                        <w:div w:id="1485274031">
                          <w:marLeft w:val="0"/>
                          <w:marRight w:val="0"/>
                          <w:marTop w:val="0"/>
                          <w:marBottom w:val="0"/>
                          <w:divBdr>
                            <w:top w:val="none" w:sz="0" w:space="0" w:color="auto"/>
                            <w:left w:val="none" w:sz="0" w:space="0" w:color="auto"/>
                            <w:bottom w:val="none" w:sz="0" w:space="0" w:color="auto"/>
                            <w:right w:val="none" w:sz="0" w:space="0" w:color="auto"/>
                          </w:divBdr>
                          <w:divsChild>
                            <w:div w:id="1987002692">
                              <w:marLeft w:val="0"/>
                              <w:marRight w:val="0"/>
                              <w:marTop w:val="120"/>
                              <w:marBottom w:val="360"/>
                              <w:divBdr>
                                <w:top w:val="none" w:sz="0" w:space="0" w:color="auto"/>
                                <w:left w:val="none" w:sz="0" w:space="0" w:color="auto"/>
                                <w:bottom w:val="none" w:sz="0" w:space="0" w:color="auto"/>
                                <w:right w:val="none" w:sz="0" w:space="0" w:color="auto"/>
                              </w:divBdr>
                              <w:divsChild>
                                <w:div w:id="12711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71033">
      <w:bodyDiv w:val="1"/>
      <w:marLeft w:val="0"/>
      <w:marRight w:val="0"/>
      <w:marTop w:val="0"/>
      <w:marBottom w:val="0"/>
      <w:divBdr>
        <w:top w:val="none" w:sz="0" w:space="0" w:color="auto"/>
        <w:left w:val="none" w:sz="0" w:space="0" w:color="auto"/>
        <w:bottom w:val="none" w:sz="0" w:space="0" w:color="auto"/>
        <w:right w:val="none" w:sz="0" w:space="0" w:color="auto"/>
      </w:divBdr>
      <w:divsChild>
        <w:div w:id="271716023">
          <w:marLeft w:val="0"/>
          <w:marRight w:val="0"/>
          <w:marTop w:val="0"/>
          <w:marBottom w:val="0"/>
          <w:divBdr>
            <w:top w:val="none" w:sz="0" w:space="0" w:color="auto"/>
            <w:left w:val="none" w:sz="0" w:space="0" w:color="auto"/>
            <w:bottom w:val="none" w:sz="0" w:space="0" w:color="auto"/>
            <w:right w:val="none" w:sz="0" w:space="0" w:color="auto"/>
          </w:divBdr>
          <w:divsChild>
            <w:div w:id="762654407">
              <w:marLeft w:val="0"/>
              <w:marRight w:val="0"/>
              <w:marTop w:val="0"/>
              <w:marBottom w:val="0"/>
              <w:divBdr>
                <w:top w:val="none" w:sz="0" w:space="0" w:color="auto"/>
                <w:left w:val="none" w:sz="0" w:space="0" w:color="auto"/>
                <w:bottom w:val="none" w:sz="0" w:space="0" w:color="auto"/>
                <w:right w:val="none" w:sz="0" w:space="0" w:color="auto"/>
              </w:divBdr>
              <w:divsChild>
                <w:div w:id="1607225904">
                  <w:marLeft w:val="0"/>
                  <w:marRight w:val="0"/>
                  <w:marTop w:val="0"/>
                  <w:marBottom w:val="0"/>
                  <w:divBdr>
                    <w:top w:val="none" w:sz="0" w:space="0" w:color="auto"/>
                    <w:left w:val="none" w:sz="0" w:space="0" w:color="auto"/>
                    <w:bottom w:val="none" w:sz="0" w:space="0" w:color="auto"/>
                    <w:right w:val="none" w:sz="0" w:space="0" w:color="auto"/>
                  </w:divBdr>
                  <w:divsChild>
                    <w:div w:id="727000396">
                      <w:marLeft w:val="0"/>
                      <w:marRight w:val="0"/>
                      <w:marTop w:val="0"/>
                      <w:marBottom w:val="375"/>
                      <w:divBdr>
                        <w:top w:val="single" w:sz="6" w:space="15" w:color="CBCFD4"/>
                        <w:left w:val="single" w:sz="6" w:space="26" w:color="CBCFD4"/>
                        <w:bottom w:val="single" w:sz="6" w:space="23" w:color="CBCFD4"/>
                        <w:right w:val="single" w:sz="6" w:space="22" w:color="CBCFD4"/>
                      </w:divBdr>
                      <w:divsChild>
                        <w:div w:id="1786078136">
                          <w:marLeft w:val="0"/>
                          <w:marRight w:val="0"/>
                          <w:marTop w:val="0"/>
                          <w:marBottom w:val="0"/>
                          <w:divBdr>
                            <w:top w:val="none" w:sz="0" w:space="0" w:color="auto"/>
                            <w:left w:val="none" w:sz="0" w:space="0" w:color="auto"/>
                            <w:bottom w:val="single" w:sz="6" w:space="8" w:color="CBCFD4"/>
                            <w:right w:val="none" w:sz="0" w:space="0" w:color="auto"/>
                          </w:divBdr>
                        </w:div>
                      </w:divsChild>
                    </w:div>
                  </w:divsChild>
                </w:div>
              </w:divsChild>
            </w:div>
          </w:divsChild>
        </w:div>
      </w:divsChild>
    </w:div>
    <w:div w:id="214512039">
      <w:bodyDiv w:val="1"/>
      <w:marLeft w:val="0"/>
      <w:marRight w:val="0"/>
      <w:marTop w:val="0"/>
      <w:marBottom w:val="0"/>
      <w:divBdr>
        <w:top w:val="none" w:sz="0" w:space="0" w:color="auto"/>
        <w:left w:val="none" w:sz="0" w:space="0" w:color="auto"/>
        <w:bottom w:val="none" w:sz="0" w:space="0" w:color="auto"/>
        <w:right w:val="none" w:sz="0" w:space="0" w:color="auto"/>
      </w:divBdr>
    </w:div>
    <w:div w:id="338505011">
      <w:bodyDiv w:val="1"/>
      <w:marLeft w:val="0"/>
      <w:marRight w:val="0"/>
      <w:marTop w:val="0"/>
      <w:marBottom w:val="0"/>
      <w:divBdr>
        <w:top w:val="none" w:sz="0" w:space="0" w:color="auto"/>
        <w:left w:val="none" w:sz="0" w:space="0" w:color="auto"/>
        <w:bottom w:val="none" w:sz="0" w:space="0" w:color="auto"/>
        <w:right w:val="none" w:sz="0" w:space="0" w:color="auto"/>
      </w:divBdr>
      <w:divsChild>
        <w:div w:id="2064407696">
          <w:marLeft w:val="0"/>
          <w:marRight w:val="0"/>
          <w:marTop w:val="90"/>
          <w:marBottom w:val="0"/>
          <w:divBdr>
            <w:top w:val="none" w:sz="0" w:space="0" w:color="auto"/>
            <w:left w:val="none" w:sz="0" w:space="0" w:color="auto"/>
            <w:bottom w:val="none" w:sz="0" w:space="0" w:color="auto"/>
            <w:right w:val="none" w:sz="0" w:space="0" w:color="auto"/>
          </w:divBdr>
          <w:divsChild>
            <w:div w:id="1886983269">
              <w:marLeft w:val="0"/>
              <w:marRight w:val="0"/>
              <w:marTop w:val="0"/>
              <w:marBottom w:val="420"/>
              <w:divBdr>
                <w:top w:val="none" w:sz="0" w:space="0" w:color="auto"/>
                <w:left w:val="none" w:sz="0" w:space="0" w:color="auto"/>
                <w:bottom w:val="none" w:sz="0" w:space="0" w:color="auto"/>
                <w:right w:val="none" w:sz="0" w:space="0" w:color="auto"/>
              </w:divBdr>
              <w:divsChild>
                <w:div w:id="35935104">
                  <w:marLeft w:val="0"/>
                  <w:marRight w:val="0"/>
                  <w:marTop w:val="0"/>
                  <w:marBottom w:val="0"/>
                  <w:divBdr>
                    <w:top w:val="none" w:sz="0" w:space="0" w:color="auto"/>
                    <w:left w:val="none" w:sz="0" w:space="0" w:color="auto"/>
                    <w:bottom w:val="none" w:sz="0" w:space="0" w:color="auto"/>
                    <w:right w:val="none" w:sz="0" w:space="0" w:color="auto"/>
                  </w:divBdr>
                  <w:divsChild>
                    <w:div w:id="2126343139">
                      <w:marLeft w:val="0"/>
                      <w:marRight w:val="0"/>
                      <w:marTop w:val="0"/>
                      <w:marBottom w:val="0"/>
                      <w:divBdr>
                        <w:top w:val="none" w:sz="0" w:space="0" w:color="auto"/>
                        <w:left w:val="none" w:sz="0" w:space="0" w:color="auto"/>
                        <w:bottom w:val="none" w:sz="0" w:space="0" w:color="auto"/>
                        <w:right w:val="none" w:sz="0" w:space="0" w:color="auto"/>
                      </w:divBdr>
                      <w:divsChild>
                        <w:div w:id="8762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396975">
      <w:bodyDiv w:val="1"/>
      <w:marLeft w:val="0"/>
      <w:marRight w:val="0"/>
      <w:marTop w:val="0"/>
      <w:marBottom w:val="0"/>
      <w:divBdr>
        <w:top w:val="none" w:sz="0" w:space="0" w:color="auto"/>
        <w:left w:val="none" w:sz="0" w:space="0" w:color="auto"/>
        <w:bottom w:val="none" w:sz="0" w:space="0" w:color="auto"/>
        <w:right w:val="none" w:sz="0" w:space="0" w:color="auto"/>
      </w:divBdr>
    </w:div>
    <w:div w:id="983776458">
      <w:bodyDiv w:val="1"/>
      <w:marLeft w:val="0"/>
      <w:marRight w:val="0"/>
      <w:marTop w:val="0"/>
      <w:marBottom w:val="0"/>
      <w:divBdr>
        <w:top w:val="none" w:sz="0" w:space="0" w:color="auto"/>
        <w:left w:val="none" w:sz="0" w:space="0" w:color="auto"/>
        <w:bottom w:val="none" w:sz="0" w:space="0" w:color="auto"/>
        <w:right w:val="none" w:sz="0" w:space="0" w:color="auto"/>
      </w:divBdr>
    </w:div>
    <w:div w:id="1163277313">
      <w:bodyDiv w:val="1"/>
      <w:marLeft w:val="0"/>
      <w:marRight w:val="0"/>
      <w:marTop w:val="0"/>
      <w:marBottom w:val="0"/>
      <w:divBdr>
        <w:top w:val="none" w:sz="0" w:space="0" w:color="auto"/>
        <w:left w:val="none" w:sz="0" w:space="0" w:color="auto"/>
        <w:bottom w:val="none" w:sz="0" w:space="0" w:color="auto"/>
        <w:right w:val="none" w:sz="0" w:space="0" w:color="auto"/>
      </w:divBdr>
    </w:div>
    <w:div w:id="1234195582">
      <w:bodyDiv w:val="1"/>
      <w:marLeft w:val="0"/>
      <w:marRight w:val="0"/>
      <w:marTop w:val="0"/>
      <w:marBottom w:val="0"/>
      <w:divBdr>
        <w:top w:val="none" w:sz="0" w:space="0" w:color="auto"/>
        <w:left w:val="none" w:sz="0" w:space="0" w:color="auto"/>
        <w:bottom w:val="none" w:sz="0" w:space="0" w:color="auto"/>
        <w:right w:val="none" w:sz="0" w:space="0" w:color="auto"/>
      </w:divBdr>
      <w:divsChild>
        <w:div w:id="1108159866">
          <w:marLeft w:val="0"/>
          <w:marRight w:val="0"/>
          <w:marTop w:val="0"/>
          <w:marBottom w:val="0"/>
          <w:divBdr>
            <w:top w:val="none" w:sz="0" w:space="0" w:color="auto"/>
            <w:left w:val="none" w:sz="0" w:space="0" w:color="auto"/>
            <w:bottom w:val="none" w:sz="0" w:space="0" w:color="auto"/>
            <w:right w:val="none" w:sz="0" w:space="0" w:color="auto"/>
          </w:divBdr>
          <w:divsChild>
            <w:div w:id="234705681">
              <w:marLeft w:val="0"/>
              <w:marRight w:val="0"/>
              <w:marTop w:val="0"/>
              <w:marBottom w:val="0"/>
              <w:divBdr>
                <w:top w:val="none" w:sz="0" w:space="0" w:color="auto"/>
                <w:left w:val="none" w:sz="0" w:space="0" w:color="auto"/>
                <w:bottom w:val="none" w:sz="0" w:space="0" w:color="auto"/>
                <w:right w:val="none" w:sz="0" w:space="0" w:color="auto"/>
              </w:divBdr>
              <w:divsChild>
                <w:div w:id="1273056161">
                  <w:marLeft w:val="0"/>
                  <w:marRight w:val="0"/>
                  <w:marTop w:val="182"/>
                  <w:marBottom w:val="182"/>
                  <w:divBdr>
                    <w:top w:val="none" w:sz="0" w:space="0" w:color="auto"/>
                    <w:left w:val="none" w:sz="0" w:space="0" w:color="auto"/>
                    <w:bottom w:val="none" w:sz="0" w:space="0" w:color="auto"/>
                    <w:right w:val="none" w:sz="0" w:space="0" w:color="auto"/>
                  </w:divBdr>
                  <w:divsChild>
                    <w:div w:id="103548987">
                      <w:marLeft w:val="0"/>
                      <w:marRight w:val="0"/>
                      <w:marTop w:val="0"/>
                      <w:marBottom w:val="0"/>
                      <w:divBdr>
                        <w:top w:val="none" w:sz="0" w:space="0" w:color="auto"/>
                        <w:left w:val="none" w:sz="0" w:space="0" w:color="auto"/>
                        <w:bottom w:val="none" w:sz="0" w:space="0" w:color="auto"/>
                        <w:right w:val="none" w:sz="0" w:space="0" w:color="auto"/>
                      </w:divBdr>
                      <w:divsChild>
                        <w:div w:id="2053649">
                          <w:marLeft w:val="0"/>
                          <w:marRight w:val="0"/>
                          <w:marTop w:val="0"/>
                          <w:marBottom w:val="0"/>
                          <w:divBdr>
                            <w:top w:val="none" w:sz="0" w:space="0" w:color="auto"/>
                            <w:left w:val="none" w:sz="0" w:space="0" w:color="auto"/>
                            <w:bottom w:val="none" w:sz="0" w:space="0" w:color="auto"/>
                            <w:right w:val="none" w:sz="0" w:space="0" w:color="auto"/>
                          </w:divBdr>
                        </w:div>
                        <w:div w:id="23752280">
                          <w:marLeft w:val="0"/>
                          <w:marRight w:val="0"/>
                          <w:marTop w:val="0"/>
                          <w:marBottom w:val="0"/>
                          <w:divBdr>
                            <w:top w:val="none" w:sz="0" w:space="0" w:color="auto"/>
                            <w:left w:val="none" w:sz="0" w:space="0" w:color="auto"/>
                            <w:bottom w:val="none" w:sz="0" w:space="0" w:color="auto"/>
                            <w:right w:val="none" w:sz="0" w:space="0" w:color="auto"/>
                          </w:divBdr>
                        </w:div>
                        <w:div w:id="92946217">
                          <w:marLeft w:val="0"/>
                          <w:marRight w:val="0"/>
                          <w:marTop w:val="0"/>
                          <w:marBottom w:val="0"/>
                          <w:divBdr>
                            <w:top w:val="none" w:sz="0" w:space="0" w:color="auto"/>
                            <w:left w:val="none" w:sz="0" w:space="0" w:color="auto"/>
                            <w:bottom w:val="none" w:sz="0" w:space="0" w:color="auto"/>
                            <w:right w:val="none" w:sz="0" w:space="0" w:color="auto"/>
                          </w:divBdr>
                        </w:div>
                        <w:div w:id="164052717">
                          <w:marLeft w:val="0"/>
                          <w:marRight w:val="0"/>
                          <w:marTop w:val="0"/>
                          <w:marBottom w:val="0"/>
                          <w:divBdr>
                            <w:top w:val="none" w:sz="0" w:space="0" w:color="auto"/>
                            <w:left w:val="none" w:sz="0" w:space="0" w:color="auto"/>
                            <w:bottom w:val="none" w:sz="0" w:space="0" w:color="auto"/>
                            <w:right w:val="none" w:sz="0" w:space="0" w:color="auto"/>
                          </w:divBdr>
                        </w:div>
                        <w:div w:id="174341288">
                          <w:marLeft w:val="0"/>
                          <w:marRight w:val="0"/>
                          <w:marTop w:val="0"/>
                          <w:marBottom w:val="0"/>
                          <w:divBdr>
                            <w:top w:val="none" w:sz="0" w:space="0" w:color="auto"/>
                            <w:left w:val="none" w:sz="0" w:space="0" w:color="auto"/>
                            <w:bottom w:val="none" w:sz="0" w:space="0" w:color="auto"/>
                            <w:right w:val="none" w:sz="0" w:space="0" w:color="auto"/>
                          </w:divBdr>
                        </w:div>
                        <w:div w:id="277570407">
                          <w:marLeft w:val="0"/>
                          <w:marRight w:val="0"/>
                          <w:marTop w:val="0"/>
                          <w:marBottom w:val="0"/>
                          <w:divBdr>
                            <w:top w:val="none" w:sz="0" w:space="0" w:color="auto"/>
                            <w:left w:val="none" w:sz="0" w:space="0" w:color="auto"/>
                            <w:bottom w:val="none" w:sz="0" w:space="0" w:color="auto"/>
                            <w:right w:val="none" w:sz="0" w:space="0" w:color="auto"/>
                          </w:divBdr>
                        </w:div>
                        <w:div w:id="366760165">
                          <w:marLeft w:val="0"/>
                          <w:marRight w:val="0"/>
                          <w:marTop w:val="0"/>
                          <w:marBottom w:val="0"/>
                          <w:divBdr>
                            <w:top w:val="none" w:sz="0" w:space="0" w:color="auto"/>
                            <w:left w:val="none" w:sz="0" w:space="0" w:color="auto"/>
                            <w:bottom w:val="none" w:sz="0" w:space="0" w:color="auto"/>
                            <w:right w:val="none" w:sz="0" w:space="0" w:color="auto"/>
                          </w:divBdr>
                        </w:div>
                        <w:div w:id="508183569">
                          <w:marLeft w:val="0"/>
                          <w:marRight w:val="0"/>
                          <w:marTop w:val="0"/>
                          <w:marBottom w:val="0"/>
                          <w:divBdr>
                            <w:top w:val="none" w:sz="0" w:space="0" w:color="auto"/>
                            <w:left w:val="none" w:sz="0" w:space="0" w:color="auto"/>
                            <w:bottom w:val="none" w:sz="0" w:space="0" w:color="auto"/>
                            <w:right w:val="none" w:sz="0" w:space="0" w:color="auto"/>
                          </w:divBdr>
                        </w:div>
                        <w:div w:id="544678241">
                          <w:marLeft w:val="0"/>
                          <w:marRight w:val="0"/>
                          <w:marTop w:val="0"/>
                          <w:marBottom w:val="0"/>
                          <w:divBdr>
                            <w:top w:val="none" w:sz="0" w:space="0" w:color="auto"/>
                            <w:left w:val="none" w:sz="0" w:space="0" w:color="auto"/>
                            <w:bottom w:val="none" w:sz="0" w:space="0" w:color="auto"/>
                            <w:right w:val="none" w:sz="0" w:space="0" w:color="auto"/>
                          </w:divBdr>
                        </w:div>
                        <w:div w:id="565725809">
                          <w:marLeft w:val="0"/>
                          <w:marRight w:val="0"/>
                          <w:marTop w:val="0"/>
                          <w:marBottom w:val="0"/>
                          <w:divBdr>
                            <w:top w:val="none" w:sz="0" w:space="0" w:color="auto"/>
                            <w:left w:val="none" w:sz="0" w:space="0" w:color="auto"/>
                            <w:bottom w:val="none" w:sz="0" w:space="0" w:color="auto"/>
                            <w:right w:val="none" w:sz="0" w:space="0" w:color="auto"/>
                          </w:divBdr>
                        </w:div>
                        <w:div w:id="667558653">
                          <w:marLeft w:val="0"/>
                          <w:marRight w:val="0"/>
                          <w:marTop w:val="0"/>
                          <w:marBottom w:val="0"/>
                          <w:divBdr>
                            <w:top w:val="none" w:sz="0" w:space="0" w:color="auto"/>
                            <w:left w:val="none" w:sz="0" w:space="0" w:color="auto"/>
                            <w:bottom w:val="none" w:sz="0" w:space="0" w:color="auto"/>
                            <w:right w:val="none" w:sz="0" w:space="0" w:color="auto"/>
                          </w:divBdr>
                        </w:div>
                        <w:div w:id="756826971">
                          <w:marLeft w:val="0"/>
                          <w:marRight w:val="0"/>
                          <w:marTop w:val="0"/>
                          <w:marBottom w:val="0"/>
                          <w:divBdr>
                            <w:top w:val="none" w:sz="0" w:space="0" w:color="auto"/>
                            <w:left w:val="none" w:sz="0" w:space="0" w:color="auto"/>
                            <w:bottom w:val="none" w:sz="0" w:space="0" w:color="auto"/>
                            <w:right w:val="none" w:sz="0" w:space="0" w:color="auto"/>
                          </w:divBdr>
                        </w:div>
                        <w:div w:id="856507494">
                          <w:marLeft w:val="0"/>
                          <w:marRight w:val="0"/>
                          <w:marTop w:val="0"/>
                          <w:marBottom w:val="0"/>
                          <w:divBdr>
                            <w:top w:val="none" w:sz="0" w:space="0" w:color="auto"/>
                            <w:left w:val="none" w:sz="0" w:space="0" w:color="auto"/>
                            <w:bottom w:val="none" w:sz="0" w:space="0" w:color="auto"/>
                            <w:right w:val="none" w:sz="0" w:space="0" w:color="auto"/>
                          </w:divBdr>
                        </w:div>
                        <w:div w:id="931937092">
                          <w:marLeft w:val="0"/>
                          <w:marRight w:val="0"/>
                          <w:marTop w:val="0"/>
                          <w:marBottom w:val="0"/>
                          <w:divBdr>
                            <w:top w:val="none" w:sz="0" w:space="0" w:color="auto"/>
                            <w:left w:val="none" w:sz="0" w:space="0" w:color="auto"/>
                            <w:bottom w:val="none" w:sz="0" w:space="0" w:color="auto"/>
                            <w:right w:val="none" w:sz="0" w:space="0" w:color="auto"/>
                          </w:divBdr>
                        </w:div>
                        <w:div w:id="1295015523">
                          <w:marLeft w:val="0"/>
                          <w:marRight w:val="0"/>
                          <w:marTop w:val="0"/>
                          <w:marBottom w:val="0"/>
                          <w:divBdr>
                            <w:top w:val="none" w:sz="0" w:space="0" w:color="auto"/>
                            <w:left w:val="none" w:sz="0" w:space="0" w:color="auto"/>
                            <w:bottom w:val="none" w:sz="0" w:space="0" w:color="auto"/>
                            <w:right w:val="none" w:sz="0" w:space="0" w:color="auto"/>
                          </w:divBdr>
                        </w:div>
                        <w:div w:id="1595892753">
                          <w:marLeft w:val="0"/>
                          <w:marRight w:val="0"/>
                          <w:marTop w:val="0"/>
                          <w:marBottom w:val="0"/>
                          <w:divBdr>
                            <w:top w:val="none" w:sz="0" w:space="0" w:color="auto"/>
                            <w:left w:val="none" w:sz="0" w:space="0" w:color="auto"/>
                            <w:bottom w:val="none" w:sz="0" w:space="0" w:color="auto"/>
                            <w:right w:val="none" w:sz="0" w:space="0" w:color="auto"/>
                          </w:divBdr>
                        </w:div>
                        <w:div w:id="1613706985">
                          <w:marLeft w:val="0"/>
                          <w:marRight w:val="0"/>
                          <w:marTop w:val="0"/>
                          <w:marBottom w:val="0"/>
                          <w:divBdr>
                            <w:top w:val="none" w:sz="0" w:space="0" w:color="auto"/>
                            <w:left w:val="none" w:sz="0" w:space="0" w:color="auto"/>
                            <w:bottom w:val="none" w:sz="0" w:space="0" w:color="auto"/>
                            <w:right w:val="none" w:sz="0" w:space="0" w:color="auto"/>
                          </w:divBdr>
                        </w:div>
                        <w:div w:id="1710564118">
                          <w:marLeft w:val="0"/>
                          <w:marRight w:val="0"/>
                          <w:marTop w:val="0"/>
                          <w:marBottom w:val="0"/>
                          <w:divBdr>
                            <w:top w:val="none" w:sz="0" w:space="0" w:color="auto"/>
                            <w:left w:val="none" w:sz="0" w:space="0" w:color="auto"/>
                            <w:bottom w:val="none" w:sz="0" w:space="0" w:color="auto"/>
                            <w:right w:val="none" w:sz="0" w:space="0" w:color="auto"/>
                          </w:divBdr>
                        </w:div>
                        <w:div w:id="20662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537436">
      <w:bodyDiv w:val="1"/>
      <w:marLeft w:val="0"/>
      <w:marRight w:val="0"/>
      <w:marTop w:val="0"/>
      <w:marBottom w:val="0"/>
      <w:divBdr>
        <w:top w:val="none" w:sz="0" w:space="0" w:color="auto"/>
        <w:left w:val="none" w:sz="0" w:space="0" w:color="auto"/>
        <w:bottom w:val="none" w:sz="0" w:space="0" w:color="auto"/>
        <w:right w:val="none" w:sz="0" w:space="0" w:color="auto"/>
      </w:divBdr>
    </w:div>
    <w:div w:id="1312633963">
      <w:bodyDiv w:val="1"/>
      <w:marLeft w:val="0"/>
      <w:marRight w:val="0"/>
      <w:marTop w:val="0"/>
      <w:marBottom w:val="0"/>
      <w:divBdr>
        <w:top w:val="none" w:sz="0" w:space="0" w:color="auto"/>
        <w:left w:val="none" w:sz="0" w:space="0" w:color="auto"/>
        <w:bottom w:val="none" w:sz="0" w:space="0" w:color="auto"/>
        <w:right w:val="none" w:sz="0" w:space="0" w:color="auto"/>
      </w:divBdr>
    </w:div>
    <w:div w:id="1365714660">
      <w:bodyDiv w:val="1"/>
      <w:marLeft w:val="0"/>
      <w:marRight w:val="0"/>
      <w:marTop w:val="0"/>
      <w:marBottom w:val="0"/>
      <w:divBdr>
        <w:top w:val="none" w:sz="0" w:space="0" w:color="auto"/>
        <w:left w:val="none" w:sz="0" w:space="0" w:color="auto"/>
        <w:bottom w:val="none" w:sz="0" w:space="0" w:color="auto"/>
        <w:right w:val="none" w:sz="0" w:space="0" w:color="auto"/>
      </w:divBdr>
    </w:div>
    <w:div w:id="1406756272">
      <w:bodyDiv w:val="1"/>
      <w:marLeft w:val="0"/>
      <w:marRight w:val="0"/>
      <w:marTop w:val="0"/>
      <w:marBottom w:val="0"/>
      <w:divBdr>
        <w:top w:val="none" w:sz="0" w:space="0" w:color="auto"/>
        <w:left w:val="none" w:sz="0" w:space="0" w:color="auto"/>
        <w:bottom w:val="none" w:sz="0" w:space="0" w:color="auto"/>
        <w:right w:val="none" w:sz="0" w:space="0" w:color="auto"/>
      </w:divBdr>
    </w:div>
    <w:div w:id="1420373940">
      <w:bodyDiv w:val="1"/>
      <w:marLeft w:val="0"/>
      <w:marRight w:val="0"/>
      <w:marTop w:val="0"/>
      <w:marBottom w:val="0"/>
      <w:divBdr>
        <w:top w:val="none" w:sz="0" w:space="0" w:color="auto"/>
        <w:left w:val="none" w:sz="0" w:space="0" w:color="auto"/>
        <w:bottom w:val="none" w:sz="0" w:space="0" w:color="auto"/>
        <w:right w:val="none" w:sz="0" w:space="0" w:color="auto"/>
      </w:divBdr>
    </w:div>
    <w:div w:id="1474130759">
      <w:bodyDiv w:val="1"/>
      <w:marLeft w:val="0"/>
      <w:marRight w:val="0"/>
      <w:marTop w:val="0"/>
      <w:marBottom w:val="0"/>
      <w:divBdr>
        <w:top w:val="none" w:sz="0" w:space="0" w:color="auto"/>
        <w:left w:val="none" w:sz="0" w:space="0" w:color="auto"/>
        <w:bottom w:val="none" w:sz="0" w:space="0" w:color="auto"/>
        <w:right w:val="none" w:sz="0" w:space="0" w:color="auto"/>
      </w:divBdr>
    </w:div>
    <w:div w:id="1474561421">
      <w:bodyDiv w:val="1"/>
      <w:marLeft w:val="0"/>
      <w:marRight w:val="0"/>
      <w:marTop w:val="0"/>
      <w:marBottom w:val="0"/>
      <w:divBdr>
        <w:top w:val="none" w:sz="0" w:space="0" w:color="auto"/>
        <w:left w:val="none" w:sz="0" w:space="0" w:color="auto"/>
        <w:bottom w:val="none" w:sz="0" w:space="0" w:color="auto"/>
        <w:right w:val="none" w:sz="0" w:space="0" w:color="auto"/>
      </w:divBdr>
    </w:div>
    <w:div w:id="1764952761">
      <w:bodyDiv w:val="1"/>
      <w:marLeft w:val="0"/>
      <w:marRight w:val="0"/>
      <w:marTop w:val="0"/>
      <w:marBottom w:val="0"/>
      <w:divBdr>
        <w:top w:val="none" w:sz="0" w:space="0" w:color="auto"/>
        <w:left w:val="none" w:sz="0" w:space="0" w:color="auto"/>
        <w:bottom w:val="none" w:sz="0" w:space="0" w:color="auto"/>
        <w:right w:val="none" w:sz="0" w:space="0" w:color="auto"/>
      </w:divBdr>
      <w:divsChild>
        <w:div w:id="2082408097">
          <w:marLeft w:val="0"/>
          <w:marRight w:val="0"/>
          <w:marTop w:val="0"/>
          <w:marBottom w:val="0"/>
          <w:divBdr>
            <w:top w:val="none" w:sz="0" w:space="0" w:color="auto"/>
            <w:left w:val="none" w:sz="0" w:space="0" w:color="auto"/>
            <w:bottom w:val="none" w:sz="0" w:space="0" w:color="auto"/>
            <w:right w:val="none" w:sz="0" w:space="0" w:color="auto"/>
          </w:divBdr>
          <w:divsChild>
            <w:div w:id="604847979">
              <w:marLeft w:val="0"/>
              <w:marRight w:val="0"/>
              <w:marTop w:val="0"/>
              <w:marBottom w:val="0"/>
              <w:divBdr>
                <w:top w:val="none" w:sz="0" w:space="0" w:color="auto"/>
                <w:left w:val="none" w:sz="0" w:space="0" w:color="auto"/>
                <w:bottom w:val="none" w:sz="0" w:space="0" w:color="auto"/>
                <w:right w:val="none" w:sz="0" w:space="0" w:color="auto"/>
              </w:divBdr>
              <w:divsChild>
                <w:div w:id="73862322">
                  <w:marLeft w:val="0"/>
                  <w:marRight w:val="0"/>
                  <w:marTop w:val="0"/>
                  <w:marBottom w:val="0"/>
                  <w:divBdr>
                    <w:top w:val="none" w:sz="0" w:space="0" w:color="auto"/>
                    <w:left w:val="none" w:sz="0" w:space="0" w:color="auto"/>
                    <w:bottom w:val="none" w:sz="0" w:space="0" w:color="auto"/>
                    <w:right w:val="none" w:sz="0" w:space="0" w:color="auto"/>
                  </w:divBdr>
                  <w:divsChild>
                    <w:div w:id="826745328">
                      <w:marLeft w:val="0"/>
                      <w:marRight w:val="0"/>
                      <w:marTop w:val="0"/>
                      <w:marBottom w:val="0"/>
                      <w:divBdr>
                        <w:top w:val="none" w:sz="0" w:space="0" w:color="auto"/>
                        <w:left w:val="none" w:sz="0" w:space="0" w:color="auto"/>
                        <w:bottom w:val="none" w:sz="0" w:space="0" w:color="auto"/>
                        <w:right w:val="none" w:sz="0" w:space="0" w:color="auto"/>
                      </w:divBdr>
                      <w:divsChild>
                        <w:div w:id="430517466">
                          <w:marLeft w:val="0"/>
                          <w:marRight w:val="0"/>
                          <w:marTop w:val="0"/>
                          <w:marBottom w:val="0"/>
                          <w:divBdr>
                            <w:top w:val="none" w:sz="0" w:space="0" w:color="auto"/>
                            <w:left w:val="none" w:sz="0" w:space="0" w:color="auto"/>
                            <w:bottom w:val="none" w:sz="0" w:space="0" w:color="auto"/>
                            <w:right w:val="none" w:sz="0" w:space="0" w:color="auto"/>
                          </w:divBdr>
                          <w:divsChild>
                            <w:div w:id="1463428042">
                              <w:marLeft w:val="0"/>
                              <w:marRight w:val="0"/>
                              <w:marTop w:val="0"/>
                              <w:marBottom w:val="0"/>
                              <w:divBdr>
                                <w:top w:val="none" w:sz="0" w:space="0" w:color="auto"/>
                                <w:left w:val="none" w:sz="0" w:space="0" w:color="auto"/>
                                <w:bottom w:val="none" w:sz="0" w:space="0" w:color="auto"/>
                                <w:right w:val="none" w:sz="0" w:space="0" w:color="auto"/>
                              </w:divBdr>
                              <w:divsChild>
                                <w:div w:id="552740999">
                                  <w:marLeft w:val="0"/>
                                  <w:marRight w:val="0"/>
                                  <w:marTop w:val="0"/>
                                  <w:marBottom w:val="0"/>
                                  <w:divBdr>
                                    <w:top w:val="none" w:sz="0" w:space="0" w:color="auto"/>
                                    <w:left w:val="none" w:sz="0" w:space="0" w:color="auto"/>
                                    <w:bottom w:val="none" w:sz="0" w:space="0" w:color="auto"/>
                                    <w:right w:val="none" w:sz="0" w:space="0" w:color="auto"/>
                                  </w:divBdr>
                                  <w:divsChild>
                                    <w:div w:id="7424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12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FF953A3FEDBAA940AEDEBB9B5B2A164F" ma:contentTypeVersion="13" ma:contentTypeDescription="Create a new document." ma:contentTypeScope="" ma:versionID="ac1b3e8cbb3c32730a079a9521513242">
  <xsd:schema xmlns:xsd="http://www.w3.org/2001/XMLSchema" xmlns:xs="http://www.w3.org/2001/XMLSchema" xmlns:p="http://schemas.microsoft.com/office/2006/metadata/properties" xmlns:ns3="a89f2e4e-aaf6-4302-953c-f97c9965bc71" xmlns:ns4="0d3fd50d-2bdc-4136-972c-801907f9e01a" targetNamespace="http://schemas.microsoft.com/office/2006/metadata/properties" ma:root="true" ma:fieldsID="8f8bf99cc6fb2191aad94a596d102323" ns3:_="" ns4:_="">
    <xsd:import namespace="a89f2e4e-aaf6-4302-953c-f97c9965bc71"/>
    <xsd:import namespace="0d3fd50d-2bdc-4136-972c-801907f9e0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2e4e-aaf6-4302-953c-f97c9965b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3fd50d-2bdc-4136-972c-801907f9e0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866FC-BA46-4EC5-B4C7-429DCBE00ED1}">
  <ds:schemaRefs>
    <ds:schemaRef ds:uri="http://schemas.microsoft.com/sharepoint/v3/contenttype/forms"/>
  </ds:schemaRefs>
</ds:datastoreItem>
</file>

<file path=customXml/itemProps2.xml><?xml version="1.0" encoding="utf-8"?>
<ds:datastoreItem xmlns:ds="http://schemas.openxmlformats.org/officeDocument/2006/customXml" ds:itemID="{289E965A-16BA-4AA8-8504-4D5914CC616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E8E5347-6387-492D-8B1A-C453DB346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2e4e-aaf6-4302-953c-f97c9965bc71"/>
    <ds:schemaRef ds:uri="0d3fd50d-2bdc-4136-972c-801907f9e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7B829A-CAE8-4967-9E43-2FADA262DD2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E4D05CA-3B75-40AB-971A-F3A20FAC9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The pharmacokinetics of fluticasone propionate/salmeterol combination delivered from the Diskus® in healthy and asthmatic subjects</vt:lpstr>
    </vt:vector>
  </TitlesOfParts>
  <Company>UCSF</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pharmacokinetics of fluticasone propionate/salmeterol combination delivered from the Diskus® in healthy and asthmatic subjects</dc:title>
  <dc:creator>Diana Jones</dc:creator>
  <cp:lastModifiedBy>Elise</cp:lastModifiedBy>
  <cp:revision>3</cp:revision>
  <cp:lastPrinted>2018-01-08T07:51:00Z</cp:lastPrinted>
  <dcterms:created xsi:type="dcterms:W3CDTF">2021-02-21T16:27:00Z</dcterms:created>
  <dcterms:modified xsi:type="dcterms:W3CDTF">2021-02-21T16:28:00Z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0x010100FF953A3FEDBAA940AEDEBB9B5B2A164F</vt:lpwstr>
  </property>
  <property fmtid="{D5CDD505-2E9C-101B-9397-08002B2CF9AE}" pid="3" name="docIndexRef">
    <vt:lpwstr>a8558635-f2ab-4dc2-8eae-1927850337fb</vt:lpwstr>
  </property>
  <property fmtid="{D5CDD505-2E9C-101B-9397-08002B2CF9AE}" pid="4" name="bjSaver">
    <vt:lpwstr>9++V14w3hKhB/6L/5mGjUF2Ij+Q4wKvz</vt:lpwstr>
  </property>
  <property fmtid="{D5CDD505-2E9C-101B-9397-08002B2CF9AE}" pid="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bjDocumentSecurityLabel">
    <vt:lpwstr>Not Classified</vt:lpwstr>
  </property>
  <property fmtid="{D5CDD505-2E9C-101B-9397-08002B2CF9AE}" pid="8" name="_NewReviewCycle">
    <vt:lpwstr/>
  </property>
  <property fmtid="{D5CDD505-2E9C-101B-9397-08002B2CF9AE}" pid="9" name="MSIP_Label_4929bff8-5b33-42aa-95d2-28f72e792cb0_Enabled">
    <vt:lpwstr>true</vt:lpwstr>
  </property>
  <property fmtid="{D5CDD505-2E9C-101B-9397-08002B2CF9AE}" pid="10" name="MSIP_Label_4929bff8-5b33-42aa-95d2-28f72e792cb0_SetDate">
    <vt:lpwstr>2020-11-30T19:04:34Z</vt:lpwstr>
  </property>
  <property fmtid="{D5CDD505-2E9C-101B-9397-08002B2CF9AE}" pid="11" name="MSIP_Label_4929bff8-5b33-42aa-95d2-28f72e792cb0_Method">
    <vt:lpwstr>Standard</vt:lpwstr>
  </property>
  <property fmtid="{D5CDD505-2E9C-101B-9397-08002B2CF9AE}" pid="12" name="MSIP_Label_4929bff8-5b33-42aa-95d2-28f72e792cb0_Name">
    <vt:lpwstr>Internal</vt:lpwstr>
  </property>
  <property fmtid="{D5CDD505-2E9C-101B-9397-08002B2CF9AE}" pid="13" name="MSIP_Label_4929bff8-5b33-42aa-95d2-28f72e792cb0_SiteId">
    <vt:lpwstr>f35a6974-607f-47d4-82d7-ff31d7dc53a5</vt:lpwstr>
  </property>
  <property fmtid="{D5CDD505-2E9C-101B-9397-08002B2CF9AE}" pid="14" name="MSIP_Label_4929bff8-5b33-42aa-95d2-28f72e792cb0_ActionId">
    <vt:lpwstr>c0ff0dbd-1150-4b26-904f-3ab284603364</vt:lpwstr>
  </property>
  <property fmtid="{D5CDD505-2E9C-101B-9397-08002B2CF9AE}" pid="15" name="MSIP_Label_4929bff8-5b33-42aa-95d2-28f72e792cb0_ContentBits">
    <vt:lpwstr>0</vt:lpwstr>
  </property>
</Properties>
</file>