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715D5" w14:textId="1FCD8D4E" w:rsidR="00DA5297" w:rsidRPr="00E5057C" w:rsidRDefault="00DA5297" w:rsidP="00DA5297">
      <w:pPr>
        <w:pStyle w:val="KeinLeerraum"/>
        <w:spacing w:line="360" w:lineRule="auto"/>
        <w:rPr>
          <w:rFonts w:cstheme="minorHAnsi"/>
          <w:b/>
          <w:bCs/>
          <w:noProof/>
        </w:rPr>
      </w:pPr>
      <w:r w:rsidRPr="00B7523D">
        <w:rPr>
          <w:rFonts w:cstheme="minorHAnsi"/>
          <w:b/>
          <w:bCs/>
          <w:noProof/>
        </w:rPr>
        <w:t>Supplementary Material:</w:t>
      </w:r>
    </w:p>
    <w:p w14:paraId="0DFD847E" w14:textId="77777777" w:rsidR="00DA5297" w:rsidRPr="00B7523D" w:rsidRDefault="00DA5297" w:rsidP="00DA5297">
      <w:pPr>
        <w:pStyle w:val="KeinLeerraum"/>
        <w:spacing w:line="360" w:lineRule="auto"/>
        <w:rPr>
          <w:rFonts w:cstheme="minorHAnsi"/>
          <w:noProof/>
        </w:rPr>
      </w:pPr>
      <w:r>
        <w:rPr>
          <w:rFonts w:cstheme="minorHAnsi"/>
          <w:noProof/>
        </w:rPr>
        <w:t>Fig. S</w:t>
      </w:r>
      <w:r w:rsidRPr="00B7523D">
        <w:rPr>
          <w:rFonts w:cstheme="minorHAnsi"/>
          <w:noProof/>
        </w:rPr>
        <w:t xml:space="preserve"> 1:</w:t>
      </w:r>
    </w:p>
    <w:p w14:paraId="51D08FD8" w14:textId="5E7289D3" w:rsidR="00DA5297" w:rsidRPr="00B7523D" w:rsidRDefault="000938F6" w:rsidP="00DA5297">
      <w:pPr>
        <w:pStyle w:val="KeinLeerraum"/>
        <w:spacing w:line="360" w:lineRule="auto"/>
        <w:rPr>
          <w:rFonts w:cstheme="minorHAnsi"/>
          <w:noProof/>
        </w:rPr>
      </w:pPr>
      <w:r>
        <w:rPr>
          <w:noProof/>
        </w:rPr>
        <w:drawing>
          <wp:inline distT="0" distB="0" distL="0" distR="0" wp14:anchorId="5E745DA6" wp14:editId="40024035">
            <wp:extent cx="5760720" cy="4110990"/>
            <wp:effectExtent l="0" t="0" r="0" b="3810"/>
            <wp:docPr id="291259289" name="Picture 1" descr="A collage of images of bub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59289" name="Picture 1" descr="A collage of images of bubble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110990"/>
                    </a:xfrm>
                    <a:prstGeom prst="rect">
                      <a:avLst/>
                    </a:prstGeom>
                    <a:noFill/>
                    <a:ln>
                      <a:noFill/>
                    </a:ln>
                  </pic:spPr>
                </pic:pic>
              </a:graphicData>
            </a:graphic>
          </wp:inline>
        </w:drawing>
      </w:r>
    </w:p>
    <w:p w14:paraId="13796253" w14:textId="25228D57" w:rsidR="00E5057C" w:rsidRPr="00E5057C" w:rsidRDefault="00DA5297" w:rsidP="00E5057C">
      <w:pPr>
        <w:spacing w:after="0"/>
        <w:rPr>
          <w:noProof/>
          <w:u w:val="single"/>
        </w:rPr>
      </w:pPr>
      <w:r w:rsidRPr="00E5057C">
        <w:rPr>
          <w:noProof/>
          <w:u w:val="single"/>
        </w:rPr>
        <w:t xml:space="preserve">Fig. S 1:Osmification of additional oils and </w:t>
      </w:r>
      <w:r w:rsidR="00E5057C" w:rsidRPr="00E5057C">
        <w:rPr>
          <w:noProof/>
          <w:u w:val="single"/>
        </w:rPr>
        <w:t>e</w:t>
      </w:r>
      <w:r w:rsidRPr="00E5057C">
        <w:rPr>
          <w:noProof/>
          <w:u w:val="single"/>
        </w:rPr>
        <w:t xml:space="preserve">xcipients. </w:t>
      </w:r>
    </w:p>
    <w:p w14:paraId="7F7E4A5F" w14:textId="19C77252" w:rsidR="00E5057C" w:rsidRDefault="00E5057C" w:rsidP="00E5057C">
      <w:pPr>
        <w:pStyle w:val="KeinLeerraum"/>
        <w:rPr>
          <w:rFonts w:cstheme="minorHAnsi"/>
          <w:i/>
          <w:iCs/>
          <w:noProof/>
        </w:rPr>
      </w:pPr>
      <w:r w:rsidRPr="00E5057C">
        <w:rPr>
          <w:rFonts w:cstheme="minorHAnsi"/>
          <w:i/>
          <w:iCs/>
          <w:noProof/>
        </w:rPr>
        <w:t>Micrographs were obtained by SEM imaging using BSE. Theimage sectionsdisplay</w:t>
      </w:r>
      <w:r w:rsidR="00DA5297" w:rsidRPr="00E5057C">
        <w:rPr>
          <w:rFonts w:cstheme="minorHAnsi"/>
          <w:i/>
          <w:iCs/>
          <w:noProof/>
        </w:rPr>
        <w:t xml:space="preserve"> </w:t>
      </w:r>
      <w:r w:rsidRPr="00E5057C">
        <w:rPr>
          <w:rFonts w:cstheme="minorHAnsi"/>
          <w:i/>
          <w:iCs/>
          <w:noProof/>
        </w:rPr>
        <w:t>l</w:t>
      </w:r>
      <w:r w:rsidR="00DA5297" w:rsidRPr="00E5057C">
        <w:rPr>
          <w:rFonts w:cstheme="minorHAnsi"/>
          <w:i/>
          <w:iCs/>
          <w:noProof/>
        </w:rPr>
        <w:t xml:space="preserve">abrafil M2125 (A), K85EE </w:t>
      </w:r>
      <w:r w:rsidRPr="00E5057C">
        <w:rPr>
          <w:rFonts w:cstheme="minorHAnsi"/>
          <w:i/>
          <w:iCs/>
          <w:noProof/>
        </w:rPr>
        <w:t>o</w:t>
      </w:r>
      <w:r w:rsidR="00DA5297" w:rsidRPr="00E5057C">
        <w:rPr>
          <w:rFonts w:cstheme="minorHAnsi"/>
          <w:i/>
          <w:iCs/>
          <w:noProof/>
        </w:rPr>
        <w:t xml:space="preserve">mega-3-acid ethyl esters (B) </w:t>
      </w:r>
      <w:r w:rsidRPr="00E5057C">
        <w:rPr>
          <w:rFonts w:cstheme="minorHAnsi"/>
          <w:i/>
          <w:iCs/>
          <w:noProof/>
        </w:rPr>
        <w:t>s</w:t>
      </w:r>
      <w:r w:rsidR="00DA5297" w:rsidRPr="00E5057C">
        <w:rPr>
          <w:rFonts w:cstheme="minorHAnsi"/>
          <w:i/>
          <w:iCs/>
          <w:noProof/>
        </w:rPr>
        <w:t xml:space="preserve">qualene (C), </w:t>
      </w:r>
      <w:r w:rsidRPr="00E5057C">
        <w:rPr>
          <w:rFonts w:cstheme="minorHAnsi"/>
          <w:i/>
          <w:iCs/>
          <w:noProof/>
        </w:rPr>
        <w:t>o</w:t>
      </w:r>
      <w:r w:rsidR="00DA5297" w:rsidRPr="00E5057C">
        <w:rPr>
          <w:rFonts w:cstheme="minorHAnsi"/>
          <w:i/>
          <w:iCs/>
          <w:noProof/>
        </w:rPr>
        <w:t xml:space="preserve">live oil Ph.Eur. grade (D), </w:t>
      </w:r>
      <w:r w:rsidRPr="00E5057C">
        <w:rPr>
          <w:rFonts w:cstheme="minorHAnsi"/>
          <w:i/>
          <w:iCs/>
          <w:noProof/>
        </w:rPr>
        <w:t>s</w:t>
      </w:r>
      <w:r w:rsidR="00DA5297" w:rsidRPr="00E5057C">
        <w:rPr>
          <w:rFonts w:cstheme="minorHAnsi"/>
          <w:i/>
          <w:iCs/>
          <w:noProof/>
        </w:rPr>
        <w:t xml:space="preserve">uper refined </w:t>
      </w:r>
      <w:r w:rsidRPr="00E5057C">
        <w:rPr>
          <w:rFonts w:cstheme="minorHAnsi"/>
          <w:i/>
          <w:iCs/>
          <w:noProof/>
        </w:rPr>
        <w:t>c</w:t>
      </w:r>
      <w:r w:rsidR="00DA5297" w:rsidRPr="00E5057C">
        <w:rPr>
          <w:rFonts w:cstheme="minorHAnsi"/>
          <w:i/>
          <w:iCs/>
          <w:noProof/>
        </w:rPr>
        <w:t xml:space="preserve">orn oil (E), </w:t>
      </w:r>
      <w:r w:rsidRPr="00E5057C">
        <w:rPr>
          <w:rFonts w:cstheme="minorHAnsi"/>
          <w:i/>
          <w:iCs/>
          <w:noProof/>
        </w:rPr>
        <w:t>s</w:t>
      </w:r>
      <w:r w:rsidR="00DA5297" w:rsidRPr="00E5057C">
        <w:rPr>
          <w:rFonts w:cstheme="minorHAnsi"/>
          <w:i/>
          <w:iCs/>
          <w:noProof/>
        </w:rPr>
        <w:t>uper refined cottonseed oil (F), Span 85 Ph.Eur. grade (G) Span 80 Ph.Eur. grade (H) and super refined oleic acid (I).</w:t>
      </w:r>
      <w:r w:rsidRPr="00E5057C">
        <w:rPr>
          <w:rFonts w:cstheme="minorHAnsi"/>
          <w:i/>
          <w:iCs/>
          <w:noProof/>
        </w:rPr>
        <w:t xml:space="preserve"> All excipients showed a positive reaction with osmium tetroxide; however, not all samples retained a spherical shape (Fig. S 1H, I).</w:t>
      </w:r>
    </w:p>
    <w:p w14:paraId="04271C0E" w14:textId="77777777" w:rsidR="00E5057C" w:rsidRPr="00E5057C" w:rsidRDefault="00E5057C" w:rsidP="00E5057C">
      <w:pPr>
        <w:pStyle w:val="KeinLeerraum"/>
        <w:rPr>
          <w:rFonts w:cstheme="minorHAnsi"/>
          <w:i/>
          <w:iCs/>
          <w:noProof/>
        </w:rPr>
      </w:pPr>
    </w:p>
    <w:p w14:paraId="00337259" w14:textId="34D58C90" w:rsidR="00E5057C" w:rsidRDefault="00E5057C" w:rsidP="00E5057C">
      <w:pPr>
        <w:pStyle w:val="KeinLeerraum"/>
        <w:spacing w:line="276" w:lineRule="auto"/>
        <w:rPr>
          <w:rFonts w:cstheme="minorHAnsi"/>
          <w:b/>
          <w:bCs/>
          <w:noProof/>
        </w:rPr>
      </w:pPr>
      <w:r w:rsidRPr="009F0BD5">
        <w:rPr>
          <w:rFonts w:cstheme="minorHAnsi"/>
          <w:b/>
          <w:bCs/>
          <w:noProof/>
        </w:rPr>
        <w:t>Method:</w:t>
      </w:r>
    </w:p>
    <w:p w14:paraId="30CF1CA8" w14:textId="77777777" w:rsidR="009F0BD5" w:rsidRPr="009F0BD5" w:rsidRDefault="009F0BD5" w:rsidP="00E5057C">
      <w:pPr>
        <w:pStyle w:val="KeinLeerraum"/>
        <w:spacing w:line="276" w:lineRule="auto"/>
        <w:rPr>
          <w:rFonts w:cstheme="minorHAnsi"/>
          <w:b/>
          <w:bCs/>
          <w:noProof/>
        </w:rPr>
      </w:pPr>
    </w:p>
    <w:p w14:paraId="756EF5EC" w14:textId="77777777" w:rsidR="00E5057C" w:rsidRPr="00E5057C" w:rsidRDefault="00E5057C" w:rsidP="00E5057C">
      <w:pPr>
        <w:pStyle w:val="KeinLeerraum"/>
        <w:spacing w:line="276" w:lineRule="auto"/>
        <w:rPr>
          <w:rFonts w:cstheme="minorHAnsi"/>
          <w:noProof/>
        </w:rPr>
      </w:pPr>
      <w:r w:rsidRPr="00E5057C">
        <w:rPr>
          <w:rFonts w:cstheme="minorHAnsi"/>
          <w:noProof/>
        </w:rPr>
        <w:t>All lipids were dispersed as 10% (w/w) in a 1% (w/w) polyvinyl alcohol (PVA) solution, with a total weight of 10 g. The lipids were homogenized using an Ultrathurax IKA T18 Basic (IKA®-Werke GmbH &amp; Co. KG, Staufen, Germany) at 13,000 rpm for 2 minutes. This pre-emulsion was further processed using ultrasound homogenization with a Bandelin Sonopuls HD 2200 homogenizer (BANDELIN electronic GmbH &amp; Co. KG, Berlin, Germany), equipped with an SH 213 G booster horn and a TT13 titanium tip, operated at 50% power in continuous mode for 2 minutes.</w:t>
      </w:r>
    </w:p>
    <w:p w14:paraId="3CDD5040" w14:textId="77777777" w:rsidR="00E5057C" w:rsidRPr="00E5057C" w:rsidRDefault="00E5057C" w:rsidP="00E5057C">
      <w:pPr>
        <w:pStyle w:val="KeinLeerraum"/>
        <w:spacing w:line="276" w:lineRule="auto"/>
        <w:rPr>
          <w:rFonts w:cstheme="minorHAnsi"/>
          <w:noProof/>
        </w:rPr>
      </w:pPr>
      <w:r w:rsidRPr="00E5057C">
        <w:rPr>
          <w:rFonts w:cstheme="minorHAnsi"/>
          <w:noProof/>
        </w:rPr>
        <w:t>The resulting emulsions were diluted 1:1000 and stained with 4% unbuffered osmium tetroxide solution to achieve a final concentration of 1% osmium tetroxide per milliliter. The staining process lasted for at least 48 hours. Samples were analyzed for a positive reaction (e.g., blackening) and evaluated for particle size and shape using an electron microscope</w:t>
      </w:r>
    </w:p>
    <w:p w14:paraId="1C757BB2" w14:textId="77777777" w:rsidR="00DA5297" w:rsidRDefault="00DA5297" w:rsidP="00E5057C">
      <w:pPr>
        <w:pStyle w:val="KeinLeerraum"/>
        <w:spacing w:line="276" w:lineRule="auto"/>
        <w:rPr>
          <w:rFonts w:cstheme="minorHAnsi"/>
          <w:noProof/>
        </w:rPr>
      </w:pPr>
      <w:r w:rsidRPr="00B7523D">
        <w:rPr>
          <w:rFonts w:cstheme="minorHAnsi"/>
          <w:noProof/>
        </w:rPr>
        <w:t>All excipients showed positive reaction with osmium tetroxide but not al samples retained a spherical shape (</w:t>
      </w:r>
      <w:r>
        <w:rPr>
          <w:rFonts w:cstheme="minorHAnsi"/>
          <w:noProof/>
        </w:rPr>
        <w:t>Fig. S</w:t>
      </w:r>
      <w:r w:rsidRPr="00B7523D">
        <w:rPr>
          <w:rFonts w:cstheme="minorHAnsi"/>
          <w:noProof/>
        </w:rPr>
        <w:t xml:space="preserve"> 1H,I).</w:t>
      </w:r>
    </w:p>
    <w:p w14:paraId="6217246B" w14:textId="77777777" w:rsidR="00DA5297" w:rsidRDefault="00DA5297" w:rsidP="00DA5297">
      <w:pPr>
        <w:shd w:val="clear" w:color="auto" w:fill="auto"/>
        <w:jc w:val="left"/>
        <w:rPr>
          <w:rFonts w:cstheme="minorHAnsi"/>
          <w:noProof/>
        </w:rPr>
      </w:pPr>
      <w:r>
        <w:rPr>
          <w:rFonts w:cstheme="minorHAnsi"/>
          <w:noProof/>
        </w:rPr>
        <w:br w:type="page"/>
      </w:r>
    </w:p>
    <w:p w14:paraId="2CDD0506" w14:textId="77777777" w:rsidR="00DA5297" w:rsidRPr="00B7523D" w:rsidRDefault="00DA5297" w:rsidP="00DA5297">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2:</w:t>
      </w:r>
    </w:p>
    <w:p w14:paraId="36167D17" w14:textId="5E10F1C6" w:rsidR="00DA5297" w:rsidRPr="00B7523D" w:rsidRDefault="009F0BD5" w:rsidP="00DA5297">
      <w:pPr>
        <w:pStyle w:val="KeinLeerraum"/>
        <w:spacing w:line="360" w:lineRule="auto"/>
        <w:rPr>
          <w:rFonts w:cstheme="minorHAnsi"/>
          <w:noProof/>
        </w:rPr>
      </w:pPr>
      <w:r>
        <w:rPr>
          <w:noProof/>
        </w:rPr>
        <w:drawing>
          <wp:inline distT="0" distB="0" distL="0" distR="0" wp14:anchorId="4171EA3B" wp14:editId="6E821CDC">
            <wp:extent cx="5757545" cy="4123055"/>
            <wp:effectExtent l="0" t="0" r="0" b="0"/>
            <wp:docPr id="892145633" name="Picture 1" descr="A collage of images of a variety of sphe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45633" name="Picture 1" descr="A collage of images of a variety of sphere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7545" cy="4123055"/>
                    </a:xfrm>
                    <a:prstGeom prst="rect">
                      <a:avLst/>
                    </a:prstGeom>
                    <a:noFill/>
                    <a:ln>
                      <a:noFill/>
                    </a:ln>
                  </pic:spPr>
                </pic:pic>
              </a:graphicData>
            </a:graphic>
          </wp:inline>
        </w:drawing>
      </w:r>
    </w:p>
    <w:p w14:paraId="1885A229" w14:textId="0FA0BB69" w:rsidR="00E5057C" w:rsidRPr="00E5057C" w:rsidRDefault="00DA5297" w:rsidP="00DA5297">
      <w:pPr>
        <w:pStyle w:val="KeinLeerraum"/>
        <w:spacing w:line="360" w:lineRule="auto"/>
        <w:rPr>
          <w:rFonts w:cstheme="minorHAnsi"/>
          <w:noProof/>
          <w:u w:val="single"/>
        </w:rPr>
      </w:pPr>
      <w:r w:rsidRPr="00E5057C">
        <w:rPr>
          <w:rFonts w:cstheme="minorHAnsi"/>
          <w:noProof/>
          <w:u w:val="single"/>
        </w:rPr>
        <w:t>Fig. S 2: Droplet</w:t>
      </w:r>
      <w:r w:rsidR="003B0539">
        <w:rPr>
          <w:rFonts w:cstheme="minorHAnsi"/>
          <w:noProof/>
          <w:u w:val="single"/>
        </w:rPr>
        <w:t xml:space="preserve"> </w:t>
      </w:r>
      <w:r w:rsidRPr="00E5057C">
        <w:rPr>
          <w:rFonts w:cstheme="minorHAnsi"/>
          <w:noProof/>
          <w:u w:val="single"/>
        </w:rPr>
        <w:t>size before and after osmification.</w:t>
      </w:r>
    </w:p>
    <w:p w14:paraId="2D2E13E2" w14:textId="1C439B95" w:rsidR="00DA5297" w:rsidRDefault="00DA5297" w:rsidP="00E5057C">
      <w:pPr>
        <w:pStyle w:val="KeinLeerraum"/>
      </w:pPr>
      <w:r w:rsidRPr="00E5057C">
        <w:rPr>
          <w:rFonts w:cstheme="minorHAnsi"/>
          <w:i/>
          <w:iCs/>
          <w:noProof/>
        </w:rPr>
        <w:t>Image section A shows the</w:t>
      </w:r>
      <w:r w:rsidR="009F0BD5">
        <w:rPr>
          <w:rFonts w:cstheme="minorHAnsi"/>
          <w:i/>
          <w:iCs/>
          <w:noProof/>
        </w:rPr>
        <w:t xml:space="preserve"> droplet</w:t>
      </w:r>
      <w:r w:rsidRPr="00E5057C">
        <w:rPr>
          <w:rFonts w:cstheme="minorHAnsi"/>
          <w:i/>
          <w:iCs/>
          <w:noProof/>
        </w:rPr>
        <w:t xml:space="preserve"> size distribution of the three oils before osmification, measured by laser diffraction. The following sections show Maisine CC</w:t>
      </w:r>
      <w:r w:rsidRPr="00E5057C">
        <w:rPr>
          <w:rFonts w:cstheme="minorHAnsi"/>
          <w:i/>
          <w:iCs/>
        </w:rPr>
        <w:t>™</w:t>
      </w:r>
      <w:r w:rsidRPr="00E5057C">
        <w:rPr>
          <w:rFonts w:cstheme="minorHAnsi"/>
          <w:i/>
          <w:iCs/>
          <w:noProof/>
        </w:rPr>
        <w:t xml:space="preserve"> (B), Incromex TG 4030</w:t>
      </w:r>
      <w:r w:rsidRPr="00E5057C">
        <w:rPr>
          <w:rFonts w:cstheme="minorHAnsi"/>
          <w:i/>
          <w:iCs/>
        </w:rPr>
        <w:t>™</w:t>
      </w:r>
      <w:r w:rsidRPr="00E5057C">
        <w:rPr>
          <w:rFonts w:cstheme="minorHAnsi"/>
          <w:i/>
          <w:iCs/>
          <w:noProof/>
        </w:rPr>
        <w:t xml:space="preserve"> (C) and Incromex E 7010</w:t>
      </w:r>
      <w:r w:rsidRPr="00E5057C">
        <w:rPr>
          <w:rFonts w:cstheme="minorHAnsi"/>
          <w:i/>
          <w:iCs/>
        </w:rPr>
        <w:t>™</w:t>
      </w:r>
      <w:r w:rsidRPr="00E5057C">
        <w:rPr>
          <w:rFonts w:cstheme="minorHAnsi"/>
          <w:i/>
          <w:iCs/>
          <w:noProof/>
        </w:rPr>
        <w:t xml:space="preserve"> (D) emulsion after osmification as SEM images.</w:t>
      </w:r>
      <w:r w:rsidR="00E5057C" w:rsidRPr="00E5057C">
        <w:rPr>
          <w:rFonts w:cstheme="minorHAnsi"/>
          <w:i/>
          <w:iCs/>
          <w:noProof/>
        </w:rPr>
        <w:t xml:space="preserve"> </w:t>
      </w:r>
      <w:r w:rsidRPr="00E5057C">
        <w:rPr>
          <w:rFonts w:cstheme="minorHAnsi"/>
          <w:i/>
          <w:iCs/>
          <w:noProof/>
        </w:rPr>
        <w:t>Formulation of the oils in 1% PVA resulted in particle size distributions in the sub micrometer range in case for Maisine CC</w:t>
      </w:r>
      <w:r w:rsidRPr="00E5057C">
        <w:rPr>
          <w:rFonts w:cstheme="minorHAnsi"/>
          <w:i/>
          <w:iCs/>
        </w:rPr>
        <w:t>™</w:t>
      </w:r>
      <w:r w:rsidRPr="00E5057C">
        <w:rPr>
          <w:rFonts w:cstheme="minorHAnsi"/>
          <w:i/>
          <w:iCs/>
          <w:noProof/>
        </w:rPr>
        <w:t xml:space="preserve"> and in low micrometer range for the omega 3 based oils Incromex TG 4030</w:t>
      </w:r>
      <w:r w:rsidRPr="00E5057C">
        <w:rPr>
          <w:rFonts w:cstheme="minorHAnsi"/>
          <w:i/>
          <w:iCs/>
        </w:rPr>
        <w:t>™</w:t>
      </w:r>
      <w:r w:rsidRPr="00E5057C">
        <w:rPr>
          <w:rFonts w:cstheme="minorHAnsi"/>
          <w:i/>
          <w:iCs/>
          <w:noProof/>
        </w:rPr>
        <w:t xml:space="preserve"> and Incromex E</w:t>
      </w:r>
      <w:r w:rsidRPr="00E5057C">
        <w:rPr>
          <w:rFonts w:cstheme="minorHAnsi"/>
          <w:i/>
          <w:iCs/>
        </w:rPr>
        <w:t>™</w:t>
      </w:r>
      <w:r w:rsidRPr="00E5057C">
        <w:rPr>
          <w:rFonts w:cstheme="minorHAnsi"/>
          <w:i/>
          <w:iCs/>
          <w:noProof/>
        </w:rPr>
        <w:t xml:space="preserve"> 7010. The coincubation of diluted emulsion with osmium tetroxide resulted in a black precipitate. When observed under SEM the precipitated oil droplets (Figure 1 B-D) show spherical structures within the size range measured by </w:t>
      </w:r>
      <w:r w:rsidR="00E5057C">
        <w:rPr>
          <w:rFonts w:cstheme="minorHAnsi"/>
          <w:i/>
          <w:iCs/>
          <w:noProof/>
        </w:rPr>
        <w:t xml:space="preserve">a LA960 </w:t>
      </w:r>
      <w:r w:rsidRPr="00E5057C">
        <w:rPr>
          <w:rFonts w:cstheme="minorHAnsi"/>
          <w:i/>
          <w:iCs/>
          <w:noProof/>
        </w:rPr>
        <w:t>laser diffraction</w:t>
      </w:r>
      <w:r w:rsidR="00E5057C">
        <w:rPr>
          <w:rFonts w:cstheme="minorHAnsi"/>
          <w:i/>
          <w:iCs/>
          <w:noProof/>
        </w:rPr>
        <w:t xml:space="preserve"> device (</w:t>
      </w:r>
      <w:r w:rsidR="00E5057C" w:rsidRPr="0014001D">
        <w:t>Horiba, Kyoto, Japan).</w:t>
      </w:r>
    </w:p>
    <w:p w14:paraId="23D64577" w14:textId="77777777" w:rsidR="009F0BD5" w:rsidRDefault="009F0BD5" w:rsidP="00E5057C">
      <w:pPr>
        <w:pStyle w:val="KeinLeerraum"/>
      </w:pPr>
    </w:p>
    <w:p w14:paraId="50AFF77B" w14:textId="27EAC006" w:rsidR="009F0BD5" w:rsidRPr="009F0BD5" w:rsidRDefault="009F0BD5" w:rsidP="00E5057C">
      <w:pPr>
        <w:pStyle w:val="KeinLeerraum"/>
        <w:rPr>
          <w:b/>
          <w:bCs/>
        </w:rPr>
      </w:pPr>
      <w:r w:rsidRPr="009F0BD5">
        <w:rPr>
          <w:b/>
          <w:bCs/>
        </w:rPr>
        <w:t>Method:</w:t>
      </w:r>
    </w:p>
    <w:p w14:paraId="5F58401A" w14:textId="77777777" w:rsidR="009F0BD5" w:rsidRDefault="009F0BD5" w:rsidP="009F0BD5">
      <w:pPr>
        <w:pStyle w:val="KeinLeerraum"/>
        <w:spacing w:line="360" w:lineRule="auto"/>
      </w:pPr>
    </w:p>
    <w:p w14:paraId="35527B39" w14:textId="6CC8004A" w:rsidR="009F0BD5" w:rsidRDefault="009F0BD5" w:rsidP="009F0BD5">
      <w:pPr>
        <w:pStyle w:val="KeinLeerraum"/>
        <w:spacing w:line="360" w:lineRule="auto"/>
        <w:rPr>
          <w:rFonts w:cstheme="minorHAnsi"/>
        </w:rPr>
      </w:pPr>
      <w:r>
        <w:rPr>
          <w:rFonts w:cstheme="minorHAnsi"/>
        </w:rPr>
        <w:t>Droplet</w:t>
      </w:r>
      <w:r w:rsidRPr="002F0D1F">
        <w:rPr>
          <w:rFonts w:cstheme="minorHAnsi"/>
        </w:rPr>
        <w:t xml:space="preserve"> sizes were analyzed directly after production using a LA 960 laser diffraction</w:t>
      </w:r>
      <w:r>
        <w:rPr>
          <w:rFonts w:cstheme="minorHAnsi"/>
        </w:rPr>
        <w:t xml:space="preserve"> device </w:t>
      </w:r>
      <w:r w:rsidRPr="002F0D1F">
        <w:rPr>
          <w:rFonts w:cstheme="minorHAnsi"/>
        </w:rPr>
        <w:t>(Horiba, Kyoto, Japan</w:t>
      </w:r>
      <w:r>
        <w:rPr>
          <w:rFonts w:cstheme="minorHAnsi"/>
        </w:rPr>
        <w:t>) in a liquid cuvette under stirring</w:t>
      </w:r>
      <w:r w:rsidRPr="002F0D1F">
        <w:rPr>
          <w:rFonts w:cstheme="minorHAnsi"/>
        </w:rPr>
        <w:t>. Particle concentration</w:t>
      </w:r>
      <w:r>
        <w:rPr>
          <w:rFonts w:cstheme="minorHAnsi"/>
        </w:rPr>
        <w:t>s</w:t>
      </w:r>
      <w:r w:rsidRPr="002F0D1F">
        <w:rPr>
          <w:rFonts w:cstheme="minorHAnsi"/>
        </w:rPr>
        <w:t xml:space="preserve"> w</w:t>
      </w:r>
      <w:r>
        <w:rPr>
          <w:rFonts w:cstheme="minorHAnsi"/>
        </w:rPr>
        <w:t>ere</w:t>
      </w:r>
      <w:r w:rsidRPr="002F0D1F">
        <w:rPr>
          <w:rFonts w:cstheme="minorHAnsi"/>
        </w:rPr>
        <w:t xml:space="preserve"> adjusted </w:t>
      </w:r>
      <w:r>
        <w:rPr>
          <w:rFonts w:cstheme="minorHAnsi"/>
        </w:rPr>
        <w:t>to 85% transmittances.</w:t>
      </w:r>
      <w:r w:rsidRPr="00807474">
        <w:rPr>
          <w:rFonts w:cstheme="minorHAnsi"/>
        </w:rPr>
        <w:t xml:space="preserve"> </w:t>
      </w:r>
      <w:r>
        <w:rPr>
          <w:rFonts w:cstheme="minorHAnsi"/>
        </w:rPr>
        <w:t xml:space="preserve">The </w:t>
      </w:r>
      <w:r>
        <w:t>real refractive index was set to 1.450 and imaginary refractive index was set to 0.000 with the refractive index of the dispersing medium at 1.333 for water.</w:t>
      </w:r>
      <w:r>
        <w:rPr>
          <w:rFonts w:cstheme="minorHAnsi"/>
        </w:rPr>
        <w:t xml:space="preserve"> </w:t>
      </w:r>
      <w:r>
        <w:t>Droplet size distributions were calculated as volumetric distribution</w:t>
      </w:r>
      <w:r w:rsidRPr="002F0D1F">
        <w:rPr>
          <w:rFonts w:cstheme="minorHAnsi"/>
        </w:rPr>
        <w:t>.</w:t>
      </w:r>
      <w:r w:rsidR="00D100B6">
        <w:rPr>
          <w:rFonts w:cstheme="minorHAnsi"/>
        </w:rPr>
        <w:t xml:space="preserve"> </w:t>
      </w:r>
    </w:p>
    <w:p w14:paraId="5BBDA2C3" w14:textId="2FE7F8DC" w:rsidR="00DA5297" w:rsidRPr="00B7523D" w:rsidRDefault="00D100B6" w:rsidP="00DA5297">
      <w:pPr>
        <w:pStyle w:val="KeinLeerraum"/>
        <w:spacing w:line="360" w:lineRule="auto"/>
        <w:rPr>
          <w:rFonts w:cstheme="minorHAnsi"/>
        </w:rPr>
      </w:pPr>
      <w:r>
        <w:rPr>
          <w:rFonts w:cstheme="minorHAnsi"/>
        </w:rPr>
        <w:t>SEM samples and micrographs were obtained as mentioned under S1</w:t>
      </w:r>
    </w:p>
    <w:p w14:paraId="6A2A0940" w14:textId="693F29FE" w:rsidR="00DA5297" w:rsidRDefault="00DA5297" w:rsidP="00E5057C">
      <w:pPr>
        <w:shd w:val="clear" w:color="auto" w:fill="auto"/>
        <w:jc w:val="left"/>
        <w:rPr>
          <w:rFonts w:cstheme="minorHAnsi"/>
          <w:noProof/>
        </w:rPr>
      </w:pPr>
      <w:r>
        <w:rPr>
          <w:rFonts w:cstheme="minorHAnsi"/>
          <w:noProof/>
        </w:rPr>
        <w:br w:type="page"/>
      </w:r>
    </w:p>
    <w:p w14:paraId="6F53C189" w14:textId="291AAAB6" w:rsidR="00170BDE" w:rsidRPr="00B7523D" w:rsidRDefault="00170BDE" w:rsidP="00170BDE">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w:t>
      </w:r>
      <w:r>
        <w:rPr>
          <w:rFonts w:cstheme="minorHAnsi"/>
          <w:noProof/>
        </w:rPr>
        <w:t>3</w:t>
      </w:r>
      <w:r w:rsidRPr="00B7523D">
        <w:rPr>
          <w:rFonts w:cstheme="minorHAnsi"/>
          <w:noProof/>
        </w:rPr>
        <w:t>:</w:t>
      </w:r>
    </w:p>
    <w:p w14:paraId="3F8BC00E" w14:textId="77777777" w:rsidR="00170BDE" w:rsidRDefault="00170BDE" w:rsidP="00E5057C">
      <w:pPr>
        <w:shd w:val="clear" w:color="auto" w:fill="auto"/>
        <w:jc w:val="left"/>
        <w:rPr>
          <w:rFonts w:cstheme="minorHAnsi"/>
          <w:noProof/>
        </w:rPr>
      </w:pPr>
    </w:p>
    <w:p w14:paraId="70DC565F" w14:textId="09EFD889" w:rsidR="00170BDE" w:rsidRPr="00495F56" w:rsidRDefault="00170BDE" w:rsidP="00170BDE">
      <w:r>
        <w:rPr>
          <w:noProof/>
        </w:rPr>
        <w:drawing>
          <wp:inline distT="0" distB="0" distL="0" distR="0" wp14:anchorId="6E02F7CC" wp14:editId="4B842505">
            <wp:extent cx="5740400" cy="2243455"/>
            <wp:effectExtent l="0" t="0" r="0" b="4445"/>
            <wp:docPr id="671947805" name="Picture 1"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47805" name="Picture 1" descr="A comparison of a graph&#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0400" cy="2243455"/>
                    </a:xfrm>
                    <a:prstGeom prst="rect">
                      <a:avLst/>
                    </a:prstGeom>
                    <a:noFill/>
                    <a:ln>
                      <a:noFill/>
                    </a:ln>
                  </pic:spPr>
                </pic:pic>
              </a:graphicData>
            </a:graphic>
          </wp:inline>
        </w:drawing>
      </w:r>
      <w:r w:rsidRPr="00495F56">
        <w:rPr>
          <w:noProof/>
          <w:u w:val="single"/>
        </w:rPr>
        <w:t xml:space="preserve">Fig. S </w:t>
      </w:r>
      <w:r>
        <w:rPr>
          <w:noProof/>
          <w:u w:val="single"/>
        </w:rPr>
        <w:t>3</w:t>
      </w:r>
      <w:r w:rsidRPr="00495F56">
        <w:rPr>
          <w:noProof/>
          <w:u w:val="single"/>
        </w:rPr>
        <w:t>:</w:t>
      </w:r>
      <w:r>
        <w:rPr>
          <w:noProof/>
          <w:u w:val="single"/>
        </w:rPr>
        <w:t xml:space="preserve"> In vitro digestion of Lino</w:t>
      </w:r>
      <w:r w:rsidR="0060176C">
        <w:rPr>
          <w:noProof/>
          <w:u w:val="single"/>
        </w:rPr>
        <w:t>-</w:t>
      </w:r>
      <w:r>
        <w:rPr>
          <w:noProof/>
          <w:u w:val="single"/>
        </w:rPr>
        <w:t>LNCs by pan</w:t>
      </w:r>
      <w:r w:rsidR="0060176C">
        <w:rPr>
          <w:noProof/>
          <w:u w:val="single"/>
        </w:rPr>
        <w:t>c</w:t>
      </w:r>
      <w:r>
        <w:rPr>
          <w:noProof/>
          <w:u w:val="single"/>
        </w:rPr>
        <w:t>reatic lipase</w:t>
      </w:r>
    </w:p>
    <w:p w14:paraId="4FEA63C9" w14:textId="6F0A5CF0" w:rsidR="00170BDE" w:rsidRPr="00B2391C" w:rsidRDefault="00CD419C" w:rsidP="00170BDE">
      <w:pPr>
        <w:spacing w:line="259" w:lineRule="auto"/>
        <w:rPr>
          <w:rFonts w:cstheme="minorHAnsi"/>
          <w:i/>
          <w:iCs/>
          <w:noProof/>
        </w:rPr>
      </w:pPr>
      <w:r w:rsidRPr="00CD419C">
        <w:rPr>
          <w:rFonts w:cstheme="minorHAnsi"/>
          <w:i/>
          <w:iCs/>
          <w:noProof/>
        </w:rPr>
        <w:t xml:space="preserve">1.0 mg/ml (A) or 0.1 mg/ml (B) Lino-LNC samples were premixed with or without the respective pancreatic lipase concentrations. A 20 µl sample was drawn and added to a 96-well plate containing 100 µl of free glycerol detection reagent. Absorbance measurements at 540 nm, corresponding to the quinoneimine dye formed from released glycerol, were taken after incubation of Lino-LNCs with pancreatic lipase in the presence of the detection reagent. The plate was incubated at 37°C directly in the plate reader for 15 minutes, with absorbance </w:t>
      </w:r>
      <w:r w:rsidR="00DB254B">
        <w:rPr>
          <w:rFonts w:cstheme="minorHAnsi"/>
          <w:i/>
          <w:iCs/>
          <w:noProof/>
        </w:rPr>
        <w:t>measured</w:t>
      </w:r>
      <w:r w:rsidRPr="00CD419C">
        <w:rPr>
          <w:rFonts w:cstheme="minorHAnsi"/>
          <w:i/>
          <w:iCs/>
          <w:noProof/>
        </w:rPr>
        <w:t xml:space="preserve"> every 30 seconds</w:t>
      </w:r>
      <w:r w:rsidR="00170BDE" w:rsidRPr="00B2391C">
        <w:rPr>
          <w:rFonts w:cstheme="minorHAnsi"/>
          <w:i/>
          <w:iCs/>
          <w:noProof/>
        </w:rPr>
        <w:t>.</w:t>
      </w:r>
      <w:r w:rsidR="00170BDE">
        <w:rPr>
          <w:rFonts w:cstheme="minorHAnsi"/>
          <w:i/>
          <w:iCs/>
          <w:noProof/>
        </w:rPr>
        <w:t xml:space="preserve"> </w:t>
      </w:r>
      <w:r w:rsidR="00170BDE" w:rsidRPr="00B2391C">
        <w:rPr>
          <w:rFonts w:cstheme="minorHAnsi"/>
          <w:i/>
          <w:iCs/>
          <w:noProof/>
        </w:rPr>
        <w:t xml:space="preserve">Lino-LNCs incubated with 1000 U of pancreatic lipase released significantly more glycerol within the time frame compared to LNCs incubated with 100 U (A, B). Control experiments with </w:t>
      </w:r>
      <w:r w:rsidR="00170BDE">
        <w:rPr>
          <w:rFonts w:cstheme="minorHAnsi"/>
          <w:i/>
          <w:iCs/>
          <w:noProof/>
        </w:rPr>
        <w:t xml:space="preserve">1.0 mg/ml </w:t>
      </w:r>
      <w:r w:rsidR="00170BDE" w:rsidRPr="00B2391C">
        <w:rPr>
          <w:rFonts w:cstheme="minorHAnsi"/>
          <w:i/>
          <w:iCs/>
          <w:noProof/>
        </w:rPr>
        <w:t>Lino-LNC particle</w:t>
      </w:r>
      <w:r w:rsidR="00170BDE">
        <w:rPr>
          <w:rFonts w:cstheme="minorHAnsi"/>
          <w:i/>
          <w:iCs/>
          <w:noProof/>
        </w:rPr>
        <w:t xml:space="preserve"> sample without lipase</w:t>
      </w:r>
      <w:r w:rsidR="00170BDE" w:rsidRPr="00B2391C">
        <w:rPr>
          <w:rFonts w:cstheme="minorHAnsi"/>
          <w:i/>
          <w:iCs/>
          <w:noProof/>
        </w:rPr>
        <w:t xml:space="preserve"> or 1000 U of lipase alone showed only minimal absorbance, suggesting negligible glycerol release</w:t>
      </w:r>
      <w:r w:rsidR="00170BDE">
        <w:rPr>
          <w:rFonts w:cstheme="minorHAnsi"/>
          <w:i/>
          <w:iCs/>
          <w:noProof/>
        </w:rPr>
        <w:t xml:space="preserve"> (A)</w:t>
      </w:r>
      <w:r w:rsidR="00170BDE" w:rsidRPr="00B2391C">
        <w:rPr>
          <w:rFonts w:cstheme="minorHAnsi"/>
          <w:i/>
          <w:iCs/>
          <w:noProof/>
        </w:rPr>
        <w:t>. Additionally, 0.1 mg/ml Lino-LNC particles incubated under similar conditions did not result in measurable absorbance after blank subtraction and are thus displayed as a value of 0 (B).</w:t>
      </w:r>
      <w:r w:rsidR="00170BDE">
        <w:rPr>
          <w:rFonts w:cstheme="minorHAnsi"/>
          <w:i/>
          <w:iCs/>
          <w:noProof/>
        </w:rPr>
        <w:t xml:space="preserve"> The graphs displayed are corrected by the signal generated by lipase and the particles co incubated in DPBS. </w:t>
      </w:r>
      <w:r w:rsidR="00170BDE" w:rsidRPr="00B2391C">
        <w:rPr>
          <w:rFonts w:cstheme="minorHAnsi"/>
          <w:i/>
          <w:iCs/>
        </w:rPr>
        <w:t>Data is presented as mean ± SD</w:t>
      </w:r>
      <w:r w:rsidR="00170BDE">
        <w:rPr>
          <w:rFonts w:cstheme="minorHAnsi"/>
          <w:i/>
          <w:iCs/>
        </w:rPr>
        <w:t xml:space="preserve"> (n=3)</w:t>
      </w:r>
    </w:p>
    <w:p w14:paraId="0E370C37" w14:textId="77777777" w:rsidR="00170BDE" w:rsidRDefault="00170BDE" w:rsidP="00E5057C">
      <w:pPr>
        <w:shd w:val="clear" w:color="auto" w:fill="auto"/>
        <w:jc w:val="left"/>
        <w:rPr>
          <w:rFonts w:cstheme="minorHAnsi"/>
          <w:noProof/>
        </w:rPr>
      </w:pPr>
    </w:p>
    <w:p w14:paraId="0E4DEA8E" w14:textId="5E2BF3F5" w:rsidR="00170BDE" w:rsidRDefault="00170BDE">
      <w:pPr>
        <w:shd w:val="clear" w:color="auto" w:fill="auto"/>
        <w:spacing w:line="259" w:lineRule="auto"/>
        <w:jc w:val="left"/>
        <w:rPr>
          <w:rFonts w:cstheme="minorHAnsi"/>
          <w:noProof/>
        </w:rPr>
      </w:pPr>
      <w:r>
        <w:rPr>
          <w:rFonts w:cstheme="minorHAnsi"/>
          <w:noProof/>
        </w:rPr>
        <w:br w:type="page"/>
      </w:r>
    </w:p>
    <w:p w14:paraId="573AE032" w14:textId="77777777" w:rsidR="00170BDE" w:rsidRDefault="00170BDE" w:rsidP="00E5057C">
      <w:pPr>
        <w:shd w:val="clear" w:color="auto" w:fill="auto"/>
        <w:jc w:val="left"/>
        <w:rPr>
          <w:rFonts w:cstheme="minorHAnsi"/>
          <w:noProof/>
        </w:rPr>
      </w:pPr>
    </w:p>
    <w:p w14:paraId="69B1D9AE" w14:textId="379413E7" w:rsidR="00DA5297" w:rsidRDefault="00DA5297" w:rsidP="00DA5297">
      <w:pPr>
        <w:pStyle w:val="KeinLeerraum"/>
        <w:spacing w:line="360" w:lineRule="auto"/>
        <w:rPr>
          <w:rFonts w:cstheme="minorHAnsi"/>
          <w:noProof/>
        </w:rPr>
      </w:pPr>
      <w:r>
        <w:rPr>
          <w:rFonts w:cstheme="minorHAnsi"/>
          <w:noProof/>
        </w:rPr>
        <w:t>Fig. S</w:t>
      </w:r>
      <w:r w:rsidRPr="00B7523D">
        <w:rPr>
          <w:rFonts w:cstheme="minorHAnsi"/>
          <w:noProof/>
        </w:rPr>
        <w:t xml:space="preserve"> </w:t>
      </w:r>
      <w:r w:rsidR="00170BDE">
        <w:rPr>
          <w:rFonts w:cstheme="minorHAnsi"/>
          <w:noProof/>
        </w:rPr>
        <w:t>4</w:t>
      </w:r>
    </w:p>
    <w:p w14:paraId="66F8C498" w14:textId="316FCE96" w:rsidR="00DA5297" w:rsidRDefault="000938F6" w:rsidP="00DA5297">
      <w:pPr>
        <w:pStyle w:val="KeinLeerraum"/>
        <w:spacing w:line="360" w:lineRule="auto"/>
        <w:rPr>
          <w:rFonts w:cstheme="minorHAnsi"/>
          <w:noProof/>
        </w:rPr>
      </w:pPr>
      <w:r>
        <w:rPr>
          <w:noProof/>
        </w:rPr>
        <w:drawing>
          <wp:inline distT="0" distB="0" distL="0" distR="0" wp14:anchorId="700D4BE1" wp14:editId="28BAFCC1">
            <wp:extent cx="5760720" cy="6166485"/>
            <wp:effectExtent l="0" t="0" r="0" b="5715"/>
            <wp:docPr id="1380585353" name="Picture 4" descr="A close-up of several imag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85353" name="Picture 4" descr="A close-up of several images of bacteria&#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6166485"/>
                    </a:xfrm>
                    <a:prstGeom prst="rect">
                      <a:avLst/>
                    </a:prstGeom>
                    <a:noFill/>
                    <a:ln>
                      <a:noFill/>
                    </a:ln>
                  </pic:spPr>
                </pic:pic>
              </a:graphicData>
            </a:graphic>
          </wp:inline>
        </w:drawing>
      </w:r>
    </w:p>
    <w:p w14:paraId="3BAF9A3E" w14:textId="283C9715" w:rsidR="00E5057C" w:rsidRPr="00E5057C" w:rsidRDefault="00DA5297" w:rsidP="00DA5297">
      <w:pPr>
        <w:pStyle w:val="KeinLeerraum"/>
        <w:spacing w:line="360" w:lineRule="auto"/>
        <w:rPr>
          <w:rFonts w:cstheme="minorHAnsi"/>
          <w:noProof/>
          <w:u w:val="single"/>
        </w:rPr>
      </w:pPr>
      <w:r w:rsidRPr="00E5057C">
        <w:rPr>
          <w:rFonts w:cstheme="minorHAnsi"/>
          <w:noProof/>
          <w:u w:val="single"/>
        </w:rPr>
        <w:t xml:space="preserve">Fig. S </w:t>
      </w:r>
      <w:r w:rsidR="00170BDE">
        <w:rPr>
          <w:rFonts w:cstheme="minorHAnsi"/>
          <w:noProof/>
          <w:u w:val="single"/>
        </w:rPr>
        <w:t>4</w:t>
      </w:r>
      <w:r w:rsidRPr="00E5057C">
        <w:rPr>
          <w:rFonts w:cstheme="minorHAnsi"/>
          <w:noProof/>
          <w:u w:val="single"/>
        </w:rPr>
        <w:t>:</w:t>
      </w:r>
      <w:r w:rsidR="00E5057C" w:rsidRPr="00E5057C">
        <w:rPr>
          <w:rFonts w:cstheme="minorHAnsi"/>
          <w:noProof/>
          <w:u w:val="single"/>
        </w:rPr>
        <w:t xml:space="preserve"> Overview of cellular morphologies of the untreated J774.A1 cell line </w:t>
      </w:r>
    </w:p>
    <w:p w14:paraId="709AF9FF" w14:textId="55499B88" w:rsidR="00DA5297" w:rsidRPr="003B0539" w:rsidRDefault="00E5057C" w:rsidP="00E5057C">
      <w:pPr>
        <w:pStyle w:val="KeinLeerraum"/>
        <w:rPr>
          <w:rFonts w:cstheme="minorHAnsi"/>
          <w:i/>
          <w:iCs/>
        </w:rPr>
      </w:pPr>
      <w:r w:rsidRPr="003B0539">
        <w:rPr>
          <w:i/>
          <w:iCs/>
        </w:rPr>
        <w:t xml:space="preserve">The micrographs display BSE images obtained by SEM imaging of HMDS prepared J774.A1 cells. </w:t>
      </w:r>
      <w:r w:rsidR="00DA5297" w:rsidRPr="003B0539">
        <w:rPr>
          <w:rFonts w:cstheme="minorHAnsi"/>
          <w:i/>
          <w:iCs/>
          <w:noProof/>
        </w:rPr>
        <w:t xml:space="preserve">Sections A and B represent small areas of adherend cells. Micrographs C-E represent the 3 morphological types of the cell line ranging from round (C) to elongated (D) to large and flat (E). Especially the elongated cells can stretch over distances of 40 </w:t>
      </w:r>
      <w:r w:rsidR="00DA5297" w:rsidRPr="003B0539">
        <w:rPr>
          <w:rFonts w:cstheme="minorHAnsi"/>
          <w:i/>
          <w:iCs/>
        </w:rPr>
        <w:t>µm</w:t>
      </w:r>
      <w:r w:rsidRPr="003B0539">
        <w:rPr>
          <w:rFonts w:cstheme="minorHAnsi"/>
          <w:i/>
          <w:iCs/>
        </w:rPr>
        <w:t>. All</w:t>
      </w:r>
      <w:r w:rsidR="00DA5297" w:rsidRPr="003B0539">
        <w:rPr>
          <w:rFonts w:cstheme="minorHAnsi"/>
          <w:i/>
          <w:iCs/>
        </w:rPr>
        <w:t xml:space="preserve"> cells show extensive signs of membrane ruffling (F).</w:t>
      </w:r>
    </w:p>
    <w:p w14:paraId="58618815" w14:textId="30AE7DA6" w:rsidR="00DA5297" w:rsidRPr="00B7523D" w:rsidRDefault="00E5057C" w:rsidP="00E5057C">
      <w:pPr>
        <w:shd w:val="clear" w:color="auto" w:fill="auto"/>
        <w:spacing w:line="259" w:lineRule="auto"/>
        <w:jc w:val="left"/>
        <w:rPr>
          <w:rFonts w:cstheme="minorHAnsi"/>
        </w:rPr>
      </w:pPr>
      <w:r>
        <w:rPr>
          <w:rFonts w:cstheme="minorHAnsi"/>
        </w:rPr>
        <w:br w:type="page"/>
      </w:r>
    </w:p>
    <w:p w14:paraId="2A6FEA3A" w14:textId="4A49511D" w:rsidR="00DA5297" w:rsidRPr="00B7523D" w:rsidRDefault="00DA5297" w:rsidP="00DA5297">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w:t>
      </w:r>
      <w:r w:rsidR="00170BDE">
        <w:rPr>
          <w:rFonts w:cstheme="minorHAnsi"/>
          <w:noProof/>
        </w:rPr>
        <w:t>5</w:t>
      </w:r>
    </w:p>
    <w:p w14:paraId="22798EA3" w14:textId="011ECF41" w:rsidR="00DA5297" w:rsidRPr="00B7523D" w:rsidRDefault="000938F6" w:rsidP="00DA5297">
      <w:pPr>
        <w:pStyle w:val="KeinLeerraum"/>
        <w:spacing w:line="360" w:lineRule="auto"/>
        <w:rPr>
          <w:rFonts w:cstheme="minorHAnsi"/>
          <w:noProof/>
        </w:rPr>
      </w:pPr>
      <w:r>
        <w:rPr>
          <w:noProof/>
        </w:rPr>
        <w:drawing>
          <wp:inline distT="0" distB="0" distL="0" distR="0" wp14:anchorId="55F7DDEF" wp14:editId="523A7C2F">
            <wp:extent cx="5760720" cy="4100195"/>
            <wp:effectExtent l="0" t="0" r="0" b="0"/>
            <wp:docPr id="1219108095" name="Picture 5" descr="A close-up of several imag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08095" name="Picture 5" descr="A close-up of several images of bacteria&#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100195"/>
                    </a:xfrm>
                    <a:prstGeom prst="rect">
                      <a:avLst/>
                    </a:prstGeom>
                    <a:noFill/>
                    <a:ln>
                      <a:noFill/>
                    </a:ln>
                  </pic:spPr>
                </pic:pic>
              </a:graphicData>
            </a:graphic>
          </wp:inline>
        </w:drawing>
      </w:r>
    </w:p>
    <w:p w14:paraId="6E364A8A" w14:textId="601003F6" w:rsidR="00E5057C" w:rsidRDefault="00DA5297" w:rsidP="00DA5297">
      <w:pPr>
        <w:pStyle w:val="KeinLeerraum"/>
        <w:spacing w:line="360" w:lineRule="auto"/>
        <w:rPr>
          <w:u w:val="single"/>
        </w:rPr>
      </w:pPr>
      <w:r w:rsidRPr="00E5057C">
        <w:rPr>
          <w:rFonts w:cstheme="minorHAnsi"/>
          <w:noProof/>
          <w:u w:val="single"/>
        </w:rPr>
        <w:t xml:space="preserve">Fig. S </w:t>
      </w:r>
      <w:r w:rsidR="00170BDE">
        <w:rPr>
          <w:rFonts w:cstheme="minorHAnsi"/>
          <w:noProof/>
          <w:u w:val="single"/>
        </w:rPr>
        <w:t>5</w:t>
      </w:r>
      <w:r w:rsidRPr="00E5057C">
        <w:rPr>
          <w:rFonts w:cstheme="minorHAnsi"/>
          <w:noProof/>
          <w:u w:val="single"/>
        </w:rPr>
        <w:t xml:space="preserve">: J774.A1 Cells after treatment with </w:t>
      </w:r>
      <w:bookmarkStart w:id="0" w:name="OLE_LINK3"/>
      <w:r w:rsidR="00E5057C" w:rsidRPr="00E5057C">
        <w:rPr>
          <w:u w:val="single"/>
        </w:rPr>
        <w:t>Ω3EE-LNC</w:t>
      </w:r>
      <w:bookmarkEnd w:id="0"/>
      <w:r w:rsidR="00E5057C" w:rsidRPr="00E5057C">
        <w:rPr>
          <w:u w:val="single"/>
        </w:rPr>
        <w:t xml:space="preserve"> after 15, 30</w:t>
      </w:r>
      <w:r w:rsidR="00E5057C">
        <w:rPr>
          <w:u w:val="single"/>
        </w:rPr>
        <w:t>, 6</w:t>
      </w:r>
      <w:r w:rsidR="00E5057C" w:rsidRPr="00E5057C">
        <w:rPr>
          <w:u w:val="single"/>
        </w:rPr>
        <w:t>0 and 120 min of incubation.</w:t>
      </w:r>
    </w:p>
    <w:p w14:paraId="3B76B84D" w14:textId="25AFB356" w:rsidR="00DA5297" w:rsidRPr="00E5057C" w:rsidRDefault="00E5057C" w:rsidP="00E5057C">
      <w:pPr>
        <w:pStyle w:val="KeinLeerraum"/>
        <w:rPr>
          <w:i/>
          <w:iCs/>
        </w:rPr>
      </w:pPr>
      <w:r w:rsidRPr="00E5057C">
        <w:rPr>
          <w:i/>
          <w:iCs/>
        </w:rPr>
        <w:t>The micrographs display BSE images obtained by SEM imaging of HMDS prepared J774.A1 cells after incubation of 0.1 mg/ml of Ω3EE-LNC</w:t>
      </w:r>
      <w:r>
        <w:rPr>
          <w:i/>
          <w:iCs/>
        </w:rPr>
        <w:t>. Image sections display cells</w:t>
      </w:r>
      <w:r w:rsidRPr="00E5057C">
        <w:rPr>
          <w:rFonts w:cstheme="minorHAnsi"/>
          <w:i/>
          <w:iCs/>
          <w:noProof/>
        </w:rPr>
        <w:t xml:space="preserve"> </w:t>
      </w:r>
      <w:r w:rsidR="00DA5297" w:rsidRPr="00E5057C">
        <w:rPr>
          <w:rFonts w:cstheme="minorHAnsi"/>
          <w:i/>
          <w:iCs/>
          <w:noProof/>
        </w:rPr>
        <w:t xml:space="preserve">after 15 min </w:t>
      </w:r>
      <w:r>
        <w:rPr>
          <w:rFonts w:cstheme="minorHAnsi"/>
          <w:i/>
          <w:iCs/>
          <w:noProof/>
        </w:rPr>
        <w:t>i</w:t>
      </w:r>
      <w:r w:rsidR="00DA5297" w:rsidRPr="00E5057C">
        <w:rPr>
          <w:rFonts w:cstheme="minorHAnsi"/>
          <w:i/>
          <w:iCs/>
          <w:noProof/>
        </w:rPr>
        <w:t xml:space="preserve">ncubation (A), 30 min incubation (B) 60 min incubation (C) and 120 min incubation (D). </w:t>
      </w:r>
      <w:r>
        <w:rPr>
          <w:rFonts w:cstheme="minorHAnsi"/>
          <w:i/>
          <w:iCs/>
          <w:noProof/>
        </w:rPr>
        <w:t>LNC u</w:t>
      </w:r>
      <w:r w:rsidR="00DA5297" w:rsidRPr="00E5057C">
        <w:rPr>
          <w:rFonts w:cstheme="minorHAnsi"/>
          <w:i/>
          <w:iCs/>
          <w:noProof/>
        </w:rPr>
        <w:t>ptake could be detected after 15 min, visible as bright spots.</w:t>
      </w:r>
    </w:p>
    <w:p w14:paraId="2F557169" w14:textId="48DF8B50" w:rsidR="00DA5297" w:rsidRPr="00B7523D" w:rsidRDefault="00DA5297" w:rsidP="00E5057C">
      <w:pPr>
        <w:shd w:val="clear" w:color="auto" w:fill="auto"/>
        <w:jc w:val="left"/>
        <w:rPr>
          <w:rFonts w:cstheme="minorHAnsi"/>
          <w:noProof/>
        </w:rPr>
      </w:pPr>
      <w:r>
        <w:rPr>
          <w:rFonts w:cstheme="minorHAnsi"/>
          <w:noProof/>
        </w:rPr>
        <w:br w:type="page"/>
      </w:r>
    </w:p>
    <w:p w14:paraId="7BEC878E" w14:textId="72BE8A44" w:rsidR="00DA5297" w:rsidRPr="00B7523D" w:rsidRDefault="00DA5297" w:rsidP="00DA5297">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w:t>
      </w:r>
      <w:r w:rsidR="00170BDE">
        <w:rPr>
          <w:rFonts w:cstheme="minorHAnsi"/>
          <w:noProof/>
        </w:rPr>
        <w:t>6</w:t>
      </w:r>
      <w:r w:rsidRPr="00B7523D">
        <w:rPr>
          <w:rFonts w:cstheme="minorHAnsi"/>
          <w:noProof/>
        </w:rPr>
        <w:t>:</w:t>
      </w:r>
    </w:p>
    <w:p w14:paraId="3C195E8D" w14:textId="3D9246BE" w:rsidR="00DA5297" w:rsidRPr="00B7523D" w:rsidRDefault="000938F6" w:rsidP="00DA5297">
      <w:pPr>
        <w:pStyle w:val="KeinLeerraum"/>
        <w:spacing w:line="360" w:lineRule="auto"/>
        <w:rPr>
          <w:rFonts w:cstheme="minorHAnsi"/>
          <w:noProof/>
        </w:rPr>
      </w:pPr>
      <w:r>
        <w:rPr>
          <w:noProof/>
        </w:rPr>
        <w:drawing>
          <wp:inline distT="0" distB="0" distL="0" distR="0" wp14:anchorId="3B44AA4A" wp14:editId="17E89F78">
            <wp:extent cx="5760720" cy="4100195"/>
            <wp:effectExtent l="0" t="0" r="0" b="0"/>
            <wp:docPr id="45178911" name="Picture 6" descr="A close-up of several imag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8911" name="Picture 6" descr="A close-up of several images of bacteria&#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100195"/>
                    </a:xfrm>
                    <a:prstGeom prst="rect">
                      <a:avLst/>
                    </a:prstGeom>
                    <a:noFill/>
                    <a:ln>
                      <a:noFill/>
                    </a:ln>
                  </pic:spPr>
                </pic:pic>
              </a:graphicData>
            </a:graphic>
          </wp:inline>
        </w:drawing>
      </w:r>
    </w:p>
    <w:p w14:paraId="1AE45B03" w14:textId="5AD804C0" w:rsidR="00E5057C" w:rsidRDefault="00DA5297" w:rsidP="00DA5297">
      <w:pPr>
        <w:pStyle w:val="KeinLeerraum"/>
        <w:spacing w:line="360" w:lineRule="auto"/>
        <w:rPr>
          <w:rFonts w:cstheme="minorHAnsi"/>
          <w:i/>
          <w:iCs/>
          <w:noProof/>
        </w:rPr>
      </w:pPr>
      <w:r>
        <w:rPr>
          <w:rFonts w:cstheme="minorHAnsi"/>
          <w:i/>
          <w:iCs/>
          <w:noProof/>
        </w:rPr>
        <w:t xml:space="preserve">Fig. </w:t>
      </w:r>
      <w:r w:rsidR="00170BDE">
        <w:rPr>
          <w:rFonts w:cstheme="minorHAnsi"/>
          <w:i/>
          <w:iCs/>
          <w:noProof/>
        </w:rPr>
        <w:t>6</w:t>
      </w:r>
      <w:r w:rsidRPr="00B7523D">
        <w:rPr>
          <w:rFonts w:cstheme="minorHAnsi"/>
          <w:i/>
          <w:iCs/>
          <w:noProof/>
        </w:rPr>
        <w:t xml:space="preserve">: </w:t>
      </w:r>
      <w:r w:rsidR="00E5057C" w:rsidRPr="00E5057C">
        <w:rPr>
          <w:rFonts w:cstheme="minorHAnsi"/>
          <w:noProof/>
          <w:u w:val="single"/>
        </w:rPr>
        <w:t xml:space="preserve">J774.A1 Cells after treatment with </w:t>
      </w:r>
      <w:r w:rsidR="00E5057C" w:rsidRPr="00E5057C">
        <w:rPr>
          <w:u w:val="single"/>
        </w:rPr>
        <w:t>Ω3</w:t>
      </w:r>
      <w:r w:rsidR="00E5057C">
        <w:rPr>
          <w:u w:val="single"/>
        </w:rPr>
        <w:t>TG</w:t>
      </w:r>
      <w:r w:rsidR="00E5057C" w:rsidRPr="00E5057C">
        <w:rPr>
          <w:u w:val="single"/>
        </w:rPr>
        <w:t>-LNC after 15, 30</w:t>
      </w:r>
      <w:r w:rsidR="00E5057C">
        <w:rPr>
          <w:u w:val="single"/>
        </w:rPr>
        <w:t>,</w:t>
      </w:r>
      <w:r w:rsidR="00E5057C" w:rsidRPr="00E5057C">
        <w:rPr>
          <w:u w:val="single"/>
        </w:rPr>
        <w:t xml:space="preserve"> </w:t>
      </w:r>
      <w:r w:rsidR="00E5057C">
        <w:rPr>
          <w:u w:val="single"/>
        </w:rPr>
        <w:t>6</w:t>
      </w:r>
      <w:r w:rsidR="00E5057C" w:rsidRPr="00E5057C">
        <w:rPr>
          <w:u w:val="single"/>
        </w:rPr>
        <w:t>0 and 120 min of incubation.</w:t>
      </w:r>
    </w:p>
    <w:p w14:paraId="344D2CC0" w14:textId="17BF8965" w:rsidR="00DA5297" w:rsidRPr="00A208B7" w:rsidRDefault="00E5057C" w:rsidP="00E5057C">
      <w:pPr>
        <w:pStyle w:val="KeinLeerraum"/>
        <w:rPr>
          <w:rFonts w:cstheme="minorHAnsi"/>
          <w:i/>
          <w:iCs/>
          <w:noProof/>
        </w:rPr>
      </w:pPr>
      <w:r w:rsidRPr="00A208B7">
        <w:rPr>
          <w:i/>
          <w:iCs/>
        </w:rPr>
        <w:t>The micrographs display BSE images obtained by SEM imaging of HMDS prepared J774.A1 cells after incubation of 0.1 mg/ml of Ω3TG-LNC</w:t>
      </w:r>
      <w:r w:rsidRPr="00A208B7">
        <w:rPr>
          <w:rFonts w:cstheme="minorHAnsi"/>
          <w:i/>
          <w:iCs/>
          <w:noProof/>
        </w:rPr>
        <w:t xml:space="preserve">. Visible within the image sections are </w:t>
      </w:r>
      <w:r w:rsidR="00DA5297" w:rsidRPr="00A208B7">
        <w:rPr>
          <w:rFonts w:cstheme="minorHAnsi"/>
          <w:i/>
          <w:iCs/>
          <w:noProof/>
        </w:rPr>
        <w:t xml:space="preserve">J774.A1 cells after 15 min incubation (A), 30 min incubation (B) 60 min incubation (C) and 120 min incubation (D). </w:t>
      </w:r>
      <w:r w:rsidRPr="00A208B7">
        <w:rPr>
          <w:i/>
          <w:iCs/>
          <w:u w:val="single"/>
        </w:rPr>
        <w:t>Ω3TG-LNC</w:t>
      </w:r>
      <w:r w:rsidR="00DA5297" w:rsidRPr="00A208B7">
        <w:rPr>
          <w:rFonts w:cstheme="minorHAnsi"/>
          <w:i/>
          <w:iCs/>
          <w:noProof/>
        </w:rPr>
        <w:t xml:space="preserve"> uptake could be detected after 30 min, visible as bright spots. The imaged cells in the sections occasionally have </w:t>
      </w:r>
      <w:r w:rsidRPr="00A208B7">
        <w:rPr>
          <w:rFonts w:cstheme="minorHAnsi"/>
          <w:i/>
          <w:iCs/>
          <w:noProof/>
        </w:rPr>
        <w:t xml:space="preserve">LNC </w:t>
      </w:r>
      <w:r w:rsidR="00DA5297" w:rsidRPr="00A208B7">
        <w:rPr>
          <w:rFonts w:cstheme="minorHAnsi"/>
          <w:i/>
          <w:iCs/>
          <w:noProof/>
        </w:rPr>
        <w:t>droplets adhering to the surface, especially the cell in micrograph section D.</w:t>
      </w:r>
    </w:p>
    <w:p w14:paraId="2D9E17F3" w14:textId="7BDD0864" w:rsidR="00DA5297" w:rsidRPr="00B7523D" w:rsidRDefault="00DA5297" w:rsidP="00E5057C">
      <w:pPr>
        <w:shd w:val="clear" w:color="auto" w:fill="auto"/>
        <w:jc w:val="left"/>
        <w:rPr>
          <w:rFonts w:cstheme="minorHAnsi"/>
          <w:noProof/>
        </w:rPr>
      </w:pPr>
      <w:r>
        <w:rPr>
          <w:rFonts w:cstheme="minorHAnsi"/>
          <w:noProof/>
        </w:rPr>
        <w:br w:type="page"/>
      </w:r>
    </w:p>
    <w:p w14:paraId="250993A8" w14:textId="19448D8E" w:rsidR="00DA5297" w:rsidRPr="00B7523D" w:rsidRDefault="00DA5297" w:rsidP="00DA5297">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w:t>
      </w:r>
      <w:r w:rsidR="00170BDE">
        <w:rPr>
          <w:rFonts w:cstheme="minorHAnsi"/>
          <w:noProof/>
        </w:rPr>
        <w:t>7</w:t>
      </w:r>
    </w:p>
    <w:p w14:paraId="7B72475B" w14:textId="1399D2F9" w:rsidR="00DA5297" w:rsidRPr="00B7523D" w:rsidRDefault="000938F6" w:rsidP="00DA5297">
      <w:pPr>
        <w:pStyle w:val="KeinLeerraum"/>
        <w:spacing w:line="360" w:lineRule="auto"/>
        <w:rPr>
          <w:rFonts w:cstheme="minorHAnsi"/>
          <w:noProof/>
        </w:rPr>
      </w:pPr>
      <w:r>
        <w:rPr>
          <w:noProof/>
        </w:rPr>
        <w:drawing>
          <wp:inline distT="0" distB="0" distL="0" distR="0" wp14:anchorId="3D580FDC" wp14:editId="21BC3D50">
            <wp:extent cx="5760720" cy="4100195"/>
            <wp:effectExtent l="0" t="0" r="0" b="0"/>
            <wp:docPr id="1094488253" name="Picture 8" descr="A close-up of several imag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88253" name="Picture 8" descr="A close-up of several images of bacteria&#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100195"/>
                    </a:xfrm>
                    <a:prstGeom prst="rect">
                      <a:avLst/>
                    </a:prstGeom>
                    <a:noFill/>
                    <a:ln>
                      <a:noFill/>
                    </a:ln>
                  </pic:spPr>
                </pic:pic>
              </a:graphicData>
            </a:graphic>
          </wp:inline>
        </w:drawing>
      </w:r>
    </w:p>
    <w:p w14:paraId="7BDBCA7F" w14:textId="277B3CA6" w:rsidR="00E5057C" w:rsidRPr="00E5057C" w:rsidRDefault="00DA5297" w:rsidP="00DA5297">
      <w:pPr>
        <w:pStyle w:val="KeinLeerraum"/>
        <w:spacing w:line="360" w:lineRule="auto"/>
        <w:rPr>
          <w:rFonts w:cstheme="minorHAnsi"/>
          <w:i/>
          <w:iCs/>
          <w:noProof/>
          <w:u w:val="single"/>
        </w:rPr>
      </w:pPr>
      <w:r w:rsidRPr="00E5057C">
        <w:rPr>
          <w:rFonts w:cstheme="minorHAnsi"/>
          <w:i/>
          <w:iCs/>
          <w:noProof/>
          <w:u w:val="single"/>
        </w:rPr>
        <w:t xml:space="preserve">Fig. S </w:t>
      </w:r>
      <w:r w:rsidR="00170BDE">
        <w:rPr>
          <w:rFonts w:cstheme="minorHAnsi"/>
          <w:i/>
          <w:iCs/>
          <w:noProof/>
          <w:u w:val="single"/>
        </w:rPr>
        <w:t>7</w:t>
      </w:r>
      <w:r w:rsidRPr="00E5057C">
        <w:rPr>
          <w:rFonts w:cstheme="minorHAnsi"/>
          <w:i/>
          <w:iCs/>
          <w:noProof/>
          <w:u w:val="single"/>
        </w:rPr>
        <w:t>: Ultrastructure of lipid droplets after 24-h</w:t>
      </w:r>
      <w:r w:rsidR="00A208B7">
        <w:rPr>
          <w:rFonts w:cstheme="minorHAnsi"/>
          <w:i/>
          <w:iCs/>
          <w:noProof/>
          <w:u w:val="single"/>
        </w:rPr>
        <w:t>our</w:t>
      </w:r>
      <w:r w:rsidRPr="00E5057C">
        <w:rPr>
          <w:rFonts w:cstheme="minorHAnsi"/>
          <w:i/>
          <w:iCs/>
          <w:noProof/>
          <w:u w:val="single"/>
        </w:rPr>
        <w:t xml:space="preserve"> incubation </w:t>
      </w:r>
      <w:r w:rsidR="00A208B7">
        <w:rPr>
          <w:rFonts w:cstheme="minorHAnsi"/>
          <w:i/>
          <w:iCs/>
          <w:noProof/>
          <w:u w:val="single"/>
        </w:rPr>
        <w:t>using various contrast agents</w:t>
      </w:r>
      <w:r w:rsidRPr="00E5057C">
        <w:rPr>
          <w:rFonts w:cstheme="minorHAnsi"/>
          <w:i/>
          <w:iCs/>
          <w:noProof/>
          <w:u w:val="single"/>
        </w:rPr>
        <w:t xml:space="preserve">. </w:t>
      </w:r>
    </w:p>
    <w:p w14:paraId="08D390BD" w14:textId="34E5C9F9" w:rsidR="00DA5297" w:rsidRPr="00E5057C" w:rsidRDefault="00DA5297" w:rsidP="00E5057C">
      <w:pPr>
        <w:pStyle w:val="KeinLeerraum"/>
        <w:rPr>
          <w:rFonts w:cstheme="minorHAnsi"/>
          <w:i/>
          <w:iCs/>
          <w:noProof/>
        </w:rPr>
      </w:pPr>
      <w:r w:rsidRPr="00B7523D">
        <w:rPr>
          <w:rFonts w:cstheme="minorHAnsi"/>
          <w:i/>
          <w:iCs/>
          <w:noProof/>
        </w:rPr>
        <w:t xml:space="preserve">Lipid droplets stained with reduced osmium tetroxide </w:t>
      </w:r>
      <w:r w:rsidR="00E5057C">
        <w:rPr>
          <w:rFonts w:cstheme="minorHAnsi"/>
          <w:i/>
          <w:iCs/>
          <w:noProof/>
        </w:rPr>
        <w:t>and</w:t>
      </w:r>
      <w:r w:rsidRPr="00B7523D">
        <w:rPr>
          <w:rFonts w:cstheme="minorHAnsi"/>
          <w:i/>
          <w:iCs/>
          <w:noProof/>
        </w:rPr>
        <w:t xml:space="preserve"> post-staining on the grid show a homogeneous grayish structure (A). Lipid droplets stained with reduced osmium thiocarbohydrazide osmium show a core-shell structure (B,C). The addition of on grid staining did not change the morphology (B)</w:t>
      </w:r>
      <w:r w:rsidR="009F0BD5">
        <w:rPr>
          <w:rFonts w:cstheme="minorHAnsi"/>
          <w:i/>
          <w:iCs/>
          <w:noProof/>
        </w:rPr>
        <w:t xml:space="preserve"> of lipid droplets</w:t>
      </w:r>
      <w:r w:rsidRPr="00B7523D">
        <w:rPr>
          <w:rFonts w:cstheme="minorHAnsi"/>
          <w:i/>
          <w:iCs/>
          <w:noProof/>
        </w:rPr>
        <w:t>.</w:t>
      </w:r>
    </w:p>
    <w:p w14:paraId="1E3B1A8C" w14:textId="293A2133" w:rsidR="00DA5297" w:rsidRPr="00E5057C" w:rsidRDefault="00DA5297" w:rsidP="00DA5297">
      <w:pPr>
        <w:pStyle w:val="KeinLeerraum"/>
        <w:spacing w:line="360" w:lineRule="auto"/>
        <w:rPr>
          <w:rFonts w:cstheme="minorHAnsi"/>
          <w:b/>
          <w:bCs/>
          <w:noProof/>
        </w:rPr>
      </w:pPr>
      <w:r w:rsidRPr="00B7523D">
        <w:rPr>
          <w:rFonts w:cstheme="minorHAnsi"/>
          <w:b/>
          <w:bCs/>
          <w:noProof/>
        </w:rPr>
        <w:t>Methods:</w:t>
      </w:r>
    </w:p>
    <w:p w14:paraId="5C7623A1" w14:textId="2B3C00CC" w:rsidR="00DA5297" w:rsidRPr="00B7523D" w:rsidRDefault="00DA5297" w:rsidP="00DA5297">
      <w:pPr>
        <w:pStyle w:val="KeinLeerraum"/>
        <w:spacing w:line="360" w:lineRule="auto"/>
        <w:rPr>
          <w:rFonts w:cstheme="minorHAnsi"/>
          <w:noProof/>
        </w:rPr>
      </w:pPr>
      <w:r w:rsidRPr="00B7523D">
        <w:rPr>
          <w:rFonts w:cstheme="minorHAnsi"/>
          <w:noProof/>
        </w:rPr>
        <w:t xml:space="preserve">Fixation, dehydration, embedding and ultramicrotomy was performed as previously described. Reduced Osmium staining was performed for 90 min using 1,5% ferrocyanide-1% osmium tetroxide. The rOTO staining was performed as described in the method sections. On grid staining was performed using uranyl acetate (Electron microscopy sciences, 1560 Industry Road Hatfield, Pennsylvania, </w:t>
      </w:r>
      <w:r>
        <w:rPr>
          <w:rFonts w:cstheme="minorHAnsi"/>
          <w:noProof/>
        </w:rPr>
        <w:t>USA</w:t>
      </w:r>
      <w:r w:rsidRPr="00B7523D">
        <w:rPr>
          <w:rFonts w:cstheme="minorHAnsi"/>
          <w:noProof/>
        </w:rPr>
        <w:t>) 2</w:t>
      </w:r>
      <w:r w:rsidR="00A208B7">
        <w:rPr>
          <w:rFonts w:cstheme="minorHAnsi"/>
          <w:noProof/>
        </w:rPr>
        <w:t xml:space="preserve"> </w:t>
      </w:r>
      <w:r w:rsidRPr="00B7523D">
        <w:rPr>
          <w:rFonts w:cstheme="minorHAnsi"/>
          <w:noProof/>
        </w:rPr>
        <w:t>% solution for 25 minutes following 7 minutes 3</w:t>
      </w:r>
      <w:r w:rsidR="00A208B7">
        <w:rPr>
          <w:rFonts w:cstheme="minorHAnsi"/>
          <w:noProof/>
        </w:rPr>
        <w:t xml:space="preserve"> </w:t>
      </w:r>
      <w:r w:rsidRPr="00B7523D">
        <w:rPr>
          <w:rFonts w:cstheme="minorHAnsi"/>
          <w:noProof/>
        </w:rPr>
        <w:t>% lead citrate.</w:t>
      </w:r>
    </w:p>
    <w:p w14:paraId="3B41CF39" w14:textId="77777777" w:rsidR="00DA5297" w:rsidRDefault="00DA5297" w:rsidP="00DA5297">
      <w:pPr>
        <w:shd w:val="clear" w:color="auto" w:fill="auto"/>
        <w:jc w:val="left"/>
        <w:rPr>
          <w:rFonts w:cstheme="minorHAnsi"/>
          <w:noProof/>
        </w:rPr>
      </w:pPr>
      <w:r>
        <w:rPr>
          <w:rFonts w:cstheme="minorHAnsi"/>
          <w:noProof/>
        </w:rPr>
        <w:br w:type="page"/>
      </w:r>
    </w:p>
    <w:p w14:paraId="2DBED634" w14:textId="5031CDF5" w:rsidR="00DA5297" w:rsidRPr="002F0D1F" w:rsidRDefault="00DA5297" w:rsidP="00DA5297">
      <w:pPr>
        <w:pStyle w:val="KeinLeerraum"/>
        <w:spacing w:line="360" w:lineRule="auto"/>
        <w:rPr>
          <w:rFonts w:cstheme="minorHAnsi"/>
          <w:noProof/>
        </w:rPr>
      </w:pPr>
      <w:r>
        <w:rPr>
          <w:rFonts w:cstheme="minorHAnsi"/>
          <w:noProof/>
        </w:rPr>
        <w:lastRenderedPageBreak/>
        <w:t>Fig. S</w:t>
      </w:r>
      <w:r w:rsidRPr="00B7523D">
        <w:rPr>
          <w:rFonts w:cstheme="minorHAnsi"/>
          <w:noProof/>
        </w:rPr>
        <w:t xml:space="preserve"> </w:t>
      </w:r>
      <w:r w:rsidR="00170BDE">
        <w:rPr>
          <w:rFonts w:cstheme="minorHAnsi"/>
          <w:noProof/>
        </w:rPr>
        <w:t>8</w:t>
      </w:r>
    </w:p>
    <w:p w14:paraId="0D2C5326" w14:textId="6FE33B73" w:rsidR="00DA5297" w:rsidRDefault="000938F6" w:rsidP="00DA5297">
      <w:pPr>
        <w:pStyle w:val="KeinLeerraum"/>
        <w:spacing w:line="360" w:lineRule="auto"/>
        <w:rPr>
          <w:rFonts w:cstheme="minorHAnsi"/>
        </w:rPr>
      </w:pPr>
      <w:r>
        <w:rPr>
          <w:noProof/>
        </w:rPr>
        <w:drawing>
          <wp:inline distT="0" distB="0" distL="0" distR="0" wp14:anchorId="1DFC3CEE" wp14:editId="4614A9A0">
            <wp:extent cx="5760720" cy="2498090"/>
            <wp:effectExtent l="0" t="0" r="0" b="0"/>
            <wp:docPr id="268655259" name="Picture 9" descr="A graph of a test resul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55259" name="Picture 9" descr="A graph of a test resul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498090"/>
                    </a:xfrm>
                    <a:prstGeom prst="rect">
                      <a:avLst/>
                    </a:prstGeom>
                    <a:noFill/>
                    <a:ln>
                      <a:noFill/>
                    </a:ln>
                  </pic:spPr>
                </pic:pic>
              </a:graphicData>
            </a:graphic>
          </wp:inline>
        </w:drawing>
      </w:r>
    </w:p>
    <w:p w14:paraId="5670425E" w14:textId="71661DA6" w:rsidR="00E5057C" w:rsidRPr="00E5057C" w:rsidRDefault="00DA5297" w:rsidP="00DA5297">
      <w:pPr>
        <w:pStyle w:val="KeinLeerraum"/>
        <w:spacing w:line="360" w:lineRule="auto"/>
        <w:rPr>
          <w:rFonts w:cstheme="minorHAnsi"/>
          <w:u w:val="single"/>
        </w:rPr>
      </w:pPr>
      <w:r w:rsidRPr="00E5057C">
        <w:rPr>
          <w:rFonts w:cstheme="minorHAnsi"/>
          <w:u w:val="single"/>
        </w:rPr>
        <w:t>Fig. S</w:t>
      </w:r>
      <w:r w:rsidR="00E5057C">
        <w:rPr>
          <w:rFonts w:cstheme="minorHAnsi"/>
          <w:u w:val="single"/>
        </w:rPr>
        <w:t xml:space="preserve"> </w:t>
      </w:r>
      <w:r w:rsidR="0045008E">
        <w:rPr>
          <w:rFonts w:cstheme="minorHAnsi"/>
          <w:u w:val="single"/>
        </w:rPr>
        <w:t>8</w:t>
      </w:r>
      <w:r w:rsidRPr="00E5057C">
        <w:rPr>
          <w:rFonts w:cstheme="minorHAnsi"/>
          <w:u w:val="single"/>
        </w:rPr>
        <w:t>: Effect of lysosomotropic agents with and without Lino-</w:t>
      </w:r>
      <w:r w:rsidR="007319F3" w:rsidRPr="00E5057C">
        <w:rPr>
          <w:rFonts w:cstheme="minorHAnsi"/>
          <w:u w:val="single"/>
        </w:rPr>
        <w:t>LNC</w:t>
      </w:r>
      <w:r w:rsidRPr="00E5057C">
        <w:rPr>
          <w:rFonts w:cstheme="minorHAnsi"/>
          <w:u w:val="single"/>
        </w:rPr>
        <w:t xml:space="preserve"> treatment on viability of J774A.1 cells as determined by MTT assay. </w:t>
      </w:r>
    </w:p>
    <w:p w14:paraId="1FF49271" w14:textId="7B4A26F1" w:rsidR="00A208B7" w:rsidRDefault="00DA5297" w:rsidP="00A208B7">
      <w:pPr>
        <w:pStyle w:val="KeinLeerraum"/>
        <w:rPr>
          <w:rFonts w:cstheme="minorHAnsi"/>
          <w:i/>
          <w:iCs/>
        </w:rPr>
      </w:pPr>
      <w:r w:rsidRPr="00E5057C">
        <w:rPr>
          <w:rFonts w:cstheme="minorHAnsi"/>
          <w:i/>
          <w:iCs/>
        </w:rPr>
        <w:t>Viability after 24 hours of incubation with chloroquine is shown as a curve in A. Section B shows the effect of lalistat 2 compared with the untreated control after 24 hours. The effect of 0.1 mg/ml Lino-</w:t>
      </w:r>
      <w:r w:rsidR="007319F3" w:rsidRPr="00E5057C">
        <w:rPr>
          <w:rFonts w:cstheme="minorHAnsi"/>
          <w:i/>
          <w:iCs/>
        </w:rPr>
        <w:t xml:space="preserve">LNC </w:t>
      </w:r>
      <w:r w:rsidRPr="00E5057C">
        <w:rPr>
          <w:rFonts w:cstheme="minorHAnsi"/>
          <w:i/>
          <w:iCs/>
        </w:rPr>
        <w:t xml:space="preserve">on the viability of </w:t>
      </w:r>
      <w:proofErr w:type="gramStart"/>
      <w:r w:rsidRPr="00E5057C">
        <w:rPr>
          <w:rFonts w:cstheme="minorHAnsi"/>
          <w:i/>
          <w:iCs/>
        </w:rPr>
        <w:t>cells pre-treated</w:t>
      </w:r>
      <w:proofErr w:type="gramEnd"/>
      <w:r w:rsidRPr="00E5057C">
        <w:rPr>
          <w:rFonts w:cstheme="minorHAnsi"/>
          <w:i/>
          <w:iCs/>
        </w:rPr>
        <w:t xml:space="preserve"> with </w:t>
      </w:r>
      <w:r w:rsidR="00A208B7">
        <w:rPr>
          <w:rFonts w:cstheme="minorHAnsi"/>
          <w:i/>
          <w:iCs/>
        </w:rPr>
        <w:t>lalistat 2</w:t>
      </w:r>
      <w:r w:rsidRPr="00E5057C">
        <w:rPr>
          <w:rFonts w:cstheme="minorHAnsi"/>
          <w:i/>
          <w:iCs/>
        </w:rPr>
        <w:t xml:space="preserve"> and </w:t>
      </w:r>
      <w:r w:rsidR="00A208B7">
        <w:rPr>
          <w:rFonts w:cstheme="minorHAnsi"/>
          <w:i/>
          <w:iCs/>
        </w:rPr>
        <w:t>chloroquine</w:t>
      </w:r>
      <w:r w:rsidRPr="00E5057C">
        <w:rPr>
          <w:rFonts w:cstheme="minorHAnsi"/>
          <w:i/>
          <w:iCs/>
        </w:rPr>
        <w:t xml:space="preserve"> after 24 hours is shown as a bar graph in C. Viability was calculated with respect to the untreated control, which was set as 100%. </w:t>
      </w:r>
      <w:bookmarkStart w:id="1" w:name="_Hlk146793464"/>
      <w:r w:rsidRPr="00E5057C">
        <w:rPr>
          <w:rFonts w:cstheme="minorHAnsi"/>
          <w:i/>
          <w:iCs/>
        </w:rPr>
        <w:t xml:space="preserve">Data is presented as mean ± SD </w:t>
      </w:r>
      <w:bookmarkEnd w:id="1"/>
      <w:r w:rsidRPr="00E5057C">
        <w:rPr>
          <w:rFonts w:cstheme="minorHAnsi"/>
          <w:i/>
          <w:iCs/>
        </w:rPr>
        <w:t xml:space="preserve">with </w:t>
      </w:r>
      <w:r w:rsidR="00C53CDB" w:rsidRPr="00E5057C">
        <w:rPr>
          <w:rFonts w:cstheme="minorHAnsi"/>
          <w:i/>
          <w:iCs/>
        </w:rPr>
        <w:t>s</w:t>
      </w:r>
      <w:r w:rsidRPr="00E5057C">
        <w:rPr>
          <w:rFonts w:cstheme="minorHAnsi"/>
          <w:i/>
          <w:iCs/>
        </w:rPr>
        <w:t xml:space="preserve">ignificance levels: * p &lt; 0.05; ** p &lt; 0.01; *** p &lt; 0.001, **** p &lt; 0.0001 calculated by </w:t>
      </w:r>
      <w:proofErr w:type="gramStart"/>
      <w:r w:rsidRPr="00E5057C">
        <w:rPr>
          <w:rFonts w:cstheme="minorHAnsi"/>
          <w:i/>
          <w:iCs/>
        </w:rPr>
        <w:t>one way</w:t>
      </w:r>
      <w:proofErr w:type="gramEnd"/>
      <w:r w:rsidRPr="00E5057C">
        <w:rPr>
          <w:rFonts w:cstheme="minorHAnsi"/>
          <w:i/>
          <w:iCs/>
        </w:rPr>
        <w:t xml:space="preserve"> Anova</w:t>
      </w:r>
    </w:p>
    <w:p w14:paraId="2EDF7143" w14:textId="77777777" w:rsidR="00A208B7" w:rsidRDefault="00A208B7" w:rsidP="00A208B7">
      <w:pPr>
        <w:pStyle w:val="KeinLeerraum"/>
        <w:rPr>
          <w:rFonts w:cstheme="minorHAnsi"/>
          <w:i/>
          <w:iCs/>
        </w:rPr>
      </w:pPr>
    </w:p>
    <w:p w14:paraId="69479855" w14:textId="42BD82A7" w:rsidR="00A208B7" w:rsidRDefault="00A208B7" w:rsidP="00A208B7">
      <w:pPr>
        <w:pStyle w:val="KeinLeerraum"/>
        <w:rPr>
          <w:rFonts w:cstheme="minorHAnsi"/>
          <w:i/>
          <w:iCs/>
        </w:rPr>
      </w:pPr>
      <w:r>
        <w:rPr>
          <w:rFonts w:cstheme="minorHAnsi"/>
          <w:i/>
          <w:iCs/>
        </w:rPr>
        <w:t>Abbreviations: Chloroquine (CQ), Lalistat 2 (LAL2), Lipid nanocarrier (LNC)</w:t>
      </w:r>
    </w:p>
    <w:p w14:paraId="15916112" w14:textId="77777777" w:rsidR="00904C1A" w:rsidRDefault="00904C1A" w:rsidP="00A208B7">
      <w:pPr>
        <w:pStyle w:val="KeinLeerraum"/>
        <w:rPr>
          <w:rFonts w:cstheme="minorHAnsi"/>
          <w:i/>
          <w:iCs/>
        </w:rPr>
      </w:pPr>
    </w:p>
    <w:p w14:paraId="422AF5AE" w14:textId="2A563643" w:rsidR="00904C1A" w:rsidRPr="006169C5" w:rsidRDefault="00904C1A" w:rsidP="006169C5">
      <w:pPr>
        <w:pStyle w:val="KeinLeerraum"/>
        <w:spacing w:line="360" w:lineRule="auto"/>
        <w:rPr>
          <w:rFonts w:cstheme="minorHAnsi"/>
        </w:rPr>
      </w:pPr>
      <w:r w:rsidRPr="006169C5">
        <w:rPr>
          <w:rFonts w:cstheme="minorHAnsi"/>
        </w:rPr>
        <w:t>Method:</w:t>
      </w:r>
    </w:p>
    <w:p w14:paraId="00B7AAD8" w14:textId="55256D65" w:rsidR="00904C1A" w:rsidRPr="006169C5" w:rsidRDefault="00904C1A" w:rsidP="006169C5">
      <w:pPr>
        <w:pStyle w:val="KeinLeerraum"/>
        <w:spacing w:line="360" w:lineRule="auto"/>
        <w:rPr>
          <w:rFonts w:cstheme="minorHAnsi"/>
        </w:rPr>
      </w:pPr>
      <w:r w:rsidRPr="006169C5">
        <w:rPr>
          <w:rFonts w:cstheme="minorHAnsi"/>
        </w:rPr>
        <w:t>The cells were incubated using</w:t>
      </w:r>
      <w:r w:rsidR="006169C5" w:rsidRPr="006169C5">
        <w:rPr>
          <w:rFonts w:cstheme="minorHAnsi"/>
        </w:rPr>
        <w:t xml:space="preserve"> lalistat 2 or chloroquine at the respective concentrations. To assess the viability influence of the co-treatment, cells were pretreated for 90 min using chloroquine or lalistat 2 and then incubated for 24 hours with 0.1 mg/ml Lino-LNCs. </w:t>
      </w:r>
    </w:p>
    <w:p w14:paraId="13E0C64A" w14:textId="77777777" w:rsidR="00904C1A" w:rsidRPr="006169C5" w:rsidRDefault="00904C1A" w:rsidP="006169C5">
      <w:r w:rsidRPr="006169C5">
        <w:t xml:space="preserve">Cell viability was assessed after three washing steps with Dulbecco’s phosphate-buffered saline (DPBS) using an MTT assay. The assay employed 3-(4,5-dimethylthiazol-2-yl)-2,5-diphenyltetrazolium bromide as the formazan-forming compound </w:t>
      </w:r>
      <w:r w:rsidRPr="006169C5">
        <w:rPr>
          <w:rFonts w:cstheme="minorHAnsi"/>
        </w:rPr>
        <w:fldChar w:fldCharType="begin"/>
      </w:r>
      <w:r w:rsidRPr="006169C5">
        <w:rPr>
          <w:rFonts w:cstheme="minorHAnsi"/>
        </w:rPr>
        <w:instrText xml:space="preserve"> ADDIN ZOTERO_ITEM CSL_CITATION {"citationID":"AbdVulN9","properties":{"formattedCitation":"[33]","plainCitation":"[33]","noteIndex":0},"citationItems":[{"id":2079,"uris":["http://zotero.org/users/6352537/items/LGCRP6F2"],"itemData":{"id":2079,"type":"chapter","abstract":"This chapter is an introductory overview of the most commonly used assay methods to estimate the number of viable cells in multi-well plates. This chapter describes assays where data are recorded using a plate-reader; it does not cover assay methods designed for flow cytometry or high content imaging. The assay methods covered include the use of different classes of colorimetric tetrazolium reagents, resazurin reduction and protease substrates generating a fluorescent signal, the luminogenic ATP assay, and a novel real-time assay to monitor live cells for days in culture. The assays described are based on measurement of a marker activity associated with viable cell number. These assays are used for measuring the results of cell proliferation, testing for cytotoxic effects of compounds, and for multiplexing as an internal control to determine viable cell number during other cell-based assays.","call-number":"NBK144065","container-title":"Assay Guidance Manual","event-place":"Bethesda (MD)","language":"eng","note":"PMID: 23805433","publisher":"Eli Lilly &amp; Company and the National Center for Advancing Translational Sciences","publisher-place":"Bethesda (MD)","source":"PubMed","title":"Cell Viability Assays","URL":"http://www.ncbi.nlm.nih.gov/books/NBK144065/","author":[{"family":"Riss","given":"Terry L."},{"family":"Moravec","given":"Richard A."},{"family":"Niles","given":"Andrew L."},{"family":"Duellman","given":"Sarah"},{"family":"Benink","given":"Hélène A."},{"family":"Worzella","given":"Tracy J."},{"family":"Minor","given":"Lisa"}],"editor":[{"family":"Markossian","given":"Sarine"},{"family":"Grossman","given":"Abigail"},{"family":"Brimacombe","given":"Kyle"},{"family":"Arkin","given":"Michelle"},{"family":"Auld","given":"Douglas"},{"family":"Austin","given":"Chris"},{"family":"Baell","given":"Jonathan"},{"family":"Chung","given":"Thomas D. Y."},{"family":"Coussens","given":"Nathan P."},{"family":"Dahlin","given":"Jayme L."},{"family":"Devanarayan","given":"Viswanath"},{"family":"Foley","given":"Timothy L."},{"family":"Glicksman","given":"Marcie"},{"family":"Haas","given":"Joseph V."},{"family":"Hall","given":"Matthew D."},{"family":"Hoare","given":"Samuel"},{"family":"Inglese","given":"James"},{"family":"Iversen","given":"Philip W."},{"family":"Kales","given":"Stephen C."},{"family":"Lal-Nag","given":"Madhu"},{"family":"Li","given":"Zhuyin"},{"family":"McGee","given":"James"},{"family":"McManus","given":"Owen"},{"family":"Riss","given":"Terry"},{"family":"Saradjian","given":"Peter"},{"family":"Sittampalam","given":"G. Sitta"},{"family":"Tarselli","given":"Mike"},{"family":"Trask","given":"O. Joseph"},{"family":"Wang","given":"Yueming"},{"family":"Weidner","given":"Jeffrey R."},{"family":"Wildey","given":"Mary Jo"},{"family":"Wilson","given":"Kelli"},{"family":"Xia","given":"Menghang"},{"family":"Xu","given":"Xin"}],"accessed":{"date-parts":[["2022",9,16]]},"issued":{"date-parts":[["2004"]]}}}],"schema":"https://github.com/citation-style-language/schema/raw/master/csl-citation.json"} </w:instrText>
      </w:r>
      <w:r w:rsidRPr="006169C5">
        <w:rPr>
          <w:rFonts w:cstheme="minorHAnsi"/>
        </w:rPr>
        <w:fldChar w:fldCharType="separate"/>
      </w:r>
      <w:r w:rsidRPr="006169C5">
        <w:rPr>
          <w:rFonts w:ascii="Calibri" w:hAnsi="Calibri" w:cs="Calibri"/>
        </w:rPr>
        <w:t>[33]</w:t>
      </w:r>
      <w:r w:rsidRPr="006169C5">
        <w:rPr>
          <w:rFonts w:cstheme="minorHAnsi"/>
        </w:rPr>
        <w:fldChar w:fldCharType="end"/>
      </w:r>
      <w:r w:rsidRPr="006169C5">
        <w:t xml:space="preserve">, with an incubation time of 90 minutes. Colorimetric analysis was conducted using a Perkin Elmer </w:t>
      </w:r>
      <w:proofErr w:type="spellStart"/>
      <w:r w:rsidRPr="006169C5">
        <w:t>Enspire</w:t>
      </w:r>
      <w:proofErr w:type="spellEnd"/>
      <w:r w:rsidRPr="006169C5">
        <w:t xml:space="preserve"> plate reader (Perkin Elmer, Waltham, Massachusetts, USA) at 560 nm in 100 µL dimethyl sulfoxide (DMSO).</w:t>
      </w:r>
    </w:p>
    <w:p w14:paraId="5F29387B" w14:textId="77777777" w:rsidR="00904C1A" w:rsidRPr="00A208B7" w:rsidRDefault="00904C1A" w:rsidP="00A208B7">
      <w:pPr>
        <w:pStyle w:val="KeinLeerraum"/>
        <w:rPr>
          <w:rFonts w:cstheme="minorHAnsi"/>
          <w:i/>
          <w:iCs/>
        </w:rPr>
      </w:pPr>
    </w:p>
    <w:sectPr w:rsidR="00904C1A" w:rsidRPr="00A208B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97"/>
    <w:rsid w:val="000675DF"/>
    <w:rsid w:val="000938F6"/>
    <w:rsid w:val="000E1D5D"/>
    <w:rsid w:val="00170BDE"/>
    <w:rsid w:val="00171E03"/>
    <w:rsid w:val="00205A29"/>
    <w:rsid w:val="0027663B"/>
    <w:rsid w:val="0029233F"/>
    <w:rsid w:val="003957F4"/>
    <w:rsid w:val="003B0539"/>
    <w:rsid w:val="003F403F"/>
    <w:rsid w:val="0045008E"/>
    <w:rsid w:val="0060176C"/>
    <w:rsid w:val="006169C5"/>
    <w:rsid w:val="006334D5"/>
    <w:rsid w:val="007319F3"/>
    <w:rsid w:val="007F4C7F"/>
    <w:rsid w:val="008E4221"/>
    <w:rsid w:val="00904C1A"/>
    <w:rsid w:val="00952600"/>
    <w:rsid w:val="009648E7"/>
    <w:rsid w:val="009F0BD5"/>
    <w:rsid w:val="00A208B7"/>
    <w:rsid w:val="00C53CDB"/>
    <w:rsid w:val="00CD419C"/>
    <w:rsid w:val="00D100B6"/>
    <w:rsid w:val="00DA5297"/>
    <w:rsid w:val="00DB254B"/>
    <w:rsid w:val="00E5057C"/>
    <w:rsid w:val="00EE4A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9541"/>
  <w15:chartTrackingRefBased/>
  <w15:docId w15:val="{144B699B-3183-40DC-A24A-AB69CDD1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5297"/>
    <w:pPr>
      <w:shd w:val="clear" w:color="auto" w:fill="FFFFFF"/>
      <w:spacing w:line="360" w:lineRule="auto"/>
      <w:jc w:val="both"/>
    </w:pPr>
    <w:rPr>
      <w:kern w:val="0"/>
      <w:lang w:val="en-US"/>
      <w14:ligatures w14:val="none"/>
    </w:rPr>
  </w:style>
  <w:style w:type="paragraph" w:styleId="berschrift1">
    <w:name w:val="heading 1"/>
    <w:basedOn w:val="Standard"/>
    <w:next w:val="Standard"/>
    <w:link w:val="berschrift1Zchn"/>
    <w:uiPriority w:val="9"/>
    <w:qFormat/>
    <w:rsid w:val="00DA5297"/>
    <w:pPr>
      <w:keepNext/>
      <w:keepLines/>
      <w:shd w:val="clear" w:color="auto" w:fill="auto"/>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DA5297"/>
    <w:pPr>
      <w:keepNext/>
      <w:keepLines/>
      <w:shd w:val="clear" w:color="auto" w:fill="auto"/>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DA5297"/>
    <w:pPr>
      <w:keepNext/>
      <w:keepLines/>
      <w:shd w:val="clear" w:color="auto" w:fill="auto"/>
      <w:spacing w:before="160" w:after="80" w:line="259" w:lineRule="auto"/>
      <w:jc w:val="left"/>
      <w:outlineLvl w:val="2"/>
    </w:pPr>
    <w:rPr>
      <w:rFonts w:eastAsiaTheme="majorEastAsia"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DA5297"/>
    <w:pPr>
      <w:keepNext/>
      <w:keepLines/>
      <w:shd w:val="clear" w:color="auto" w:fill="auto"/>
      <w:spacing w:before="80" w:after="40" w:line="259" w:lineRule="auto"/>
      <w:jc w:val="left"/>
      <w:outlineLvl w:val="3"/>
    </w:pPr>
    <w:rPr>
      <w:rFonts w:eastAsiaTheme="majorEastAsia" w:cstheme="majorBidi"/>
      <w:i/>
      <w:iCs/>
      <w:color w:val="2F5496" w:themeColor="accent1" w:themeShade="BF"/>
      <w:kern w:val="2"/>
      <w:lang w:val="de-DE"/>
      <w14:ligatures w14:val="standardContextual"/>
    </w:rPr>
  </w:style>
  <w:style w:type="paragraph" w:styleId="berschrift5">
    <w:name w:val="heading 5"/>
    <w:basedOn w:val="Standard"/>
    <w:next w:val="Standard"/>
    <w:link w:val="berschrift5Zchn"/>
    <w:uiPriority w:val="9"/>
    <w:semiHidden/>
    <w:unhideWhenUsed/>
    <w:qFormat/>
    <w:rsid w:val="00DA5297"/>
    <w:pPr>
      <w:keepNext/>
      <w:keepLines/>
      <w:shd w:val="clear" w:color="auto" w:fill="auto"/>
      <w:spacing w:before="80" w:after="40" w:line="259" w:lineRule="auto"/>
      <w:jc w:val="left"/>
      <w:outlineLvl w:val="4"/>
    </w:pPr>
    <w:rPr>
      <w:rFonts w:eastAsiaTheme="majorEastAsia" w:cstheme="majorBidi"/>
      <w:color w:val="2F5496" w:themeColor="accent1" w:themeShade="BF"/>
      <w:kern w:val="2"/>
      <w:lang w:val="de-DE"/>
      <w14:ligatures w14:val="standardContextual"/>
    </w:rPr>
  </w:style>
  <w:style w:type="paragraph" w:styleId="berschrift6">
    <w:name w:val="heading 6"/>
    <w:basedOn w:val="Standard"/>
    <w:next w:val="Standard"/>
    <w:link w:val="berschrift6Zchn"/>
    <w:uiPriority w:val="9"/>
    <w:semiHidden/>
    <w:unhideWhenUsed/>
    <w:qFormat/>
    <w:rsid w:val="00DA5297"/>
    <w:pPr>
      <w:keepNext/>
      <w:keepLines/>
      <w:shd w:val="clear" w:color="auto" w:fill="auto"/>
      <w:spacing w:before="40" w:after="0" w:line="259" w:lineRule="auto"/>
      <w:jc w:val="left"/>
      <w:outlineLvl w:val="5"/>
    </w:pPr>
    <w:rPr>
      <w:rFonts w:eastAsiaTheme="majorEastAsia" w:cstheme="majorBidi"/>
      <w:i/>
      <w:iCs/>
      <w:color w:val="595959" w:themeColor="text1" w:themeTint="A6"/>
      <w:kern w:val="2"/>
      <w:lang w:val="de-DE"/>
      <w14:ligatures w14:val="standardContextual"/>
    </w:rPr>
  </w:style>
  <w:style w:type="paragraph" w:styleId="berschrift7">
    <w:name w:val="heading 7"/>
    <w:basedOn w:val="Standard"/>
    <w:next w:val="Standard"/>
    <w:link w:val="berschrift7Zchn"/>
    <w:uiPriority w:val="9"/>
    <w:semiHidden/>
    <w:unhideWhenUsed/>
    <w:qFormat/>
    <w:rsid w:val="00DA5297"/>
    <w:pPr>
      <w:keepNext/>
      <w:keepLines/>
      <w:shd w:val="clear" w:color="auto" w:fill="auto"/>
      <w:spacing w:before="40" w:after="0" w:line="259" w:lineRule="auto"/>
      <w:jc w:val="left"/>
      <w:outlineLvl w:val="6"/>
    </w:pPr>
    <w:rPr>
      <w:rFonts w:eastAsiaTheme="majorEastAsia" w:cstheme="majorBidi"/>
      <w:color w:val="595959" w:themeColor="text1" w:themeTint="A6"/>
      <w:kern w:val="2"/>
      <w:lang w:val="de-DE"/>
      <w14:ligatures w14:val="standardContextual"/>
    </w:rPr>
  </w:style>
  <w:style w:type="paragraph" w:styleId="berschrift8">
    <w:name w:val="heading 8"/>
    <w:basedOn w:val="Standard"/>
    <w:next w:val="Standard"/>
    <w:link w:val="berschrift8Zchn"/>
    <w:uiPriority w:val="9"/>
    <w:semiHidden/>
    <w:unhideWhenUsed/>
    <w:qFormat/>
    <w:rsid w:val="00DA5297"/>
    <w:pPr>
      <w:keepNext/>
      <w:keepLines/>
      <w:shd w:val="clear" w:color="auto" w:fill="auto"/>
      <w:spacing w:after="0" w:line="259" w:lineRule="auto"/>
      <w:jc w:val="left"/>
      <w:outlineLvl w:val="7"/>
    </w:pPr>
    <w:rPr>
      <w:rFonts w:eastAsiaTheme="majorEastAsia" w:cstheme="majorBidi"/>
      <w:i/>
      <w:iCs/>
      <w:color w:val="272727" w:themeColor="text1" w:themeTint="D8"/>
      <w:kern w:val="2"/>
      <w:lang w:val="de-DE"/>
      <w14:ligatures w14:val="standardContextual"/>
    </w:rPr>
  </w:style>
  <w:style w:type="paragraph" w:styleId="berschrift9">
    <w:name w:val="heading 9"/>
    <w:basedOn w:val="Standard"/>
    <w:next w:val="Standard"/>
    <w:link w:val="berschrift9Zchn"/>
    <w:uiPriority w:val="9"/>
    <w:semiHidden/>
    <w:unhideWhenUsed/>
    <w:qFormat/>
    <w:rsid w:val="00DA5297"/>
    <w:pPr>
      <w:keepNext/>
      <w:keepLines/>
      <w:shd w:val="clear" w:color="auto" w:fill="auto"/>
      <w:spacing w:after="0" w:line="259" w:lineRule="auto"/>
      <w:jc w:val="left"/>
      <w:outlineLvl w:val="8"/>
    </w:pPr>
    <w:rPr>
      <w:rFonts w:eastAsiaTheme="majorEastAsia" w:cstheme="majorBidi"/>
      <w:color w:val="272727" w:themeColor="text1" w:themeTint="D8"/>
      <w:kern w:val="2"/>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52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A52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A52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A52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A52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A52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A52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A52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A5297"/>
    <w:rPr>
      <w:rFonts w:eastAsiaTheme="majorEastAsia" w:cstheme="majorBidi"/>
      <w:color w:val="272727" w:themeColor="text1" w:themeTint="D8"/>
    </w:rPr>
  </w:style>
  <w:style w:type="paragraph" w:styleId="Titel">
    <w:name w:val="Title"/>
    <w:basedOn w:val="Standard"/>
    <w:next w:val="Standard"/>
    <w:link w:val="TitelZchn"/>
    <w:uiPriority w:val="10"/>
    <w:qFormat/>
    <w:rsid w:val="00DA5297"/>
    <w:pPr>
      <w:shd w:val="clear" w:color="auto" w:fill="auto"/>
      <w:spacing w:after="80" w:line="240" w:lineRule="auto"/>
      <w:contextualSpacing/>
      <w:jc w:val="left"/>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DA52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A5297"/>
    <w:pPr>
      <w:numPr>
        <w:ilvl w:val="1"/>
      </w:numPr>
      <w:shd w:val="clear" w:color="auto" w:fill="auto"/>
      <w:spacing w:line="259" w:lineRule="auto"/>
      <w:jc w:val="left"/>
    </w:pPr>
    <w:rPr>
      <w:rFonts w:eastAsiaTheme="majorEastAsia"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DA52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A5297"/>
    <w:pPr>
      <w:shd w:val="clear" w:color="auto" w:fill="auto"/>
      <w:spacing w:before="160" w:line="259" w:lineRule="auto"/>
      <w:jc w:val="center"/>
    </w:pPr>
    <w:rPr>
      <w:i/>
      <w:iCs/>
      <w:color w:val="404040" w:themeColor="text1" w:themeTint="BF"/>
      <w:kern w:val="2"/>
      <w:lang w:val="de-DE"/>
      <w14:ligatures w14:val="standardContextual"/>
    </w:rPr>
  </w:style>
  <w:style w:type="character" w:customStyle="1" w:styleId="ZitatZchn">
    <w:name w:val="Zitat Zchn"/>
    <w:basedOn w:val="Absatz-Standardschriftart"/>
    <w:link w:val="Zitat"/>
    <w:uiPriority w:val="29"/>
    <w:rsid w:val="00DA5297"/>
    <w:rPr>
      <w:i/>
      <w:iCs/>
      <w:color w:val="404040" w:themeColor="text1" w:themeTint="BF"/>
    </w:rPr>
  </w:style>
  <w:style w:type="paragraph" w:styleId="Listenabsatz">
    <w:name w:val="List Paragraph"/>
    <w:basedOn w:val="Standard"/>
    <w:uiPriority w:val="34"/>
    <w:qFormat/>
    <w:rsid w:val="00DA5297"/>
    <w:pPr>
      <w:shd w:val="clear" w:color="auto" w:fill="auto"/>
      <w:spacing w:line="259" w:lineRule="auto"/>
      <w:ind w:left="720"/>
      <w:contextualSpacing/>
      <w:jc w:val="left"/>
    </w:pPr>
    <w:rPr>
      <w:kern w:val="2"/>
      <w:lang w:val="de-DE"/>
      <w14:ligatures w14:val="standardContextual"/>
    </w:rPr>
  </w:style>
  <w:style w:type="character" w:styleId="IntensiveHervorhebung">
    <w:name w:val="Intense Emphasis"/>
    <w:basedOn w:val="Absatz-Standardschriftart"/>
    <w:uiPriority w:val="21"/>
    <w:qFormat/>
    <w:rsid w:val="00DA5297"/>
    <w:rPr>
      <w:i/>
      <w:iCs/>
      <w:color w:val="2F5496" w:themeColor="accent1" w:themeShade="BF"/>
    </w:rPr>
  </w:style>
  <w:style w:type="paragraph" w:styleId="IntensivesZitat">
    <w:name w:val="Intense Quote"/>
    <w:basedOn w:val="Standard"/>
    <w:next w:val="Standard"/>
    <w:link w:val="IntensivesZitatZchn"/>
    <w:uiPriority w:val="30"/>
    <w:qFormat/>
    <w:rsid w:val="00DA5297"/>
    <w:pPr>
      <w:pBdr>
        <w:top w:val="single" w:sz="4" w:space="10" w:color="2F5496" w:themeColor="accent1" w:themeShade="BF"/>
        <w:bottom w:val="single" w:sz="4" w:space="10" w:color="2F5496" w:themeColor="accent1" w:themeShade="BF"/>
      </w:pBdr>
      <w:shd w:val="clear" w:color="auto" w:fill="auto"/>
      <w:spacing w:before="360" w:after="360" w:line="259" w:lineRule="auto"/>
      <w:ind w:left="864" w:right="864"/>
      <w:jc w:val="center"/>
    </w:pPr>
    <w:rPr>
      <w:i/>
      <w:iCs/>
      <w:color w:val="2F5496" w:themeColor="accent1" w:themeShade="BF"/>
      <w:kern w:val="2"/>
      <w:lang w:val="de-DE"/>
      <w14:ligatures w14:val="standardContextual"/>
    </w:rPr>
  </w:style>
  <w:style w:type="character" w:customStyle="1" w:styleId="IntensivesZitatZchn">
    <w:name w:val="Intensives Zitat Zchn"/>
    <w:basedOn w:val="Absatz-Standardschriftart"/>
    <w:link w:val="IntensivesZitat"/>
    <w:uiPriority w:val="30"/>
    <w:rsid w:val="00DA5297"/>
    <w:rPr>
      <w:i/>
      <w:iCs/>
      <w:color w:val="2F5496" w:themeColor="accent1" w:themeShade="BF"/>
    </w:rPr>
  </w:style>
  <w:style w:type="character" w:styleId="IntensiverVerweis">
    <w:name w:val="Intense Reference"/>
    <w:basedOn w:val="Absatz-Standardschriftart"/>
    <w:uiPriority w:val="32"/>
    <w:qFormat/>
    <w:rsid w:val="00DA5297"/>
    <w:rPr>
      <w:b/>
      <w:bCs/>
      <w:smallCaps/>
      <w:color w:val="2F5496" w:themeColor="accent1" w:themeShade="BF"/>
      <w:spacing w:val="5"/>
    </w:rPr>
  </w:style>
  <w:style w:type="paragraph" w:styleId="Beschriftung">
    <w:name w:val="caption"/>
    <w:basedOn w:val="Standard"/>
    <w:next w:val="Standard"/>
    <w:uiPriority w:val="35"/>
    <w:unhideWhenUsed/>
    <w:qFormat/>
    <w:rsid w:val="00DA5297"/>
    <w:pPr>
      <w:spacing w:after="200" w:line="240" w:lineRule="auto"/>
    </w:pPr>
    <w:rPr>
      <w:i/>
      <w:iCs/>
      <w:color w:val="44546A" w:themeColor="text2"/>
      <w:sz w:val="18"/>
      <w:szCs w:val="18"/>
    </w:rPr>
  </w:style>
  <w:style w:type="paragraph" w:styleId="KeinLeerraum">
    <w:name w:val="No Spacing"/>
    <w:uiPriority w:val="1"/>
    <w:qFormat/>
    <w:rsid w:val="00DA5297"/>
    <w:pPr>
      <w:shd w:val="clear" w:color="auto" w:fill="FFFFFF"/>
      <w:spacing w:after="0" w:line="240" w:lineRule="auto"/>
      <w:jc w:val="both"/>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849502">
      <w:bodyDiv w:val="1"/>
      <w:marLeft w:val="0"/>
      <w:marRight w:val="0"/>
      <w:marTop w:val="0"/>
      <w:marBottom w:val="0"/>
      <w:divBdr>
        <w:top w:val="none" w:sz="0" w:space="0" w:color="auto"/>
        <w:left w:val="none" w:sz="0" w:space="0" w:color="auto"/>
        <w:bottom w:val="none" w:sz="0" w:space="0" w:color="auto"/>
        <w:right w:val="none" w:sz="0" w:space="0" w:color="auto"/>
      </w:divBdr>
    </w:div>
    <w:div w:id="138687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f"/><Relationship Id="rId5" Type="http://schemas.openxmlformats.org/officeDocument/2006/relationships/image" Target="media/image2.png"/><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1575</Words>
  <Characters>9926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Thilo Faber</dc:creator>
  <cp:keywords/>
  <dc:description/>
  <cp:lastModifiedBy>Thilo Faber</cp:lastModifiedBy>
  <cp:revision>2</cp:revision>
  <dcterms:created xsi:type="dcterms:W3CDTF">2025-02-13T15:03:00Z</dcterms:created>
  <dcterms:modified xsi:type="dcterms:W3CDTF">2025-02-13T15:03:00Z</dcterms:modified>
</cp:coreProperties>
</file>