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0C4" w:rsidRDefault="007130C4" w:rsidP="007130C4">
      <w:pPr>
        <w:spacing w:after="200"/>
        <w:ind w:firstLine="0"/>
        <w:rPr>
          <w:rFonts w:asciiTheme="minorHAnsi" w:hAnsiTheme="minorHAnsi"/>
        </w:rPr>
      </w:pPr>
      <w:bookmarkStart w:id="0" w:name="_GoBack"/>
      <w:bookmarkEnd w:id="0"/>
      <w:r>
        <w:rPr>
          <w:rFonts w:asciiTheme="minorHAnsi" w:hAnsiTheme="minorHAnsi"/>
        </w:rPr>
        <w:t>SUPPLEMENT</w:t>
      </w:r>
      <w:r w:rsidRPr="0067578C">
        <w:rPr>
          <w:rFonts w:asciiTheme="minorHAnsi" w:hAnsiTheme="minorHAnsi"/>
        </w:rPr>
        <w:t xml:space="preserve"> 1</w:t>
      </w:r>
      <w:r>
        <w:rPr>
          <w:rFonts w:asciiTheme="minorHAnsi" w:hAnsiTheme="minorHAnsi"/>
        </w:rPr>
        <w:t>A</w:t>
      </w:r>
      <w:r w:rsidRPr="0067578C">
        <w:rPr>
          <w:rFonts w:asciiTheme="minorHAnsi" w:hAnsiTheme="minorHAnsi"/>
        </w:rPr>
        <w:t>. BASELINE CHARACTERISTICS</w:t>
      </w:r>
      <w:r>
        <w:rPr>
          <w:rFonts w:asciiTheme="minorHAnsi" w:hAnsiTheme="minorHAnsi"/>
        </w:rPr>
        <w:t xml:space="preserve"> PER REGION/CENTER</w:t>
      </w:r>
    </w:p>
    <w:tbl>
      <w:tblPr>
        <w:tblW w:w="8662" w:type="dxa"/>
        <w:tblInd w:w="93" w:type="dxa"/>
        <w:tblLayout w:type="fixed"/>
        <w:tblLook w:val="04A0"/>
      </w:tblPr>
      <w:tblGrid>
        <w:gridCol w:w="3400"/>
        <w:gridCol w:w="799"/>
        <w:gridCol w:w="919"/>
        <w:gridCol w:w="737"/>
        <w:gridCol w:w="1106"/>
        <w:gridCol w:w="634"/>
        <w:gridCol w:w="1067"/>
      </w:tblGrid>
      <w:tr w:rsidR="007130C4" w:rsidRPr="00C42A6E" w:rsidTr="00020C66">
        <w:trPr>
          <w:trHeight w:val="283"/>
        </w:trPr>
        <w:tc>
          <w:tcPr>
            <w:tcW w:w="3400" w:type="dxa"/>
            <w:tcBorders>
              <w:top w:val="nil"/>
              <w:left w:val="nil"/>
              <w:bottom w:val="nil"/>
              <w:right w:val="nil"/>
            </w:tcBorders>
            <w:shd w:val="clear" w:color="auto" w:fill="auto"/>
            <w:noWrap/>
            <w:vAlign w:val="bottom"/>
          </w:tcPr>
          <w:p w:rsidR="007130C4" w:rsidRPr="00C55487" w:rsidRDefault="007130C4" w:rsidP="00020C66">
            <w:pPr>
              <w:spacing w:line="240" w:lineRule="auto"/>
              <w:ind w:firstLine="0"/>
              <w:rPr>
                <w:rFonts w:asciiTheme="minorHAnsi" w:eastAsia="Times New Roman" w:hAnsiTheme="minorHAnsi" w:cs="Arial"/>
                <w:color w:val="000000"/>
                <w:sz w:val="20"/>
                <w:szCs w:val="20"/>
              </w:rPr>
            </w:pPr>
          </w:p>
        </w:tc>
        <w:tc>
          <w:tcPr>
            <w:tcW w:w="1718" w:type="dxa"/>
            <w:gridSpan w:val="2"/>
            <w:tcBorders>
              <w:top w:val="nil"/>
              <w:left w:val="nil"/>
              <w:bottom w:val="single" w:sz="4" w:space="0" w:color="auto"/>
              <w:right w:val="single" w:sz="4" w:space="0" w:color="auto"/>
            </w:tcBorders>
            <w:shd w:val="clear" w:color="auto" w:fill="auto"/>
            <w:noWrap/>
            <w:vAlign w:val="bottom"/>
          </w:tcPr>
          <w:p w:rsidR="007130C4" w:rsidRPr="00C55487" w:rsidRDefault="00296896" w:rsidP="00020C66">
            <w:pPr>
              <w:spacing w:line="240" w:lineRule="auto"/>
              <w:ind w:firstLine="0"/>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Design</w:t>
            </w:r>
            <w:r w:rsidR="007130C4">
              <w:rPr>
                <w:rFonts w:asciiTheme="minorHAnsi" w:eastAsia="Times New Roman" w:hAnsiTheme="minorHAnsi" w:cs="Arial"/>
                <w:color w:val="000000"/>
                <w:sz w:val="20"/>
                <w:szCs w:val="20"/>
              </w:rPr>
              <w:t xml:space="preserve"> cohort</w:t>
            </w:r>
          </w:p>
        </w:tc>
        <w:tc>
          <w:tcPr>
            <w:tcW w:w="3544" w:type="dxa"/>
            <w:gridSpan w:val="4"/>
            <w:tcBorders>
              <w:top w:val="nil"/>
              <w:left w:val="single" w:sz="4" w:space="0" w:color="auto"/>
              <w:bottom w:val="single" w:sz="4" w:space="0" w:color="auto"/>
              <w:right w:val="nil"/>
            </w:tcBorders>
            <w:shd w:val="clear" w:color="auto" w:fill="auto"/>
            <w:noWrap/>
            <w:vAlign w:val="bottom"/>
          </w:tcPr>
          <w:p w:rsidR="007130C4" w:rsidRDefault="007130C4" w:rsidP="00020C66">
            <w:pPr>
              <w:spacing w:line="240" w:lineRule="auto"/>
              <w:ind w:firstLine="0"/>
              <w:jc w:val="center"/>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Validation cohort</w:t>
            </w:r>
          </w:p>
        </w:tc>
      </w:tr>
      <w:tr w:rsidR="007130C4" w:rsidRPr="00C42A6E" w:rsidTr="00020C66">
        <w:trPr>
          <w:trHeight w:val="283"/>
        </w:trPr>
        <w:tc>
          <w:tcPr>
            <w:tcW w:w="3400" w:type="dxa"/>
            <w:tcBorders>
              <w:top w:val="nil"/>
              <w:left w:val="nil"/>
              <w:bottom w:val="nil"/>
              <w:right w:val="nil"/>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color w:val="000000"/>
                <w:sz w:val="20"/>
                <w:szCs w:val="20"/>
              </w:rPr>
            </w:pPr>
          </w:p>
        </w:tc>
        <w:tc>
          <w:tcPr>
            <w:tcW w:w="799" w:type="dxa"/>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Europe</w:t>
            </w:r>
          </w:p>
        </w:tc>
        <w:tc>
          <w:tcPr>
            <w:tcW w:w="919" w:type="dxa"/>
            <w:tcBorders>
              <w:top w:val="nil"/>
              <w:left w:val="nil"/>
              <w:bottom w:val="single" w:sz="4" w:space="0" w:color="auto"/>
              <w:right w:val="single" w:sz="4" w:space="0" w:color="auto"/>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 </w:t>
            </w:r>
          </w:p>
        </w:tc>
        <w:tc>
          <w:tcPr>
            <w:tcW w:w="1843" w:type="dxa"/>
            <w:gridSpan w:val="2"/>
            <w:tcBorders>
              <w:top w:val="nil"/>
              <w:left w:val="single" w:sz="4" w:space="0" w:color="auto"/>
              <w:bottom w:val="single" w:sz="4" w:space="0" w:color="auto"/>
              <w:right w:val="nil"/>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WMUH</w:t>
            </w:r>
            <w:r w:rsidRPr="00C55487">
              <w:rPr>
                <w:rFonts w:asciiTheme="minorHAnsi" w:eastAsia="Times New Roman" w:hAnsiTheme="minorHAnsi" w:cs="Arial"/>
                <w:color w:val="000000"/>
                <w:sz w:val="20"/>
                <w:szCs w:val="20"/>
              </w:rPr>
              <w:t> </w:t>
            </w:r>
          </w:p>
        </w:tc>
        <w:tc>
          <w:tcPr>
            <w:tcW w:w="1701" w:type="dxa"/>
            <w:gridSpan w:val="2"/>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color w:val="000000"/>
                <w:sz w:val="20"/>
                <w:szCs w:val="20"/>
              </w:rPr>
            </w:pPr>
            <w:r>
              <w:rPr>
                <w:rFonts w:asciiTheme="minorHAnsi" w:eastAsia="Times New Roman" w:hAnsiTheme="minorHAnsi" w:cs="Arial"/>
                <w:color w:val="000000"/>
                <w:sz w:val="20"/>
                <w:szCs w:val="20"/>
              </w:rPr>
              <w:t>JHH/UPMC</w:t>
            </w:r>
            <w:r w:rsidRPr="00C55487">
              <w:rPr>
                <w:rFonts w:asciiTheme="minorHAnsi" w:eastAsia="Times New Roman" w:hAnsiTheme="minorHAnsi" w:cs="Arial"/>
                <w:color w:val="000000"/>
                <w:sz w:val="20"/>
                <w:szCs w:val="20"/>
              </w:rPr>
              <w:t> </w:t>
            </w:r>
          </w:p>
        </w:tc>
      </w:tr>
      <w:tr w:rsidR="007130C4" w:rsidRPr="00C42A6E" w:rsidTr="00020C66">
        <w:trPr>
          <w:trHeight w:val="283"/>
        </w:trPr>
        <w:tc>
          <w:tcPr>
            <w:tcW w:w="3400" w:type="dxa"/>
            <w:tcBorders>
              <w:top w:val="single" w:sz="4" w:space="0" w:color="auto"/>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rPr>
                <w:rFonts w:asciiTheme="minorHAnsi" w:eastAsia="Times New Roman" w:hAnsiTheme="minorHAnsi" w:cs="Arial"/>
                <w:b/>
                <w:bCs/>
                <w:color w:val="000000"/>
                <w:sz w:val="20"/>
                <w:szCs w:val="20"/>
              </w:rPr>
            </w:pPr>
            <w:r w:rsidRPr="00C55487">
              <w:rPr>
                <w:rFonts w:asciiTheme="minorHAnsi" w:eastAsia="Times New Roman" w:hAnsiTheme="minorHAnsi" w:cs="Arial"/>
                <w:b/>
                <w:bCs/>
                <w:color w:val="000000"/>
                <w:sz w:val="20"/>
                <w:szCs w:val="20"/>
              </w:rPr>
              <w:t>Baseline</w:t>
            </w:r>
          </w:p>
        </w:tc>
        <w:tc>
          <w:tcPr>
            <w:tcW w:w="799" w:type="dxa"/>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n=71</w:t>
            </w:r>
          </w:p>
        </w:tc>
        <w:tc>
          <w:tcPr>
            <w:tcW w:w="919" w:type="dxa"/>
            <w:tcBorders>
              <w:top w:val="nil"/>
              <w:left w:val="nil"/>
              <w:bottom w:val="single" w:sz="4" w:space="0" w:color="auto"/>
              <w:right w:val="single" w:sz="4" w:space="0" w:color="auto"/>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 </w:t>
            </w:r>
          </w:p>
        </w:tc>
        <w:tc>
          <w:tcPr>
            <w:tcW w:w="737" w:type="dxa"/>
            <w:tcBorders>
              <w:top w:val="nil"/>
              <w:left w:val="single" w:sz="4" w:space="0" w:color="auto"/>
              <w:bottom w:val="single" w:sz="4" w:space="0" w:color="auto"/>
              <w:right w:val="nil"/>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n=50</w:t>
            </w:r>
          </w:p>
        </w:tc>
        <w:tc>
          <w:tcPr>
            <w:tcW w:w="1106" w:type="dxa"/>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 </w:t>
            </w:r>
          </w:p>
        </w:tc>
        <w:tc>
          <w:tcPr>
            <w:tcW w:w="634" w:type="dxa"/>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n=</w:t>
            </w:r>
            <w:r w:rsidR="00B67907">
              <w:rPr>
                <w:rFonts w:asciiTheme="minorHAnsi" w:eastAsia="Times New Roman" w:hAnsiTheme="minorHAnsi" w:cs="Arial"/>
                <w:color w:val="000000"/>
                <w:sz w:val="20"/>
                <w:szCs w:val="20"/>
              </w:rPr>
              <w:t>70</w:t>
            </w:r>
          </w:p>
        </w:tc>
        <w:tc>
          <w:tcPr>
            <w:tcW w:w="1067" w:type="dxa"/>
            <w:tcBorders>
              <w:top w:val="nil"/>
              <w:left w:val="nil"/>
              <w:bottom w:val="single" w:sz="4" w:space="0" w:color="auto"/>
              <w:right w:val="nil"/>
            </w:tcBorders>
            <w:shd w:val="clear" w:color="auto" w:fill="auto"/>
            <w:noWrap/>
            <w:vAlign w:val="bottom"/>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sidRPr="00C55487">
              <w:rPr>
                <w:rFonts w:asciiTheme="minorHAnsi" w:eastAsia="Times New Roman" w:hAnsiTheme="minorHAnsi" w:cs="Arial"/>
                <w:color w:val="000000"/>
                <w:sz w:val="20"/>
                <w:szCs w:val="20"/>
              </w:rPr>
              <w:t> </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Female sex,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34</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(48)</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18</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(36)</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35</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(50)</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Age, median (IQR), y</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60</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(52-67)</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68</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(62-72)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62</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(56-68)</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Mean (SD), y</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59</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(10.6)</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66</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61</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(11)</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Body-mass-index, median (IQR), kg/m2</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24.0</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(24-26.3)</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22.1</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(19.9-24.4)</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26.0</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(23.8-28.9</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Mean (SD), kg/m2</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24.3</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(3.6)</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22.1</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26.6</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(3.9)</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ASA-classification,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ASA-1</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12</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(17)</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0</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(0)</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ASA-2</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53</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(75)</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39</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(78)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11</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(16)</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ASA-3 or ASA-4</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9</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(19)</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59</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(84)</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Abdominal surgery history ≥1,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22</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(31)</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21</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32</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(46)</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Neoadjuvant therapy,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200" w:firstLine="360"/>
              <w:rPr>
                <w:rFonts w:asciiTheme="minorHAnsi" w:eastAsia="Times New Roman" w:hAnsiTheme="minorHAnsi" w:cs="Arial"/>
                <w:color w:val="000000"/>
                <w:sz w:val="20"/>
                <w:szCs w:val="20"/>
              </w:rPr>
            </w:pPr>
            <w:r>
              <w:rPr>
                <w:rFonts w:eastAsia="Times New Roman"/>
                <w:color w:val="000000"/>
                <w:sz w:val="18"/>
                <w:szCs w:val="18"/>
              </w:rPr>
              <w:t>None</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35</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(49)</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24</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200" w:firstLine="360"/>
              <w:rPr>
                <w:rFonts w:asciiTheme="minorHAnsi" w:eastAsia="Times New Roman" w:hAnsiTheme="minorHAnsi" w:cs="Arial"/>
                <w:color w:val="000000"/>
                <w:sz w:val="20"/>
                <w:szCs w:val="20"/>
              </w:rPr>
            </w:pPr>
            <w:r>
              <w:rPr>
                <w:rFonts w:eastAsia="Times New Roman"/>
                <w:color w:val="000000"/>
                <w:sz w:val="18"/>
                <w:szCs w:val="18"/>
              </w:rPr>
              <w:t>Chemotherapy</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16</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(23)</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14</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19</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(27)</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200" w:firstLine="360"/>
              <w:rPr>
                <w:rFonts w:asciiTheme="minorHAnsi" w:eastAsia="Times New Roman" w:hAnsiTheme="minorHAnsi" w:cs="Arial"/>
                <w:color w:val="000000"/>
                <w:sz w:val="20"/>
                <w:szCs w:val="20"/>
              </w:rPr>
            </w:pPr>
            <w:r>
              <w:rPr>
                <w:rFonts w:eastAsia="Times New Roman"/>
                <w:color w:val="000000"/>
                <w:sz w:val="18"/>
                <w:szCs w:val="18"/>
              </w:rPr>
              <w:t>Radiotherapy</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0</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200" w:firstLine="360"/>
              <w:rPr>
                <w:rFonts w:asciiTheme="minorHAnsi" w:eastAsia="Times New Roman" w:hAnsiTheme="minorHAnsi" w:cs="Arial"/>
                <w:color w:val="000000"/>
                <w:sz w:val="20"/>
                <w:szCs w:val="20"/>
              </w:rPr>
            </w:pPr>
            <w:r>
              <w:rPr>
                <w:rFonts w:eastAsia="Times New Roman"/>
                <w:color w:val="000000"/>
                <w:sz w:val="18"/>
                <w:szCs w:val="18"/>
              </w:rPr>
              <w:t>Both or chemoradiation</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19</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(27)</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12</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(24)</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45</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(64)</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Hepatic artery embolization,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16</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(23)</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46</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(92)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0</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Left gastric artery embolization,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19</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0</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0"/>
              <w:rPr>
                <w:rFonts w:asciiTheme="minorHAnsi" w:eastAsia="Times New Roman" w:hAnsiTheme="minorHAnsi" w:cs="Arial"/>
                <w:b/>
                <w:bCs/>
                <w:color w:val="000000"/>
                <w:sz w:val="20"/>
                <w:szCs w:val="20"/>
              </w:rPr>
            </w:pPr>
            <w:r>
              <w:rPr>
                <w:rFonts w:eastAsia="Times New Roman"/>
                <w:b/>
                <w:bCs/>
                <w:color w:val="000000"/>
                <w:sz w:val="18"/>
                <w:szCs w:val="18"/>
              </w:rPr>
              <w:t>Tumor characteristics (pathology)</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Ductal adenocarcinoma,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62</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(87)</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44</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(88)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68</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(97)</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Tumor size, median (IQR), mm</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40</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(34-50)</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30</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(23-40)</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34</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(22-45)</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Mean (SD), mm</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47</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(29)</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34</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35</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(18)</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100" w:firstLine="180"/>
              <w:rPr>
                <w:rFonts w:asciiTheme="minorHAnsi" w:eastAsia="Times New Roman" w:hAnsiTheme="minorHAnsi" w:cs="Arial"/>
                <w:color w:val="000000"/>
                <w:sz w:val="20"/>
                <w:szCs w:val="20"/>
              </w:rPr>
            </w:pPr>
            <w:r>
              <w:rPr>
                <w:rFonts w:eastAsia="Times New Roman"/>
                <w:color w:val="000000"/>
                <w:sz w:val="18"/>
                <w:szCs w:val="18"/>
              </w:rPr>
              <w:t>AJCC Staging*, No. (%)</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T-stage ≥ 3</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64</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(90)</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49</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(98)</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52</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(74)</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N-stage &gt; 0</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46</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(66)</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31</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(62)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33</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(47)</w:t>
            </w:r>
          </w:p>
        </w:tc>
      </w:tr>
      <w:tr w:rsidR="007130C4" w:rsidRPr="00C42A6E" w:rsidTr="00020C66">
        <w:trPr>
          <w:trHeight w:val="283"/>
        </w:trPr>
        <w:tc>
          <w:tcPr>
            <w:tcW w:w="3400" w:type="dxa"/>
            <w:tcBorders>
              <w:top w:val="nil"/>
              <w:left w:val="nil"/>
              <w:bottom w:val="nil"/>
              <w:right w:val="nil"/>
            </w:tcBorders>
            <w:shd w:val="clear" w:color="auto" w:fill="auto"/>
            <w:vAlign w:val="center"/>
            <w:hideMark/>
          </w:tcPr>
          <w:p w:rsidR="007130C4" w:rsidRPr="00C55487" w:rsidRDefault="007130C4" w:rsidP="00020C66">
            <w:pPr>
              <w:spacing w:line="240" w:lineRule="auto"/>
              <w:ind w:firstLineChars="300" w:firstLine="540"/>
              <w:rPr>
                <w:rFonts w:asciiTheme="minorHAnsi" w:eastAsia="Times New Roman" w:hAnsiTheme="minorHAnsi" w:cs="Arial"/>
                <w:color w:val="000000"/>
                <w:sz w:val="20"/>
                <w:szCs w:val="20"/>
              </w:rPr>
            </w:pPr>
            <w:r>
              <w:rPr>
                <w:rFonts w:eastAsia="Times New Roman"/>
                <w:color w:val="000000"/>
                <w:sz w:val="18"/>
                <w:szCs w:val="18"/>
              </w:rPr>
              <w:t>M-stage &gt; 0</w:t>
            </w:r>
          </w:p>
        </w:tc>
        <w:tc>
          <w:tcPr>
            <w:tcW w:w="799"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w:t>
            </w:r>
          </w:p>
        </w:tc>
        <w:tc>
          <w:tcPr>
            <w:tcW w:w="919" w:type="dxa"/>
            <w:tcBorders>
              <w:top w:val="nil"/>
              <w:left w:val="nil"/>
              <w:bottom w:val="nil"/>
              <w:right w:val="single" w:sz="4" w:space="0" w:color="auto"/>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w:t>
            </w:r>
          </w:p>
        </w:tc>
        <w:tc>
          <w:tcPr>
            <w:tcW w:w="737" w:type="dxa"/>
            <w:tcBorders>
              <w:top w:val="nil"/>
              <w:left w:val="single" w:sz="4" w:space="0" w:color="auto"/>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1</w:t>
            </w:r>
          </w:p>
        </w:tc>
        <w:tc>
          <w:tcPr>
            <w:tcW w:w="1106"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(2)</w:t>
            </w:r>
          </w:p>
        </w:tc>
        <w:tc>
          <w:tcPr>
            <w:tcW w:w="634"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3</w:t>
            </w:r>
          </w:p>
        </w:tc>
        <w:tc>
          <w:tcPr>
            <w:tcW w:w="1067" w:type="dxa"/>
            <w:tcBorders>
              <w:top w:val="nil"/>
              <w:left w:val="nil"/>
              <w:bottom w:val="nil"/>
              <w:right w:val="nil"/>
            </w:tcBorders>
            <w:shd w:val="clear" w:color="auto" w:fill="auto"/>
            <w:noWrap/>
            <w:vAlign w:val="center"/>
            <w:hideMark/>
          </w:tcPr>
          <w:p w:rsidR="007130C4" w:rsidRPr="00C55487" w:rsidRDefault="007130C4" w:rsidP="00020C66">
            <w:pPr>
              <w:spacing w:line="240" w:lineRule="auto"/>
              <w:ind w:firstLine="0"/>
              <w:jc w:val="right"/>
              <w:rPr>
                <w:rFonts w:asciiTheme="minorHAnsi" w:eastAsia="Times New Roman" w:hAnsiTheme="minorHAnsi" w:cs="Arial"/>
                <w:color w:val="000000"/>
                <w:sz w:val="20"/>
                <w:szCs w:val="20"/>
              </w:rPr>
            </w:pPr>
            <w:r>
              <w:rPr>
                <w:rFonts w:eastAsia="Times New Roman"/>
                <w:color w:val="000000"/>
                <w:sz w:val="18"/>
                <w:szCs w:val="18"/>
              </w:rPr>
              <w:t>(4)</w:t>
            </w:r>
          </w:p>
        </w:tc>
      </w:tr>
    </w:tbl>
    <w:p w:rsidR="007130C4" w:rsidRDefault="007130C4" w:rsidP="007130C4">
      <w:pPr>
        <w:spacing w:after="200"/>
        <w:rPr>
          <w:rFonts w:asciiTheme="minorHAnsi" w:hAnsiTheme="minorHAnsi"/>
        </w:rPr>
      </w:pPr>
    </w:p>
    <w:p w:rsidR="007130C4" w:rsidRPr="001B1AAE" w:rsidRDefault="007130C4" w:rsidP="007130C4">
      <w:pPr>
        <w:spacing w:line="240" w:lineRule="auto"/>
        <w:ind w:firstLine="0"/>
        <w:rPr>
          <w:rFonts w:asciiTheme="minorHAnsi" w:eastAsia="Times New Roman" w:hAnsiTheme="minorHAnsi" w:cs="Arial"/>
          <w:color w:val="000000"/>
          <w:sz w:val="20"/>
          <w:szCs w:val="20"/>
        </w:rPr>
      </w:pPr>
      <w:r w:rsidRPr="00C42A6E">
        <w:rPr>
          <w:rFonts w:asciiTheme="minorHAnsi" w:eastAsia="Times New Roman" w:hAnsiTheme="minorHAnsi" w:cs="Arial"/>
          <w:color w:val="000000"/>
          <w:sz w:val="20"/>
          <w:szCs w:val="20"/>
        </w:rPr>
        <w:t xml:space="preserve">* Based on the </w:t>
      </w:r>
      <w:r>
        <w:rPr>
          <w:rFonts w:asciiTheme="minorHAnsi" w:eastAsia="Times New Roman" w:hAnsiTheme="minorHAnsi" w:cs="Arial"/>
          <w:color w:val="000000"/>
          <w:sz w:val="20"/>
          <w:szCs w:val="20"/>
        </w:rPr>
        <w:t>7</w:t>
      </w:r>
      <w:r w:rsidRPr="00B161E8">
        <w:rPr>
          <w:rFonts w:asciiTheme="minorHAnsi" w:eastAsia="Times New Roman" w:hAnsiTheme="minorHAnsi" w:cs="Arial"/>
          <w:color w:val="000000"/>
          <w:sz w:val="20"/>
          <w:szCs w:val="20"/>
          <w:vertAlign w:val="superscript"/>
        </w:rPr>
        <w:t>th</w:t>
      </w:r>
      <w:r>
        <w:rPr>
          <w:rFonts w:asciiTheme="minorHAnsi" w:eastAsia="Times New Roman" w:hAnsiTheme="minorHAnsi" w:cs="Arial"/>
          <w:color w:val="000000"/>
          <w:sz w:val="20"/>
          <w:szCs w:val="20"/>
        </w:rPr>
        <w:t xml:space="preserve"> </w:t>
      </w:r>
      <w:r w:rsidRPr="00C42A6E">
        <w:rPr>
          <w:rFonts w:asciiTheme="minorHAnsi" w:eastAsia="Times New Roman" w:hAnsiTheme="minorHAnsi" w:cs="Arial"/>
          <w:color w:val="000000"/>
          <w:sz w:val="20"/>
          <w:szCs w:val="20"/>
        </w:rPr>
        <w:t>AJCC criteria.</w:t>
      </w:r>
      <w:r w:rsidR="00FA7995">
        <w:rPr>
          <w:rFonts w:asciiTheme="minorHAnsi" w:eastAsia="Times New Roman" w:hAnsiTheme="minorHAnsi" w:cs="Arial"/>
          <w:color w:val="000000"/>
          <w:sz w:val="20"/>
          <w:szCs w:val="20"/>
        </w:rPr>
        <w:fldChar w:fldCharType="begin" w:fldLock="1"/>
      </w:r>
      <w:r w:rsidR="00350EB0">
        <w:rPr>
          <w:rFonts w:asciiTheme="minorHAnsi" w:eastAsia="Times New Roman" w:hAnsiTheme="minorHAnsi" w:cs="Arial"/>
          <w:color w:val="000000"/>
          <w:sz w:val="20"/>
          <w:szCs w:val="20"/>
        </w:rPr>
        <w:instrText>ADDIN CSL_CITATION { "citationItems" : [ { "id" : "ITEM-1", "itemData" : { "DOI" : "10.1007/978-1-4614-2080-4", "ISBN" : "978-0-387-88440-0", "author" : [ { "dropping-particle" : "", "family" : "Compton", "given" : "CC", "non-dropping-particle" : "", "parse-names" : false, "suffix" : "" }, { "dropping-particle" : "", "family" : "Byrd", "given" : "DR", "non-dropping-particle" : "", "parse-names" : false, "suffix" : "" }, { "dropping-particle" : "", "family" : "Garcia-Aguilar", "given" : "J", "non-dropping-particle" : "", "parse-names" : false, "suffix" : "" }, { "dropping-particle" : "", "family" : "Kurtzman", "given" : "SH", "non-dropping-particle" : "", "parse-names" : false, "suffix" : "" }, { "dropping-particle" : "", "family" : "Olawaiye", "given" : "A", "non-dropping-particle" : "", "parse-names" : false, "suffix" : "" }, { "dropping-particle" : "", "family" : "Washington", "given" : "MK", "non-dropping-particle" : "", "parse-names" : false, "suffix" : "" } ], "chapter-number" : "24", "container-title" : "AJCC Cancer Staging Manual", "edition" : "7th ed.", "editor" : [ { "dropping-particle" : "", "family" : "Edge", "given" : "S", "non-dropping-particle" : "", "parse-names" : false, "suffix" : "" }, { "dropping-particle" : "", "family" : "Byrd", "given" : "DR", "non-dropping-particle" : "", "parse-names" : false, "suffix" : "" }, { "dropping-particle" : "", "family" : "Compton", "given" : "CC", "non-dropping-particle" : "", "parse-names" : false, "suffix" : "" }, { "dropping-particle" : "", "family" : "Fritz", "given" : "AG", "non-dropping-particle" : "", "parse-names" : false, "suffix" : "" }, { "dropping-particle" : "", "family" : "Greene", "given" : "FL", "non-dropping-particle" : "", "parse-names" : false, "suffix" : "" }, { "dropping-particle" : "", "family" : "Trotti", "given" : "A", "non-dropping-particle" : "", "parse-names" : false, "suffix" : "" } ], "id" : "ITEM-1", "issued" : { "date-parts" : [ [ "2010" ] ] }, "page" : "241-249", "publisher" : "Springer", "publisher-place" : "New York, NY", "title" : "Exocrine and endocrine pancreas", "type" : "chapter" }, "uris" : [ "http://www.mendeley.com/documents/?uuid=9d2a1a68-5ee9-48ba-90e4-82e24d265d5b" ] } ], "mendeley" : { "formattedCitation" : "&lt;sup&gt;24&lt;/sup&gt;", "plainTextFormattedCitation" : "24", "previouslyFormattedCitation" : "&lt;sup&gt;24&lt;/sup&gt;" }, "properties" : {  }, "schema" : "https://github.com/citation-style-language/schema/raw/master/csl-citation.json" }</w:instrText>
      </w:r>
      <w:r w:rsidR="00FA7995">
        <w:rPr>
          <w:rFonts w:asciiTheme="minorHAnsi" w:eastAsia="Times New Roman" w:hAnsiTheme="minorHAnsi" w:cs="Arial"/>
          <w:color w:val="000000"/>
          <w:sz w:val="20"/>
          <w:szCs w:val="20"/>
        </w:rPr>
        <w:fldChar w:fldCharType="separate"/>
      </w:r>
      <w:r w:rsidR="00202543" w:rsidRPr="00202543">
        <w:rPr>
          <w:rFonts w:asciiTheme="minorHAnsi" w:eastAsia="Times New Roman" w:hAnsiTheme="minorHAnsi" w:cs="Arial"/>
          <w:noProof/>
          <w:color w:val="000000"/>
          <w:sz w:val="20"/>
          <w:szCs w:val="20"/>
          <w:vertAlign w:val="superscript"/>
        </w:rPr>
        <w:t>24</w:t>
      </w:r>
      <w:r w:rsidR="00FA7995">
        <w:rPr>
          <w:rFonts w:asciiTheme="minorHAnsi" w:eastAsia="Times New Roman" w:hAnsiTheme="minorHAnsi" w:cs="Arial"/>
          <w:color w:val="000000"/>
          <w:sz w:val="20"/>
          <w:szCs w:val="20"/>
        </w:rPr>
        <w:fldChar w:fldCharType="end"/>
      </w:r>
    </w:p>
    <w:p w:rsidR="007130C4" w:rsidRPr="001B1AAE" w:rsidRDefault="007130C4" w:rsidP="007130C4">
      <w:pPr>
        <w:spacing w:after="200"/>
        <w:ind w:firstLine="0"/>
        <w:rPr>
          <w:rFonts w:asciiTheme="minorHAnsi" w:hAnsiTheme="minorHAnsi"/>
          <w:sz w:val="20"/>
          <w:szCs w:val="20"/>
        </w:rPr>
      </w:pPr>
      <w:r w:rsidRPr="001B1AAE">
        <w:rPr>
          <w:rFonts w:asciiTheme="minorHAnsi" w:hAnsiTheme="minorHAnsi"/>
          <w:sz w:val="20"/>
          <w:szCs w:val="20"/>
        </w:rPr>
        <w:t>Abbreviations: ASA, American Society of Anesthesiologists.</w:t>
      </w:r>
    </w:p>
    <w:p w:rsidR="00DC346F" w:rsidRDefault="00DC346F">
      <w:pPr>
        <w:spacing w:line="240" w:lineRule="auto"/>
        <w:ind w:firstLine="0"/>
        <w:rPr>
          <w:rFonts w:asciiTheme="minorHAnsi" w:hAnsiTheme="minorHAnsi"/>
        </w:rPr>
      </w:pPr>
      <w:r>
        <w:rPr>
          <w:rFonts w:asciiTheme="minorHAnsi" w:hAnsiTheme="minorHAnsi"/>
        </w:rPr>
        <w:br w:type="page"/>
      </w:r>
    </w:p>
    <w:p w:rsidR="007130C4" w:rsidRPr="0067578C" w:rsidRDefault="007130C4" w:rsidP="007130C4">
      <w:pPr>
        <w:spacing w:after="200"/>
        <w:ind w:firstLine="0"/>
        <w:rPr>
          <w:rFonts w:asciiTheme="minorHAnsi" w:hAnsiTheme="minorHAnsi"/>
        </w:rPr>
      </w:pPr>
      <w:r>
        <w:rPr>
          <w:rFonts w:asciiTheme="minorHAnsi" w:hAnsiTheme="minorHAnsi"/>
        </w:rPr>
        <w:lastRenderedPageBreak/>
        <w:t>SUPPLEMENT</w:t>
      </w:r>
      <w:r w:rsidRPr="0067578C">
        <w:rPr>
          <w:rFonts w:asciiTheme="minorHAnsi" w:hAnsiTheme="minorHAnsi"/>
        </w:rPr>
        <w:t xml:space="preserve"> </w:t>
      </w:r>
      <w:r>
        <w:rPr>
          <w:rFonts w:asciiTheme="minorHAnsi" w:hAnsiTheme="minorHAnsi"/>
        </w:rPr>
        <w:t>1B</w:t>
      </w:r>
      <w:r w:rsidRPr="0067578C">
        <w:rPr>
          <w:rFonts w:asciiTheme="minorHAnsi" w:hAnsiTheme="minorHAnsi"/>
        </w:rPr>
        <w:t xml:space="preserve">. </w:t>
      </w:r>
      <w:r>
        <w:rPr>
          <w:rFonts w:asciiTheme="minorHAnsi" w:hAnsiTheme="minorHAnsi"/>
        </w:rPr>
        <w:t>OUTCOMES PER REGION/CENTER</w:t>
      </w:r>
    </w:p>
    <w:tbl>
      <w:tblPr>
        <w:tblW w:w="9669" w:type="dxa"/>
        <w:tblInd w:w="93" w:type="dxa"/>
        <w:tblLook w:val="04A0"/>
      </w:tblPr>
      <w:tblGrid>
        <w:gridCol w:w="4440"/>
        <w:gridCol w:w="741"/>
        <w:gridCol w:w="1019"/>
        <w:gridCol w:w="758"/>
        <w:gridCol w:w="1019"/>
        <w:gridCol w:w="583"/>
        <w:gridCol w:w="1109"/>
      </w:tblGrid>
      <w:tr w:rsidR="007130C4" w:rsidRPr="00C55487" w:rsidTr="00020C66">
        <w:trPr>
          <w:trHeight w:val="255"/>
        </w:trPr>
        <w:tc>
          <w:tcPr>
            <w:tcW w:w="4440" w:type="dxa"/>
            <w:tcBorders>
              <w:top w:val="nil"/>
              <w:left w:val="nil"/>
              <w:bottom w:val="nil"/>
              <w:right w:val="nil"/>
            </w:tcBorders>
            <w:shd w:val="clear" w:color="auto" w:fill="auto"/>
            <w:noWrap/>
            <w:vAlign w:val="bottom"/>
          </w:tcPr>
          <w:p w:rsidR="007130C4" w:rsidRPr="00E66F66" w:rsidRDefault="007130C4" w:rsidP="00020C66">
            <w:pPr>
              <w:spacing w:line="240" w:lineRule="auto"/>
              <w:ind w:firstLine="0"/>
              <w:rPr>
                <w:rFonts w:asciiTheme="minorHAnsi" w:eastAsia="Times New Roman" w:hAnsiTheme="minorHAnsi" w:cs="Arial"/>
                <w:color w:val="000000"/>
                <w:sz w:val="18"/>
                <w:szCs w:val="20"/>
              </w:rPr>
            </w:pPr>
          </w:p>
        </w:tc>
        <w:tc>
          <w:tcPr>
            <w:tcW w:w="0" w:type="auto"/>
            <w:gridSpan w:val="2"/>
            <w:tcBorders>
              <w:top w:val="nil"/>
              <w:left w:val="nil"/>
              <w:bottom w:val="single" w:sz="4" w:space="0" w:color="auto"/>
              <w:right w:val="single" w:sz="4" w:space="0" w:color="auto"/>
            </w:tcBorders>
            <w:shd w:val="clear" w:color="auto" w:fill="auto"/>
            <w:noWrap/>
            <w:vAlign w:val="bottom"/>
          </w:tcPr>
          <w:p w:rsidR="007130C4" w:rsidRPr="00E66F66" w:rsidRDefault="00296896" w:rsidP="00020C66">
            <w:pPr>
              <w:spacing w:line="240" w:lineRule="auto"/>
              <w:ind w:firstLine="0"/>
              <w:jc w:val="center"/>
              <w:rPr>
                <w:rFonts w:asciiTheme="minorHAnsi" w:eastAsia="Times New Roman" w:hAnsiTheme="minorHAnsi" w:cs="Arial"/>
                <w:color w:val="000000"/>
                <w:sz w:val="18"/>
                <w:szCs w:val="20"/>
              </w:rPr>
            </w:pPr>
            <w:r>
              <w:rPr>
                <w:rFonts w:asciiTheme="minorHAnsi" w:eastAsia="Times New Roman" w:hAnsiTheme="minorHAnsi" w:cs="Arial"/>
                <w:color w:val="000000"/>
                <w:sz w:val="20"/>
                <w:szCs w:val="20"/>
              </w:rPr>
              <w:t>Design</w:t>
            </w:r>
            <w:r w:rsidR="007130C4">
              <w:rPr>
                <w:rFonts w:asciiTheme="minorHAnsi" w:eastAsia="Times New Roman" w:hAnsiTheme="minorHAnsi" w:cs="Arial"/>
                <w:color w:val="000000"/>
                <w:sz w:val="20"/>
                <w:szCs w:val="20"/>
              </w:rPr>
              <w:t xml:space="preserve"> cohort</w:t>
            </w:r>
          </w:p>
        </w:tc>
        <w:tc>
          <w:tcPr>
            <w:tcW w:w="3469" w:type="dxa"/>
            <w:gridSpan w:val="4"/>
            <w:tcBorders>
              <w:top w:val="nil"/>
              <w:left w:val="single" w:sz="4" w:space="0" w:color="auto"/>
              <w:bottom w:val="single" w:sz="4" w:space="0" w:color="auto"/>
              <w:right w:val="nil"/>
            </w:tcBorders>
            <w:shd w:val="clear" w:color="auto" w:fill="auto"/>
            <w:noWrap/>
            <w:vAlign w:val="bottom"/>
          </w:tcPr>
          <w:p w:rsidR="007130C4" w:rsidRDefault="007130C4" w:rsidP="00020C66">
            <w:pPr>
              <w:spacing w:line="240" w:lineRule="auto"/>
              <w:ind w:firstLine="0"/>
              <w:jc w:val="center"/>
              <w:rPr>
                <w:rFonts w:asciiTheme="minorHAnsi" w:eastAsia="Times New Roman" w:hAnsiTheme="minorHAnsi" w:cs="Arial"/>
                <w:color w:val="000000"/>
                <w:sz w:val="18"/>
                <w:szCs w:val="20"/>
              </w:rPr>
            </w:pPr>
            <w:r>
              <w:rPr>
                <w:rFonts w:asciiTheme="minorHAnsi" w:eastAsia="Times New Roman" w:hAnsiTheme="minorHAnsi" w:cs="Arial"/>
                <w:color w:val="000000"/>
                <w:sz w:val="20"/>
                <w:szCs w:val="20"/>
              </w:rPr>
              <w:t>Validation cohort</w:t>
            </w:r>
          </w:p>
        </w:tc>
      </w:tr>
      <w:tr w:rsidR="007130C4" w:rsidRPr="00C55487" w:rsidTr="00020C66">
        <w:trPr>
          <w:trHeight w:val="255"/>
        </w:trPr>
        <w:tc>
          <w:tcPr>
            <w:tcW w:w="4440" w:type="dxa"/>
            <w:tcBorders>
              <w:top w:val="nil"/>
              <w:left w:val="nil"/>
              <w:bottom w:val="nil"/>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p>
        </w:tc>
        <w:tc>
          <w:tcPr>
            <w:tcW w:w="0" w:type="auto"/>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Europe</w:t>
            </w:r>
          </w:p>
        </w:tc>
        <w:tc>
          <w:tcPr>
            <w:tcW w:w="0" w:type="auto"/>
            <w:tcBorders>
              <w:top w:val="nil"/>
              <w:left w:val="nil"/>
              <w:bottom w:val="single" w:sz="4" w:space="0" w:color="auto"/>
              <w:right w:val="single" w:sz="4" w:space="0" w:color="auto"/>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w:t>
            </w:r>
          </w:p>
        </w:tc>
        <w:tc>
          <w:tcPr>
            <w:tcW w:w="0" w:type="auto"/>
            <w:tcBorders>
              <w:top w:val="nil"/>
              <w:left w:val="single" w:sz="4" w:space="0" w:color="auto"/>
              <w:bottom w:val="single" w:sz="4" w:space="0" w:color="auto"/>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WMUH</w:t>
            </w:r>
          </w:p>
        </w:tc>
        <w:tc>
          <w:tcPr>
            <w:tcW w:w="0" w:type="auto"/>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w:t>
            </w:r>
          </w:p>
        </w:tc>
        <w:tc>
          <w:tcPr>
            <w:tcW w:w="1692" w:type="dxa"/>
            <w:gridSpan w:val="2"/>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JHH/UPMC</w:t>
            </w:r>
            <w:r w:rsidRPr="00E66F66">
              <w:rPr>
                <w:rFonts w:asciiTheme="minorHAnsi" w:eastAsia="Times New Roman" w:hAnsiTheme="minorHAnsi" w:cs="Arial"/>
                <w:color w:val="000000"/>
                <w:sz w:val="18"/>
                <w:szCs w:val="20"/>
              </w:rPr>
              <w:t> </w:t>
            </w:r>
          </w:p>
        </w:tc>
      </w:tr>
      <w:tr w:rsidR="007130C4" w:rsidRPr="00C55487" w:rsidTr="00020C66">
        <w:trPr>
          <w:trHeight w:val="255"/>
        </w:trPr>
        <w:tc>
          <w:tcPr>
            <w:tcW w:w="4440" w:type="dxa"/>
            <w:tcBorders>
              <w:top w:val="single" w:sz="4" w:space="0" w:color="auto"/>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rPr>
                <w:rFonts w:asciiTheme="minorHAnsi" w:eastAsia="Times New Roman" w:hAnsiTheme="minorHAnsi" w:cs="Arial"/>
                <w:b/>
                <w:bCs/>
                <w:color w:val="000000"/>
                <w:sz w:val="18"/>
                <w:szCs w:val="20"/>
              </w:rPr>
            </w:pPr>
            <w:r>
              <w:rPr>
                <w:rFonts w:asciiTheme="minorHAnsi" w:eastAsia="Times New Roman" w:hAnsiTheme="minorHAnsi" w:cs="Arial"/>
                <w:b/>
                <w:bCs/>
                <w:color w:val="000000"/>
                <w:sz w:val="18"/>
                <w:szCs w:val="20"/>
              </w:rPr>
              <w:t>Perioperative</w:t>
            </w:r>
          </w:p>
        </w:tc>
        <w:tc>
          <w:tcPr>
            <w:tcW w:w="0" w:type="auto"/>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n=71</w:t>
            </w:r>
          </w:p>
        </w:tc>
        <w:tc>
          <w:tcPr>
            <w:tcW w:w="0" w:type="auto"/>
            <w:tcBorders>
              <w:top w:val="nil"/>
              <w:left w:val="nil"/>
              <w:bottom w:val="single" w:sz="4" w:space="0" w:color="auto"/>
              <w:right w:val="single" w:sz="4" w:space="0" w:color="auto"/>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w:t>
            </w:r>
          </w:p>
        </w:tc>
        <w:tc>
          <w:tcPr>
            <w:tcW w:w="0" w:type="auto"/>
            <w:tcBorders>
              <w:top w:val="nil"/>
              <w:left w:val="single" w:sz="4" w:space="0" w:color="auto"/>
              <w:bottom w:val="single" w:sz="4" w:space="0" w:color="auto"/>
              <w:right w:val="nil"/>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n=50</w:t>
            </w:r>
          </w:p>
        </w:tc>
        <w:tc>
          <w:tcPr>
            <w:tcW w:w="0" w:type="auto"/>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w:t>
            </w:r>
          </w:p>
        </w:tc>
        <w:tc>
          <w:tcPr>
            <w:tcW w:w="0" w:type="auto"/>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w:t>
            </w:r>
            <w:r w:rsidR="00B67907">
              <w:rPr>
                <w:rFonts w:asciiTheme="minorHAnsi" w:eastAsia="Times New Roman" w:hAnsiTheme="minorHAnsi" w:cs="Arial"/>
                <w:color w:val="000000"/>
                <w:sz w:val="18"/>
                <w:szCs w:val="20"/>
              </w:rPr>
              <w:t>=70</w:t>
            </w:r>
          </w:p>
        </w:tc>
        <w:tc>
          <w:tcPr>
            <w:tcW w:w="1109" w:type="dxa"/>
            <w:tcBorders>
              <w:top w:val="nil"/>
              <w:left w:val="nil"/>
              <w:bottom w:val="single" w:sz="4" w:space="0" w:color="auto"/>
              <w:right w:val="nil"/>
            </w:tcBorders>
            <w:shd w:val="clear" w:color="auto" w:fill="auto"/>
            <w:noWrap/>
            <w:vAlign w:val="bottom"/>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w:t>
            </w:r>
          </w:p>
        </w:tc>
      </w:tr>
      <w:tr w:rsidR="007130C4" w:rsidRPr="00C55487" w:rsidTr="00020C66">
        <w:trPr>
          <w:trHeight w:val="255"/>
        </w:trPr>
        <w:tc>
          <w:tcPr>
            <w:tcW w:w="4440" w:type="dxa"/>
            <w:tcBorders>
              <w:top w:val="nil"/>
              <w:left w:val="nil"/>
              <w:bottom w:val="nil"/>
              <w:right w:val="nil"/>
            </w:tcBorders>
            <w:shd w:val="clear" w:color="auto" w:fill="auto"/>
            <w:vAlign w:val="center"/>
          </w:tcPr>
          <w:p w:rsidR="007130C4" w:rsidRPr="00E66F66" w:rsidRDefault="007130C4" w:rsidP="00020C66">
            <w:pPr>
              <w:spacing w:line="240" w:lineRule="auto"/>
              <w:ind w:firstLineChars="100" w:firstLine="180"/>
              <w:rPr>
                <w:rFonts w:asciiTheme="minorHAnsi" w:hAnsiTheme="minorHAnsi" w:cs="Arial"/>
                <w:color w:val="000000"/>
                <w:sz w:val="18"/>
                <w:szCs w:val="20"/>
              </w:rPr>
            </w:pPr>
            <w:r w:rsidRPr="00E66F66">
              <w:rPr>
                <w:rFonts w:asciiTheme="minorHAnsi" w:eastAsia="Times New Roman" w:hAnsiTheme="minorHAnsi" w:cs="Arial"/>
                <w:color w:val="000000"/>
                <w:sz w:val="18"/>
                <w:szCs w:val="20"/>
              </w:rPr>
              <w:t xml:space="preserve">Treated at </w:t>
            </w:r>
            <w:r>
              <w:rPr>
                <w:rFonts w:asciiTheme="minorHAnsi" w:eastAsia="Times New Roman" w:hAnsiTheme="minorHAnsi" w:cs="Arial"/>
                <w:color w:val="000000"/>
                <w:sz w:val="18"/>
                <w:szCs w:val="20"/>
              </w:rPr>
              <w:t>DP-CAR high-volume center*</w:t>
            </w:r>
            <w:r w:rsidRPr="00E66F66">
              <w:rPr>
                <w:rFonts w:asciiTheme="minorHAnsi" w:eastAsia="Times New Roman" w:hAnsiTheme="minorHAnsi" w:cs="Arial"/>
                <w:color w:val="000000"/>
                <w:sz w:val="18"/>
                <w:szCs w:val="20"/>
              </w:rPr>
              <w:t>, No. (%)</w:t>
            </w: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8</w:t>
            </w:r>
          </w:p>
        </w:tc>
        <w:tc>
          <w:tcPr>
            <w:tcW w:w="0" w:type="auto"/>
            <w:tcBorders>
              <w:top w:val="nil"/>
              <w:left w:val="nil"/>
              <w:bottom w:val="nil"/>
              <w:right w:val="single" w:sz="4" w:space="0" w:color="auto"/>
            </w:tcBorders>
            <w:shd w:val="clear" w:color="auto" w:fill="auto"/>
            <w:noWrap/>
            <w:vAlign w:val="center"/>
          </w:tcPr>
          <w:p w:rsidR="007130C4" w:rsidRPr="00E66F66" w:rsidRDefault="007130C4" w:rsidP="00500874">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(11)</w:t>
            </w:r>
          </w:p>
        </w:tc>
        <w:tc>
          <w:tcPr>
            <w:tcW w:w="0" w:type="auto"/>
            <w:tcBorders>
              <w:top w:val="nil"/>
              <w:left w:val="single" w:sz="4" w:space="0" w:color="auto"/>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50</w:t>
            </w:r>
          </w:p>
        </w:tc>
        <w:tc>
          <w:tcPr>
            <w:tcW w:w="0" w:type="auto"/>
            <w:tcBorders>
              <w:top w:val="nil"/>
              <w:left w:val="nil"/>
              <w:bottom w:val="nil"/>
              <w:right w:val="nil"/>
            </w:tcBorders>
            <w:shd w:val="clear" w:color="auto" w:fill="auto"/>
            <w:noWrap/>
            <w:vAlign w:val="center"/>
          </w:tcPr>
          <w:p w:rsidR="007130C4" w:rsidRPr="00E66F66" w:rsidRDefault="007130C4" w:rsidP="00500874">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(100)</w:t>
            </w: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70</w:t>
            </w:r>
          </w:p>
        </w:tc>
        <w:tc>
          <w:tcPr>
            <w:tcW w:w="1109" w:type="dxa"/>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r w:rsidRPr="00E66F66">
              <w:rPr>
                <w:rFonts w:asciiTheme="minorHAnsi" w:eastAsia="Times New Roman" w:hAnsiTheme="minorHAnsi" w:cs="Arial"/>
                <w:color w:val="000000"/>
                <w:sz w:val="18"/>
                <w:szCs w:val="20"/>
              </w:rPr>
              <w:t>(100.0)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Minimally invasive approach,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(26)</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Operative time, median (IQR), min.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343</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(248-425)</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342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(283-406)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368</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(298-480)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Mean (SD), min.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346</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(122)</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360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(119)</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398</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(141)</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Additional organs resected**,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None</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(58)</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49</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Stomach</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Liver</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Kidney</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Adrenal gland</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17</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(13)</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806A80">
              <w:rPr>
                <w:rFonts w:asciiTheme="minorHAnsi" w:eastAsia="Times New Roman" w:hAnsiTheme="minorHAnsi" w:cs="Arial"/>
                <w:color w:val="000000"/>
                <w:sz w:val="18"/>
                <w:szCs w:val="20"/>
              </w:rPr>
              <w:t>DP-CAR variation,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Standard DP-CAR</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(72)</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19</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59</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SMV</w:t>
            </w:r>
            <w:r>
              <w:rPr>
                <w:rFonts w:asciiTheme="minorHAnsi" w:eastAsia="Times New Roman" w:hAnsiTheme="minorHAnsi" w:cs="Arial"/>
                <w:color w:val="000000"/>
                <w:sz w:val="18"/>
                <w:szCs w:val="20"/>
              </w:rPr>
              <w:t>/</w:t>
            </w:r>
            <w:r w:rsidRPr="00E66F66">
              <w:rPr>
                <w:rFonts w:asciiTheme="minorHAnsi" w:eastAsia="Times New Roman" w:hAnsiTheme="minorHAnsi" w:cs="Arial"/>
                <w:color w:val="000000"/>
                <w:sz w:val="18"/>
                <w:szCs w:val="20"/>
              </w:rPr>
              <w:t>Portal vein resection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Superior mesenteric artery resection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Hepatic artery reconstruction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left="474" w:firstLineChars="62" w:firstLine="112"/>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Left gastric artery preservation/reconstruction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23</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Estimated blood loss, median (IQR), mL</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560</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(350-1450)</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500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(190-1165)</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750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(300-1000)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Mean (SD), mL</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1015</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(1145)</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1054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(1914)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937</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(955)</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Blood transfusion for bleeding (&lt;72 hrs),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(20.0)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N/A</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N/A</w:t>
            </w:r>
          </w:p>
        </w:tc>
      </w:tr>
      <w:tr w:rsidR="007130C4" w:rsidRPr="00C55487" w:rsidTr="00020C66">
        <w:trPr>
          <w:trHeight w:val="255"/>
        </w:trPr>
        <w:tc>
          <w:tcPr>
            <w:tcW w:w="4440"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Residual status overall,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R0 (&gt;1 mm margin)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38</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(55)</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44</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(63)</w:t>
            </w:r>
          </w:p>
        </w:tc>
      </w:tr>
      <w:tr w:rsidR="007130C4" w:rsidRPr="00C55487" w:rsidTr="00020C66">
        <w:trPr>
          <w:trHeight w:val="255"/>
        </w:trPr>
        <w:tc>
          <w:tcPr>
            <w:tcW w:w="4440"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R1 (&lt;1 mm margin)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29</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(42)</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(29)</w:t>
            </w:r>
          </w:p>
        </w:tc>
      </w:tr>
      <w:tr w:rsidR="007130C4" w:rsidRPr="00C55487" w:rsidTr="00020C66">
        <w:trPr>
          <w:trHeight w:val="255"/>
        </w:trPr>
        <w:tc>
          <w:tcPr>
            <w:tcW w:w="4440"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R2 (macroscopically positive)</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r>
      <w:tr w:rsidR="007130C4" w:rsidRPr="00C55487" w:rsidTr="00020C66">
        <w:trPr>
          <w:trHeight w:val="255"/>
        </w:trPr>
        <w:tc>
          <w:tcPr>
            <w:tcW w:w="4440" w:type="dxa"/>
            <w:tcBorders>
              <w:top w:val="nil"/>
              <w:left w:val="nil"/>
              <w:bottom w:val="nil"/>
              <w:right w:val="nil"/>
            </w:tcBorders>
            <w:shd w:val="clear" w:color="auto" w:fill="auto"/>
            <w:vAlign w:val="center"/>
          </w:tcPr>
          <w:p w:rsidR="007130C4" w:rsidRPr="00E66F66" w:rsidRDefault="007130C4" w:rsidP="00C340D3">
            <w:pPr>
              <w:spacing w:line="240" w:lineRule="auto"/>
              <w:ind w:firstLineChars="23" w:firstLine="42"/>
              <w:rPr>
                <w:rFonts w:asciiTheme="minorHAnsi" w:hAnsiTheme="minorHAnsi" w:cs="Arial"/>
                <w:color w:val="000000"/>
                <w:sz w:val="18"/>
                <w:szCs w:val="20"/>
              </w:rPr>
            </w:pPr>
            <w:r w:rsidRPr="00E66F66">
              <w:rPr>
                <w:rFonts w:asciiTheme="minorHAnsi" w:eastAsia="Times New Roman" w:hAnsiTheme="minorHAnsi" w:cs="Arial"/>
                <w:b/>
                <w:bCs/>
                <w:color w:val="000000"/>
                <w:sz w:val="18"/>
                <w:szCs w:val="20"/>
              </w:rPr>
              <w:t>90-day outcomes</w:t>
            </w: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c>
          <w:tcPr>
            <w:tcW w:w="1109" w:type="dxa"/>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Mortality (Clavien-Dindo 5),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(16)</w:t>
            </w:r>
          </w:p>
        </w:tc>
        <w:tc>
          <w:tcPr>
            <w:tcW w:w="0" w:type="auto"/>
            <w:tcBorders>
              <w:top w:val="nil"/>
              <w:left w:val="single" w:sz="4" w:space="0" w:color="auto"/>
              <w:bottom w:val="nil"/>
              <w:right w:val="nil"/>
            </w:tcBorders>
            <w:shd w:val="clear" w:color="auto" w:fill="auto"/>
            <w:noWrap/>
            <w:vAlign w:val="center"/>
            <w:hideMark/>
          </w:tcPr>
          <w:p w:rsidR="007130C4" w:rsidRPr="00E66F66" w:rsidRDefault="00E858EC" w:rsidP="00020C66">
            <w:pPr>
              <w:spacing w:line="240" w:lineRule="auto"/>
              <w:ind w:firstLine="0"/>
              <w:jc w:val="right"/>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4</w:t>
            </w:r>
          </w:p>
        </w:tc>
        <w:tc>
          <w:tcPr>
            <w:tcW w:w="0" w:type="auto"/>
            <w:tcBorders>
              <w:top w:val="nil"/>
              <w:left w:val="nil"/>
              <w:bottom w:val="nil"/>
              <w:right w:val="nil"/>
            </w:tcBorders>
            <w:shd w:val="clear" w:color="auto" w:fill="auto"/>
            <w:noWrap/>
            <w:vAlign w:val="center"/>
            <w:hideMark/>
          </w:tcPr>
          <w:p w:rsidR="007130C4" w:rsidRPr="00E66F66" w:rsidRDefault="00E858EC" w:rsidP="00020C66">
            <w:pPr>
              <w:spacing w:line="240" w:lineRule="auto"/>
              <w:ind w:firstLine="0"/>
              <w:jc w:val="right"/>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(8</w:t>
            </w:r>
            <w:r w:rsidR="007130C4" w:rsidRPr="00E66F66">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 xml:space="preserve">Clavien-Dindo 3a-4b complication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(25)</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15</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(21)</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Post-pancreatectomy hemorrhage****,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Liver ischemia</w:t>
            </w:r>
            <w:r>
              <w:rPr>
                <w:rFonts w:asciiTheme="minorHAnsi" w:eastAsia="Times New Roman" w:hAnsiTheme="minorHAnsi" w:cs="Arial"/>
                <w:color w:val="000000"/>
                <w:sz w:val="18"/>
                <w:szCs w:val="20"/>
              </w:rPr>
              <w:t>/</w:t>
            </w:r>
            <w:r w:rsidRPr="00E66F66">
              <w:rPr>
                <w:rFonts w:asciiTheme="minorHAnsi" w:eastAsia="Times New Roman" w:hAnsiTheme="minorHAnsi" w:cs="Arial"/>
                <w:color w:val="000000"/>
                <w:sz w:val="18"/>
                <w:szCs w:val="20"/>
              </w:rPr>
              <w:t>infarction,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(19)</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Gastric ischemia, No. (%)</w:t>
            </w:r>
          </w:p>
        </w:tc>
        <w:tc>
          <w:tcPr>
            <w:tcW w:w="0" w:type="auto"/>
            <w:tcBorders>
              <w:top w:val="nil"/>
              <w:left w:val="nil"/>
              <w:bottom w:val="nil"/>
              <w:right w:val="nil"/>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DC346F">
              <w:rPr>
                <w:rFonts w:asciiTheme="minorHAnsi" w:eastAsia="Times New Roman" w:hAnsiTheme="minorHAnsi" w:cs="Arial"/>
                <w:color w:val="000000"/>
                <w:sz w:val="18"/>
                <w:szCs w:val="20"/>
              </w:rPr>
              <w:t>5</w:t>
            </w:r>
          </w:p>
        </w:tc>
        <w:tc>
          <w:tcPr>
            <w:tcW w:w="0" w:type="auto"/>
            <w:tcBorders>
              <w:top w:val="nil"/>
              <w:left w:val="nil"/>
              <w:bottom w:val="nil"/>
              <w:right w:val="single" w:sz="4" w:space="0" w:color="auto"/>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DC346F">
              <w:rPr>
                <w:rFonts w:asciiTheme="minorHAnsi" w:eastAsia="Times New Roman" w:hAnsiTheme="minorHAnsi" w:cs="Arial"/>
                <w:color w:val="000000"/>
                <w:sz w:val="18"/>
                <w:szCs w:val="20"/>
              </w:rPr>
              <w:t>(7)</w:t>
            </w:r>
          </w:p>
        </w:tc>
        <w:tc>
          <w:tcPr>
            <w:tcW w:w="0" w:type="auto"/>
            <w:tcBorders>
              <w:top w:val="nil"/>
              <w:left w:val="single" w:sz="4" w:space="0" w:color="auto"/>
              <w:bottom w:val="nil"/>
              <w:right w:val="nil"/>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5</w:t>
            </w:r>
          </w:p>
        </w:tc>
        <w:tc>
          <w:tcPr>
            <w:tcW w:w="0" w:type="auto"/>
            <w:tcBorders>
              <w:top w:val="nil"/>
              <w:left w:val="nil"/>
              <w:bottom w:val="nil"/>
              <w:right w:val="nil"/>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DC346F">
              <w:rPr>
                <w:rFonts w:asciiTheme="minorHAnsi" w:eastAsia="Times New Roman" w:hAnsiTheme="minorHAnsi" w:cs="Arial"/>
                <w:color w:val="000000"/>
                <w:sz w:val="18"/>
                <w:szCs w:val="20"/>
              </w:rPr>
              <w:t>(</w:t>
            </w:r>
            <w:r>
              <w:rPr>
                <w:rFonts w:asciiTheme="minorHAnsi" w:eastAsia="Times New Roman" w:hAnsiTheme="minorHAnsi" w:cs="Arial"/>
                <w:color w:val="000000"/>
                <w:sz w:val="18"/>
                <w:szCs w:val="20"/>
              </w:rPr>
              <w:t>10</w:t>
            </w:r>
            <w:r w:rsidRPr="00DC346F">
              <w:rPr>
                <w:rFonts w:asciiTheme="minorHAnsi" w:eastAsia="Times New Roman" w:hAnsiTheme="minorHAnsi" w:cs="Arial"/>
                <w:color w:val="000000"/>
                <w:sz w:val="18"/>
                <w:szCs w:val="20"/>
              </w:rPr>
              <w:t>)</w:t>
            </w:r>
          </w:p>
        </w:tc>
        <w:tc>
          <w:tcPr>
            <w:tcW w:w="0" w:type="auto"/>
            <w:tcBorders>
              <w:top w:val="nil"/>
              <w:left w:val="nil"/>
              <w:bottom w:val="nil"/>
              <w:right w:val="nil"/>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DC346F">
              <w:rPr>
                <w:rFonts w:asciiTheme="minorHAnsi" w:eastAsia="Times New Roman" w:hAnsiTheme="minorHAnsi" w:cs="Arial"/>
                <w:color w:val="000000"/>
                <w:sz w:val="18"/>
                <w:szCs w:val="20"/>
              </w:rPr>
              <w:t>8</w:t>
            </w:r>
          </w:p>
        </w:tc>
        <w:tc>
          <w:tcPr>
            <w:tcW w:w="1109" w:type="dxa"/>
            <w:tcBorders>
              <w:top w:val="nil"/>
              <w:left w:val="nil"/>
              <w:bottom w:val="nil"/>
              <w:right w:val="nil"/>
            </w:tcBorders>
            <w:shd w:val="clear" w:color="auto" w:fill="auto"/>
            <w:noWrap/>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DC346F">
              <w:rPr>
                <w:rFonts w:asciiTheme="minorHAnsi" w:eastAsia="Times New Roman" w:hAnsiTheme="minorHAnsi" w:cs="Arial"/>
                <w:color w:val="000000"/>
                <w:sz w:val="18"/>
                <w:szCs w:val="20"/>
              </w:rPr>
              <w:t>(11)</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Abdominal cavity infection,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17</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Pancreatic fistula grade B/C****,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15</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(21)</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13</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Delayed gastric emptying grade B/C****,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(15)</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Reoperation, No. (%)</w:t>
            </w:r>
          </w:p>
        </w:tc>
        <w:tc>
          <w:tcPr>
            <w:tcW w:w="0" w:type="auto"/>
            <w:tcBorders>
              <w:top w:val="nil"/>
              <w:left w:val="nil"/>
              <w:bottom w:val="nil"/>
              <w:right w:val="nil"/>
            </w:tcBorders>
            <w:shd w:val="clear" w:color="auto" w:fill="auto"/>
            <w:noWrap/>
            <w:vAlign w:val="center"/>
            <w:hideMark/>
          </w:tcPr>
          <w:p w:rsidR="007130C4" w:rsidRPr="00E66F66" w:rsidRDefault="004C3B02" w:rsidP="00020C66">
            <w:pPr>
              <w:spacing w:line="240" w:lineRule="auto"/>
              <w:ind w:firstLine="0"/>
              <w:jc w:val="right"/>
              <w:rPr>
                <w:rFonts w:asciiTheme="minorHAnsi" w:eastAsia="Times New Roman" w:hAnsiTheme="minorHAnsi" w:cs="Arial"/>
                <w:color w:val="000000"/>
                <w:sz w:val="18"/>
                <w:szCs w:val="20"/>
              </w:rPr>
            </w:pPr>
            <w:r>
              <w:rPr>
                <w:rFonts w:asciiTheme="minorHAnsi" w:eastAsia="Times New Roman" w:hAnsiTheme="minorHAnsi" w:cs="Arial"/>
                <w:color w:val="000000"/>
                <w:sz w:val="18"/>
                <w:szCs w:val="20"/>
              </w:rPr>
              <w:t>10</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4C3B02">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w:t>
            </w:r>
            <w:r>
              <w:rPr>
                <w:rFonts w:asciiTheme="minorHAnsi" w:eastAsia="Times New Roman" w:hAnsiTheme="minorHAnsi" w:cs="Arial"/>
                <w:color w:val="000000"/>
                <w:sz w:val="18"/>
                <w:szCs w:val="20"/>
              </w:rPr>
              <w:t>1</w:t>
            </w:r>
            <w:r w:rsidR="004C3B02">
              <w:rPr>
                <w:rFonts w:asciiTheme="minorHAnsi" w:eastAsia="Times New Roman" w:hAnsiTheme="minorHAnsi" w:cs="Arial"/>
                <w:color w:val="000000"/>
                <w:sz w:val="18"/>
                <w:szCs w:val="20"/>
              </w:rPr>
              <w:t>4</w:t>
            </w:r>
            <w:r w:rsidRPr="00E66F66">
              <w:rPr>
                <w:rFonts w:asciiTheme="minorHAnsi" w:eastAsia="Times New Roman" w:hAnsiTheme="minorHAnsi" w:cs="Arial"/>
                <w:color w:val="000000"/>
                <w:sz w:val="18"/>
                <w:szCs w:val="20"/>
              </w:rPr>
              <w:t>)</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Length of hospital say, median (IQR), days</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17</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(11-26)</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(15-33)</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(7-10)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0" w:firstLine="54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Mean (SD), days</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20</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(28)</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Unplanned readmission,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9</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31</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(44)</w:t>
            </w:r>
          </w:p>
        </w:tc>
      </w:tr>
      <w:tr w:rsidR="007130C4" w:rsidRPr="00C55487" w:rsidTr="00020C66">
        <w:trPr>
          <w:trHeight w:val="255"/>
        </w:trPr>
        <w:tc>
          <w:tcPr>
            <w:tcW w:w="4440" w:type="dxa"/>
            <w:tcBorders>
              <w:top w:val="nil"/>
              <w:left w:val="nil"/>
              <w:bottom w:val="nil"/>
              <w:right w:val="nil"/>
            </w:tcBorders>
            <w:shd w:val="clear" w:color="auto" w:fill="auto"/>
            <w:vAlign w:val="center"/>
          </w:tcPr>
          <w:p w:rsidR="007130C4" w:rsidRPr="0098301B" w:rsidRDefault="007130C4" w:rsidP="00020C66">
            <w:pPr>
              <w:spacing w:line="240" w:lineRule="auto"/>
              <w:ind w:firstLine="0"/>
              <w:rPr>
                <w:rFonts w:eastAsia="Times New Roman"/>
                <w:b/>
                <w:bCs/>
                <w:color w:val="000000"/>
                <w:sz w:val="18"/>
                <w:szCs w:val="18"/>
              </w:rPr>
            </w:pPr>
            <w:r w:rsidRPr="0098301B">
              <w:rPr>
                <w:rFonts w:eastAsia="Times New Roman"/>
                <w:b/>
                <w:bCs/>
                <w:color w:val="000000"/>
                <w:sz w:val="18"/>
                <w:szCs w:val="18"/>
              </w:rPr>
              <w:t>Long-term outcomes</w:t>
            </w: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1109" w:type="dxa"/>
            <w:tcBorders>
              <w:top w:val="nil"/>
              <w:left w:val="nil"/>
              <w:bottom w:val="nil"/>
              <w:right w:val="nil"/>
            </w:tcBorders>
            <w:shd w:val="clear" w:color="auto" w:fill="auto"/>
            <w:noWrap/>
            <w:vAlign w:val="center"/>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Adjuvant treatment, No. (%)</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None</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23</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(32)</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18</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(26)</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Chemotherapy</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41</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(58)</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(80)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32</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(46)</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Radiotherapy</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Both or chemoradiation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(14)</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308" w:firstLine="554"/>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Unknown</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(10)</w:t>
            </w:r>
          </w:p>
        </w:tc>
      </w:tr>
      <w:tr w:rsidR="007130C4" w:rsidRPr="00C55487" w:rsidTr="00020C66">
        <w:trPr>
          <w:trHeight w:val="255"/>
        </w:trPr>
        <w:tc>
          <w:tcPr>
            <w:tcW w:w="4440" w:type="dxa"/>
            <w:tcBorders>
              <w:top w:val="nil"/>
              <w:left w:val="nil"/>
              <w:bottom w:val="nil"/>
              <w:right w:val="nil"/>
            </w:tcBorders>
            <w:shd w:val="clear" w:color="auto" w:fill="auto"/>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Follow-up time, median (IQR), d</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309</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(128-617)</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466</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(240-952)</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435</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(197-791)</w:t>
            </w:r>
          </w:p>
        </w:tc>
      </w:tr>
      <w:tr w:rsidR="007130C4" w:rsidRPr="00C55487" w:rsidTr="00020C66">
        <w:trPr>
          <w:trHeight w:val="255"/>
        </w:trPr>
        <w:tc>
          <w:tcPr>
            <w:tcW w:w="4440"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Chars="100" w:firstLine="180"/>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Overall survival, median (95% CI), d</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617</w:t>
            </w:r>
          </w:p>
        </w:tc>
        <w:tc>
          <w:tcPr>
            <w:tcW w:w="0" w:type="auto"/>
            <w:tcBorders>
              <w:top w:val="nil"/>
              <w:left w:val="nil"/>
              <w:bottom w:val="nil"/>
              <w:right w:val="single" w:sz="4" w:space="0" w:color="auto"/>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(317-1108)</w:t>
            </w:r>
          </w:p>
        </w:tc>
        <w:tc>
          <w:tcPr>
            <w:tcW w:w="0" w:type="auto"/>
            <w:tcBorders>
              <w:top w:val="nil"/>
              <w:left w:val="single" w:sz="4" w:space="0" w:color="auto"/>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500</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(384-761)</w:t>
            </w:r>
          </w:p>
        </w:tc>
        <w:tc>
          <w:tcPr>
            <w:tcW w:w="0" w:type="auto"/>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723</w:t>
            </w:r>
          </w:p>
        </w:tc>
        <w:tc>
          <w:tcPr>
            <w:tcW w:w="1109" w:type="dxa"/>
            <w:tcBorders>
              <w:top w:val="nil"/>
              <w:left w:val="nil"/>
              <w:bottom w:val="nil"/>
              <w:right w:val="nil"/>
            </w:tcBorders>
            <w:shd w:val="clear" w:color="auto" w:fill="auto"/>
            <w:noWrap/>
            <w:vAlign w:val="center"/>
            <w:hideMark/>
          </w:tcPr>
          <w:p w:rsidR="007130C4" w:rsidRPr="00E66F66" w:rsidRDefault="007130C4" w:rsidP="00020C66">
            <w:pPr>
              <w:spacing w:line="240" w:lineRule="auto"/>
              <w:ind w:firstLine="0"/>
              <w:jc w:val="right"/>
              <w:rPr>
                <w:rFonts w:asciiTheme="minorHAnsi" w:eastAsia="Times New Roman" w:hAnsiTheme="minorHAnsi" w:cs="Arial"/>
                <w:color w:val="000000"/>
                <w:sz w:val="18"/>
                <w:szCs w:val="20"/>
              </w:rPr>
            </w:pPr>
            <w:r w:rsidRPr="00E66F66">
              <w:rPr>
                <w:rFonts w:asciiTheme="minorHAnsi" w:eastAsia="Times New Roman" w:hAnsiTheme="minorHAnsi" w:cs="Arial"/>
                <w:color w:val="000000"/>
                <w:sz w:val="18"/>
                <w:szCs w:val="20"/>
              </w:rPr>
              <w:t>(537-1044)</w:t>
            </w:r>
          </w:p>
        </w:tc>
      </w:tr>
    </w:tbl>
    <w:p w:rsidR="007130C4" w:rsidRPr="0098301B" w:rsidRDefault="007130C4" w:rsidP="007130C4">
      <w:pPr>
        <w:spacing w:line="240" w:lineRule="auto"/>
        <w:rPr>
          <w:rFonts w:asciiTheme="minorHAnsi" w:hAnsiTheme="minorHAnsi"/>
          <w:sz w:val="18"/>
        </w:rPr>
      </w:pPr>
      <w:r w:rsidRPr="0098301B">
        <w:rPr>
          <w:rFonts w:asciiTheme="minorHAnsi" w:hAnsiTheme="minorHAnsi"/>
          <w:sz w:val="18"/>
        </w:rPr>
        <w:t>* Mean volume of 1 per year between January 1</w:t>
      </w:r>
      <w:r w:rsidRPr="0098301B">
        <w:rPr>
          <w:rFonts w:asciiTheme="minorHAnsi" w:hAnsiTheme="minorHAnsi"/>
          <w:sz w:val="18"/>
          <w:vertAlign w:val="superscript"/>
        </w:rPr>
        <w:t>st</w:t>
      </w:r>
      <w:r w:rsidRPr="0098301B">
        <w:rPr>
          <w:rFonts w:asciiTheme="minorHAnsi" w:hAnsiTheme="minorHAnsi"/>
          <w:sz w:val="18"/>
        </w:rPr>
        <w:t xml:space="preserve"> 2014 and December 31</w:t>
      </w:r>
      <w:r w:rsidRPr="0098301B">
        <w:rPr>
          <w:rFonts w:asciiTheme="minorHAnsi" w:hAnsiTheme="minorHAnsi"/>
          <w:sz w:val="18"/>
          <w:vertAlign w:val="superscript"/>
        </w:rPr>
        <w:t>st</w:t>
      </w:r>
      <w:r w:rsidRPr="0098301B">
        <w:rPr>
          <w:rFonts w:asciiTheme="minorHAnsi" w:hAnsiTheme="minorHAnsi"/>
          <w:sz w:val="18"/>
        </w:rPr>
        <w:t xml:space="preserve"> 2016</w:t>
      </w:r>
    </w:p>
    <w:p w:rsidR="007130C4" w:rsidRPr="0098301B" w:rsidRDefault="007130C4" w:rsidP="007130C4">
      <w:pPr>
        <w:spacing w:line="240" w:lineRule="auto"/>
        <w:rPr>
          <w:rFonts w:asciiTheme="minorHAnsi" w:hAnsiTheme="minorHAnsi"/>
          <w:sz w:val="18"/>
        </w:rPr>
      </w:pPr>
      <w:r w:rsidRPr="0098301B">
        <w:rPr>
          <w:rFonts w:asciiTheme="minorHAnsi" w:hAnsiTheme="minorHAnsi"/>
          <w:sz w:val="18"/>
        </w:rPr>
        <w:t>** Other than celiac axis, gallbladder, pancreas, or spleen.</w:t>
      </w:r>
    </w:p>
    <w:p w:rsidR="007130C4" w:rsidRPr="0098301B" w:rsidRDefault="007130C4" w:rsidP="007130C4">
      <w:pPr>
        <w:spacing w:line="240" w:lineRule="auto"/>
        <w:rPr>
          <w:rFonts w:asciiTheme="minorHAnsi" w:hAnsiTheme="minorHAnsi"/>
          <w:sz w:val="18"/>
        </w:rPr>
      </w:pPr>
      <w:r w:rsidRPr="0098301B">
        <w:rPr>
          <w:rFonts w:asciiTheme="minorHAnsi" w:hAnsiTheme="minorHAnsi"/>
          <w:sz w:val="18"/>
        </w:rPr>
        <w:t>*** Excluding side-bite</w:t>
      </w:r>
    </w:p>
    <w:p w:rsidR="00DC346F" w:rsidRPr="00DC346F" w:rsidRDefault="007130C4" w:rsidP="007130C4">
      <w:pPr>
        <w:spacing w:line="240" w:lineRule="auto"/>
        <w:rPr>
          <w:rFonts w:asciiTheme="minorHAnsi" w:hAnsiTheme="minorHAnsi"/>
        </w:rPr>
      </w:pPr>
      <w:r>
        <w:rPr>
          <w:rFonts w:asciiTheme="minorHAnsi" w:hAnsiTheme="minorHAnsi"/>
          <w:sz w:val="18"/>
        </w:rPr>
        <w:t>**** ISGPS definition</w:t>
      </w:r>
      <w:r w:rsidR="00FA7995">
        <w:rPr>
          <w:rFonts w:asciiTheme="minorHAnsi" w:hAnsiTheme="minorHAnsi"/>
          <w:sz w:val="18"/>
        </w:rPr>
        <w:fldChar w:fldCharType="begin" w:fldLock="1"/>
      </w:r>
      <w:r w:rsidR="00350EB0">
        <w:rPr>
          <w:rFonts w:asciiTheme="minorHAnsi" w:hAnsiTheme="minorHAnsi"/>
          <w:sz w:val="18"/>
        </w:rPr>
        <w:instrText>ADDIN CSL_CITATION { "citationItems" : [ { "id" : "ITEM-1", "itemData" : { "DOI" : "10.1016/j.surg.2007.05.005", "ISBN" : "0039-6060", "ISSN" : "00396060", "PMID" : "17981197", "abstract" : "Background: Delayed gastric emptying (DGE) is one of the most common complications after pancreatic resection. In the literature, the reported incidence of DGE after pancreatic surgery varies considerably between different surgical centers, primarily because an internationally accepted consensus definition of DGE is not available. Several surgical centers use a different definition of DGE. Hence, a valid comparison of different study reports and operative techniques is not possible. Methods: After a literature review on DGE after pancreatic resection, the International Study Group of Pancreatic Surgery (ISGPS) developed an objective and generally applicable definition with grades of DGE based primarily on severity and clinical impact. Results: DGE represents the inability to return to a standard diet by the end of the first postoperative week and includes prolonged nasogastric intubation of the patient. Three different grades (A, B, and C) were defined based on the impact on the clinical course and on postoperative management. Conclusion: The proposed definition, which includes a clinical grading of DGE, should allow objective and accurate comparison of the results of future clinical trials and will facilitate the objective evaluation of novel interventions and surgical modalities in the field of pancreatic surgery. \u00a9 2007 Mosby, Inc. All rights reserved.", "author" : [ { "dropping-particle" : "", "family" : "Wente", "given" : "Moritz N.", "non-dropping-particle" : "", "parse-names" : false, "suffix" : "" }, { "dropping-particle" : "", "family" : "Bassi", "given" : "Claudio", "non-dropping-particle" : "", "parse-names" : false, "suffix" : "" }, { "dropping-particle" : "", "family" : "Dervenis", "given" : "Christos", "non-dropping-particle" : "", "parse-names" : false, "suffix" : "" }, { "dropping-particle" : "", "family" : "Fingerhut", "given" : "Abe", "non-dropping-particle" : "", "parse-names" : false, "suffix" : "" }, { "dropping-particle" : "", "family" : "Gouma", "given" : "Dirk J.", "non-dropping-particle" : "", "parse-names" : false, "suffix" : "" }, { "dropping-particle" : "", "family" : "Izbicki", "given" : "Jakob R.", "non-dropping-particle" : "", "parse-names" : false, "suffix" : "" }, { "dropping-particle" : "", "family" : "Neoptolemos", "given" : "John P.", "non-dropping-particle" : "", "parse-names" : false, "suffix" : "" }, { "dropping-particle" : "", "family" : "Padbury", "given" : "Robert T.", "non-dropping-particle" : "", "parse-names" : false, "suffix" : "" }, { "dropping-particle" : "", "family" : "Sarr", "given" : "Michael G.", "non-dropping-particle" : "", "parse-names" : false, "suffix" : "" }, { "dropping-particle" : "", "family" : "Traverso", "given" : "L. William", "non-dropping-particle" : "", "parse-names" : false, "suffix" : "" }, { "dropping-particle" : "", "family" : "Yeo", "given" : "Charles J.", "non-dropping-particle" : "", "parse-names" : false, "suffix" : "" }, { "dropping-particle" : "", "family" : "B\u00fcchler", "given" : "Markus W.", "non-dropping-particle" : "", "parse-names" : false, "suffix" : "" } ], "container-title" : "Surgery", "id" : "ITEM-1", "issue" : "5", "issued" : { "date-parts" : [ [ "2007" ] ] }, "page" : "761-768", "title" : "Delayed gastric emptying (DGE) after pancreatic surgery: A suggested definition by the International Study Group of Pancreatic Surgery (ISGPS)", "type" : "article-journal", "volume" : "142" }, "uris" : [ "http://www.mendeley.com/documents/?uuid=1545bed8-2c20-447e-9dce-c3c11c770b06" ] }, { "id" : "ITEM-2", "itemData" : { "DOI" : "10.1016/j.surg.2007.02.001", "author" : [ { "dropping-particle" : "", "family" : "Wente", "given" : "Moritz N", "non-dropping-particle" : "", "parse-names" : false, "suffix" : "" }, { "dropping-particle" : "", "family" : "Veit", "given" : "Johannes A", "non-dropping-particle" : "", "parse-names" : false, "suffix" : "" }, { "dropping-particle" : "", "family" : "Bassi", "given" : "Claudio", "non-dropping-particle" : "", "parse-names" : false, "suffix" : "" }, { "dropping-particle" : "", "family" : "Dervenis", "given" : "Christos", "non-dropping-particle" : "", "parse-names" : false, "suffix" : "" } ], "container-title" : "Surgery", "id" : "ITEM-2", "issue" : "1", "issued" : { "date-parts" : [ [ "2007" ] ] }, "page" : "20-25", "title" : "Postpancreatectomy hemorrhage ( PPH )\u2013 An International Study Group of Pancreatic Surgery ( ISGPS ) definition", "type" : "article-journal", "volume" : "142" }, "uris" : [ "http://www.mendeley.com/documents/?uuid=df44ad02-b772-4e01-95a2-bf0de5adffaa" ] }, { "id" : "ITEM-3", "itemData" : { "DOI" : "10.1016/j.surg.2016.11.014", "ISSN" : "15327361", "PMID" : "28040257", "abstract" : "Background In 2005, the International Study Group of Pancreatic Fistula developed a definition and grading of postoperative pancreatic fistula that has been accepted universally. Eleven years later, because postoperative pancreatic fistula remains one of the most relevant and harmful complications of pancreatic operation, the International Study Group of Pancreatic Fistula classification has become the gold standard in defining postoperative pancreatic fistula in clinical practice. The aim of the present report is to verify the value of the International Study Group of Pancreatic Fistula definition and grading of postoperative pancreatic fistula and to update the International Study Group of Pancreatic Fistula classification in light of recent evidence that has emerged, as well as to address the lingering controversies about the original definition and grading of postoperative pancreatic fistula. Methods The International Study Group of Pancreatic Fistula reconvened as the International Study Group in Pancreatic Surgery in order to perform a review of the recent literature and consequently to update and revise the grading system of postoperative pancreatic fistula. Results Based on the literature since 2005 investigating the validity and clinical use of the original International Study Group of Pancreatic Fistula classification, a clinically relevant postoperative pancreatic fistula is now redefined as a drain output of any measurable volume of fluid with an amylase level &gt;3 times the upper limit of institutional normal serum amylase activity, associated with a clinically relevant development/condition related directly to the postoperative pancreatic fistula. Consequently, the former \u201cgrade A postoperative pancreatic fistula\u201d is now redefined and called a \u201cbiochemical leak,\u201d because it has no clinical importance and is no longer referred to a true pancreatic fistula. Postoperative pancreatic fistula grades B and C are confirmed but defined more strictly. In particular, grade B requires a change in the postoperative management; drains are either left in place &gt;3 weeks or repositioned through endoscopic or percutaneous procedures. Grade C postoperative pancreatic fistula refers to those postoperative pancreatic fistula that require reoperation or lead to single or multiple organ failure and/or mortality attributable to the pancreatic fistula. Conclusion This new definition and grading system of postoperative pancreatic fistula should lead to a more univer\u2026", "author" : [ { "dropping-particle" : "", "family" : "Bassi", "given" : "Claudio", "non-dropping-particle" : "", "parse-names" : false, "suffix" : "" }, { "dropping-particle" : "", "family" : "Marchegiani", "given" : "Giovanni", "non-dropping-particle" : "", "parse-names" : false, "suffix" : "" }, { "dropping-particle" : "", "family" : "Dervenis", "given" : "Christos", "non-dropping-particle" : "", "parse-names" : false, "suffix" : "" }, { "dropping-particle" : "", "family" : "Sarr", "given" : "Micheal", "non-dropping-particle" : "", "parse-names" : false, "suffix" : "" }, { "dropping-particle" : "", "family" : "Abu Hilal", "given" : "Mohammad", "non-dropping-particle" : "", "parse-names" : false, "suffix" : "" }, { "dropping-particle" : "", "family" : "Adham", "given" : "Mustapha", "non-dropping-particle" : "", "parse-names" : false, "suffix" : "" }, { "dropping-particle" : "", "family" : "Allen", "given" : "Peter", "non-dropping-particle" : "", "parse-names" : false, "suffix" : "" }, { "dropping-particle" : "", "family" : "Andersson", "given" : "Roland", "non-dropping-particle" : "", "parse-names" : false, "suffix" : "" }, { "dropping-particle" : "", "family" : "Asbun", "given" : "Horacio J.", "non-dropping-particle" : "", "parse-names" : false, "suffix" : "" }, { "dropping-particle" : "", "family" : "Besselink", "given" : "Marc G.", "non-dropping-particle" : "", "parse-names" : false, "suffix" : "" }, { "dropping-particle" : "", "family" : "Conlon", "given" : "Kevin", "non-dropping-particle" : "", "parse-names" : false, "suffix" : "" }, { "dropping-particle" : "", "family" : "Chiaro", "given" : "Marco", "non-dropping-particle" : "Del", "parse-names" : false, "suffix" : "" }, { "dropping-particle" : "", "family" : "Falconi", "given" : "Massimo", "non-dropping-particle" : "", "parse-names" : false, "suffix" : "" }, { "dropping-particle" : "", "family" : "Fernandez-Cruz", "given" : "Laureano", "non-dropping-particle" : "", "parse-names" : false, "suffix" : "" }, { "dropping-particle" : "", "family" : "Fernandez-del Castillo", "given" : "Carlos", "non-dropping-particle" : "", "parse-names" : false, "suffix" : "" }, { "dropping-particle" : "", "family" : "Fingerhut", "given" : "Abe", "non-dropping-particle" : "", "parse-names" : false, "suffix" : "" }, { "dropping-particle" : "", "family" : "Friess", "given" : "Helmut", "non-dropping-particle" : "", "parse-names" : false, "suffix" : "" }, { "dropping-particle" : "", "family" : "Gouma", "given" : "Dirk J.", "non-dropping-particle" : "", "parse-names" : false, "suffix" : "" }, { "dropping-particle" : "", "family" : "Hackert", "given" : "Thilo", "non-dropping-particle" : "", "parse-names" : false, "suffix" : "" }, { "dropping-particle" : "", "family" : "Izbicki", "given" : "Jakob", "non-dropping-particle" : "", "parse-names" : false, "suffix" : "" }, { "dropping-particle" : "", "family" : "Lillemoe", "given" : "Keith D.", "non-dropping-particle" : "", "parse-names" : false, "suffix" : "" }, { "dropping-particle" : "", "family" : "Neoptolemos", "given" : "John P.", "non-dropping-particle" : "", "parse-names" : false, "suffix" : "" }, { "dropping-particle" : "", "family" : "Olah", "given" : "Attila", "non-dropping-particle" : "", "parse-names" : false, "suffix" : "" }, { "dropping-particle" : "", "family" : "Schulick", "given" : "Richard", "non-dropping-particle" : "", "parse-names" : false, "suffix" : "" }, { "dropping-particle" : "V.", "family" : "Shrikhande", "given" : "Shailesh", "non-dropping-particle" : "", "parse-names" : false, "suffix" : "" }, { "dropping-particle" : "", "family" : "Takada", "given" : "Tadahiro", "non-dropping-particle" : "", "parse-names" : false, "suffix" : "" }, { "dropping-particle" : "", "family" : "Takaori", "given" : "Kyoichi", "non-dropping-particle" : "", "parse-names" : false, "suffix" : "" }, { "dropping-particle" : "", "family" : "Traverso", "given" : "William", "non-dropping-particle" : "", "parse-names" : false, "suffix" : "" }, { "dropping-particle" : "", "family" : "Vollmer", "given" : "Charles R.", "non-dropping-particle" : "", "parse-names" : false, "suffix" : "" }, { "dropping-particle" : "", "family" : "Wolfgang", "given" : "Christopher L.", "non-dropping-particle" : "", "parse-names" : false, "suffix" : "" }, { "dropping-particle" : "", "family" : "Yeo", "given" : "Charles J.", "non-dropping-particle" : "", "parse-names" : false, "suffix" : "" }, { "dropping-particle" : "", "family" : "Salvia", "given" : "Roberto", "non-dropping-particle" : "", "parse-names" : false, "suffix" : "" }, { "dropping-particle" : "", "family" : "Buchler", "given" : "Marcus", "non-dropping-particle" : "", "parse-names" : false, "suffix" : "" } ], "container-title" : "Surgery", "id" : "ITEM-3", "issue" : "3", "issued" : { "date-parts" : [ [ "2017" ] ] }, "page" : "584-591", "publisher" : "Elsevier Inc.", "title" : "The 2016 update of the International Study Group (ISGPS) definition and grading of postoperative pancreatic fistula: 11 Years After", "type" : "article-journal", "volume" : "161" }, "uris" : [ "http://www.mendeley.com/documents/?uuid=aea99b46-79d1-4449-914f-501e8d539f30" ] } ], "mendeley" : { "formattedCitation" : "&lt;sup&gt;15\u201317&lt;/sup&gt;", "plainTextFormattedCitation" : "15\u201317", "previouslyFormattedCitation" : "&lt;sup&gt;15\u201317&lt;/sup&gt;" }, "properties" : {  }, "schema" : "https://github.com/citation-style-language/schema/raw/master/csl-citation.json" }</w:instrText>
      </w:r>
      <w:r w:rsidR="00FA7995">
        <w:rPr>
          <w:rFonts w:asciiTheme="minorHAnsi" w:hAnsiTheme="minorHAnsi"/>
          <w:sz w:val="18"/>
        </w:rPr>
        <w:fldChar w:fldCharType="separate"/>
      </w:r>
      <w:r w:rsidR="00202543" w:rsidRPr="00202543">
        <w:rPr>
          <w:rFonts w:asciiTheme="minorHAnsi" w:hAnsiTheme="minorHAnsi"/>
          <w:noProof/>
          <w:sz w:val="18"/>
          <w:vertAlign w:val="superscript"/>
        </w:rPr>
        <w:t>15–17</w:t>
      </w:r>
      <w:r w:rsidR="00FA7995">
        <w:rPr>
          <w:rFonts w:asciiTheme="minorHAnsi" w:hAnsiTheme="minorHAnsi"/>
          <w:sz w:val="18"/>
        </w:rPr>
        <w:fldChar w:fldCharType="end"/>
      </w:r>
      <w:r w:rsidR="00DC346F">
        <w:rPr>
          <w:rFonts w:asciiTheme="minorHAnsi" w:eastAsia="Times New Roman" w:hAnsiTheme="minorHAnsi"/>
          <w:color w:val="000000"/>
          <w:lang w:eastAsia="nl-NL"/>
        </w:rPr>
        <w:br w:type="page"/>
      </w:r>
    </w:p>
    <w:p w:rsidR="006454FC" w:rsidRDefault="00DC346F" w:rsidP="00E133E4">
      <w:pPr>
        <w:spacing w:line="360" w:lineRule="auto"/>
        <w:ind w:firstLine="0"/>
        <w:rPr>
          <w:rFonts w:asciiTheme="minorHAnsi" w:eastAsia="Times New Roman" w:hAnsiTheme="minorHAnsi"/>
          <w:color w:val="000000"/>
          <w:lang w:eastAsia="nl-NL"/>
        </w:rPr>
      </w:pPr>
      <w:r w:rsidRPr="00246AA0">
        <w:rPr>
          <w:rFonts w:asciiTheme="minorHAnsi" w:eastAsia="Times New Roman" w:hAnsiTheme="minorHAnsi"/>
          <w:color w:val="000000"/>
          <w:lang w:eastAsia="nl-NL"/>
        </w:rPr>
        <w:lastRenderedPageBreak/>
        <w:t>SUPPLEMENT 2</w:t>
      </w:r>
      <w:r w:rsidR="00FF340E" w:rsidRPr="00246AA0">
        <w:rPr>
          <w:rFonts w:asciiTheme="minorHAnsi" w:eastAsia="Times New Roman" w:hAnsiTheme="minorHAnsi"/>
          <w:color w:val="000000"/>
          <w:lang w:eastAsia="nl-NL"/>
        </w:rPr>
        <w:t>A</w:t>
      </w:r>
      <w:r w:rsidR="006454FC" w:rsidRPr="00246AA0">
        <w:rPr>
          <w:rFonts w:asciiTheme="minorHAnsi" w:eastAsia="Times New Roman" w:hAnsiTheme="minorHAnsi"/>
          <w:color w:val="000000"/>
          <w:lang w:eastAsia="nl-NL"/>
        </w:rPr>
        <w:t>. UNIVARIABLE SCREEN FOR 90-DAY MORTALITY</w:t>
      </w:r>
    </w:p>
    <w:tbl>
      <w:tblPr>
        <w:tblW w:w="0" w:type="auto"/>
        <w:tblInd w:w="108" w:type="dxa"/>
        <w:tblLook w:val="04A0"/>
      </w:tblPr>
      <w:tblGrid>
        <w:gridCol w:w="4342"/>
        <w:gridCol w:w="612"/>
        <w:gridCol w:w="1069"/>
        <w:gridCol w:w="674"/>
        <w:gridCol w:w="1019"/>
        <w:gridCol w:w="758"/>
      </w:tblGrid>
      <w:tr w:rsidR="00FF340E" w:rsidRPr="00246AA0" w:rsidTr="00FF340E">
        <w:trPr>
          <w:trHeight w:val="300"/>
        </w:trPr>
        <w:tc>
          <w:tcPr>
            <w:tcW w:w="4342" w:type="dxa"/>
            <w:tcBorders>
              <w:top w:val="nil"/>
              <w:left w:val="nil"/>
              <w:bottom w:val="nil"/>
              <w:right w:val="nil"/>
            </w:tcBorders>
            <w:shd w:val="clear" w:color="auto" w:fill="auto"/>
            <w:noWrap/>
            <w:vAlign w:val="bottom"/>
            <w:hideMark/>
          </w:tcPr>
          <w:p w:rsidR="00FF340E" w:rsidRPr="00246AA0" w:rsidRDefault="00FF340E" w:rsidP="00FF340E">
            <w:pPr>
              <w:spacing w:line="240" w:lineRule="auto"/>
              <w:ind w:firstLine="0"/>
              <w:rPr>
                <w:rFonts w:cstheme="minorBidi"/>
                <w:sz w:val="18"/>
                <w:szCs w:val="18"/>
              </w:rPr>
            </w:pPr>
          </w:p>
        </w:tc>
        <w:tc>
          <w:tcPr>
            <w:tcW w:w="1681" w:type="dxa"/>
            <w:gridSpan w:val="2"/>
            <w:tcBorders>
              <w:top w:val="nil"/>
              <w:left w:val="nil"/>
              <w:bottom w:val="nil"/>
              <w:right w:val="nil"/>
            </w:tcBorders>
            <w:shd w:val="clear" w:color="auto" w:fill="auto"/>
            <w:noWrap/>
            <w:vAlign w:val="bottom"/>
            <w:hideMark/>
          </w:tcPr>
          <w:p w:rsidR="00FF340E" w:rsidRPr="00246AA0" w:rsidRDefault="00FF340E" w:rsidP="000F03AA">
            <w:pPr>
              <w:spacing w:line="240" w:lineRule="auto"/>
              <w:ind w:firstLine="0"/>
              <w:rPr>
                <w:rFonts w:eastAsia="Times New Roman" w:cs="Arial"/>
                <w:color w:val="000000"/>
                <w:sz w:val="18"/>
                <w:szCs w:val="18"/>
              </w:rPr>
            </w:pPr>
            <w:r w:rsidRPr="00246AA0">
              <w:rPr>
                <w:rFonts w:eastAsia="Times New Roman" w:cs="Arial"/>
                <w:color w:val="000000"/>
                <w:sz w:val="18"/>
                <w:szCs w:val="18"/>
              </w:rPr>
              <w:t>90-day mortality</w:t>
            </w:r>
          </w:p>
        </w:tc>
        <w:tc>
          <w:tcPr>
            <w:tcW w:w="0" w:type="auto"/>
            <w:gridSpan w:val="2"/>
            <w:tcBorders>
              <w:top w:val="nil"/>
              <w:left w:val="nil"/>
              <w:bottom w:val="nil"/>
              <w:right w:val="nil"/>
            </w:tcBorders>
            <w:shd w:val="clear" w:color="auto" w:fill="auto"/>
            <w:noWrap/>
            <w:vAlign w:val="bottom"/>
            <w:hideMark/>
          </w:tcPr>
          <w:p w:rsidR="00FF340E" w:rsidRPr="00246AA0" w:rsidRDefault="009A53A4" w:rsidP="00FF340E">
            <w:pPr>
              <w:spacing w:line="240" w:lineRule="auto"/>
              <w:ind w:firstLine="0"/>
              <w:jc w:val="center"/>
              <w:rPr>
                <w:rFonts w:eastAsia="Times New Roman" w:cs="Arial"/>
                <w:color w:val="000000"/>
                <w:sz w:val="18"/>
                <w:szCs w:val="18"/>
              </w:rPr>
            </w:pPr>
            <w:r w:rsidRPr="00246AA0">
              <w:rPr>
                <w:rFonts w:eastAsia="Times New Roman" w:cs="Arial"/>
                <w:color w:val="000000"/>
                <w:sz w:val="18"/>
                <w:szCs w:val="18"/>
              </w:rPr>
              <w:t xml:space="preserve">No </w:t>
            </w:r>
            <w:r w:rsidR="00FF340E" w:rsidRPr="00246AA0">
              <w:rPr>
                <w:rFonts w:eastAsia="Times New Roman" w:cs="Arial"/>
                <w:color w:val="000000"/>
                <w:sz w:val="18"/>
                <w:szCs w:val="18"/>
              </w:rPr>
              <w:t>90-day mortality</w:t>
            </w:r>
          </w:p>
        </w:tc>
        <w:tc>
          <w:tcPr>
            <w:tcW w:w="0" w:type="auto"/>
            <w:tcBorders>
              <w:top w:val="nil"/>
              <w:left w:val="nil"/>
              <w:bottom w:val="nil"/>
              <w:right w:val="nil"/>
            </w:tcBorders>
            <w:shd w:val="clear" w:color="auto" w:fill="auto"/>
            <w:noWrap/>
            <w:vAlign w:val="bottom"/>
            <w:hideMark/>
          </w:tcPr>
          <w:p w:rsidR="00FF340E" w:rsidRPr="00246AA0" w:rsidRDefault="00FF340E" w:rsidP="00FF340E">
            <w:pPr>
              <w:spacing w:line="240" w:lineRule="auto"/>
              <w:ind w:firstLine="0"/>
              <w:jc w:val="center"/>
              <w:rPr>
                <w:rFonts w:eastAsia="Times New Roman" w:cs="Arial"/>
                <w:color w:val="000000"/>
                <w:sz w:val="18"/>
                <w:szCs w:val="18"/>
              </w:rPr>
            </w:pPr>
          </w:p>
        </w:tc>
      </w:tr>
      <w:tr w:rsidR="00246AA0" w:rsidRPr="00246AA0" w:rsidTr="00EF131D">
        <w:trPr>
          <w:trHeight w:val="300"/>
        </w:trPr>
        <w:tc>
          <w:tcPr>
            <w:tcW w:w="4342" w:type="dxa"/>
            <w:tcBorders>
              <w:top w:val="nil"/>
              <w:left w:val="nil"/>
              <w:bottom w:val="single" w:sz="4" w:space="0" w:color="auto"/>
              <w:right w:val="nil"/>
            </w:tcBorders>
            <w:shd w:val="clear" w:color="auto" w:fill="auto"/>
            <w:noWrap/>
            <w:vAlign w:val="center"/>
            <w:hideMark/>
          </w:tcPr>
          <w:p w:rsidR="00246AA0" w:rsidRPr="00246AA0" w:rsidRDefault="00246AA0" w:rsidP="00FF340E">
            <w:pPr>
              <w:spacing w:line="240" w:lineRule="auto"/>
              <w:ind w:firstLine="0"/>
              <w:rPr>
                <w:rFonts w:eastAsia="Times New Roman" w:cs="Arial"/>
                <w:b/>
                <w:bCs/>
                <w:color w:val="000000"/>
                <w:sz w:val="18"/>
                <w:szCs w:val="18"/>
              </w:rPr>
            </w:pPr>
            <w:r w:rsidRPr="00246AA0">
              <w:rPr>
                <w:rFonts w:eastAsia="Times New Roman"/>
                <w:b/>
                <w:bCs/>
                <w:color w:val="000000"/>
                <w:sz w:val="18"/>
                <w:szCs w:val="18"/>
              </w:rPr>
              <w:t>Baseline</w:t>
            </w:r>
          </w:p>
        </w:tc>
        <w:tc>
          <w:tcPr>
            <w:tcW w:w="612" w:type="dxa"/>
            <w:tcBorders>
              <w:top w:val="nil"/>
              <w:left w:val="nil"/>
              <w:bottom w:val="single" w:sz="4" w:space="0" w:color="auto"/>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n=18</w:t>
            </w:r>
          </w:p>
        </w:tc>
        <w:tc>
          <w:tcPr>
            <w:tcW w:w="0" w:type="auto"/>
            <w:tcBorders>
              <w:top w:val="nil"/>
              <w:left w:val="nil"/>
              <w:bottom w:val="single" w:sz="4" w:space="0" w:color="auto"/>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c>
          <w:tcPr>
            <w:tcW w:w="0" w:type="auto"/>
            <w:tcBorders>
              <w:top w:val="nil"/>
              <w:left w:val="nil"/>
              <w:bottom w:val="single" w:sz="4" w:space="0" w:color="auto"/>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n=171</w:t>
            </w:r>
          </w:p>
        </w:tc>
        <w:tc>
          <w:tcPr>
            <w:tcW w:w="0" w:type="auto"/>
            <w:tcBorders>
              <w:top w:val="nil"/>
              <w:left w:val="nil"/>
              <w:bottom w:val="single" w:sz="4" w:space="0" w:color="auto"/>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c>
          <w:tcPr>
            <w:tcW w:w="0" w:type="auto"/>
            <w:tcBorders>
              <w:top w:val="nil"/>
              <w:left w:val="nil"/>
              <w:bottom w:val="single" w:sz="4" w:space="0" w:color="auto"/>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P-value</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Female sex,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b/>
                <w:bCs/>
                <w:color w:val="000000"/>
                <w:sz w:val="18"/>
                <w:szCs w:val="18"/>
              </w:rPr>
            </w:pPr>
            <w:r w:rsidRPr="00246AA0">
              <w:rPr>
                <w:sz w:val="18"/>
                <w:szCs w:val="18"/>
              </w:rPr>
              <w:t>0.011</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Age, median (IQR), y</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(56-70)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(56-69)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0.532</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Mean (SD), y</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Body-mass-index, median (IQR), kg/m2</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25.2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(22-27)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(24.1)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(22-27)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0.488</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Mean (SD), kg/m2</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24.8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(24.5)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ASA-classification,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Chars="100" w:firstLine="180"/>
              <w:rPr>
                <w:rFonts w:eastAsia="Times New Roman" w:cs="Arial"/>
                <w:color w:val="000000"/>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0.530</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ASA-1</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ASA-2</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90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ASA-3 or ASA-4</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Abdominal surgery history ≥1,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(44)</w:t>
            </w:r>
          </w:p>
        </w:tc>
        <w:tc>
          <w:tcPr>
            <w:tcW w:w="0" w:type="auto"/>
            <w:tcBorders>
              <w:top w:val="nil"/>
              <w:left w:val="nil"/>
              <w:bottom w:val="nil"/>
              <w:right w:val="nil"/>
            </w:tcBorders>
            <w:shd w:val="clear" w:color="auto" w:fill="auto"/>
            <w:noWrap/>
            <w:hideMark/>
          </w:tcPr>
          <w:p w:rsidR="00246AA0" w:rsidRPr="00246AA0" w:rsidRDefault="00246AA0" w:rsidP="00E133E4">
            <w:pPr>
              <w:spacing w:line="240" w:lineRule="auto"/>
              <w:ind w:firstLine="0"/>
              <w:jc w:val="right"/>
              <w:rPr>
                <w:rFonts w:eastAsia="Times New Roman" w:cs="Arial"/>
                <w:color w:val="000000"/>
                <w:sz w:val="18"/>
                <w:szCs w:val="18"/>
              </w:rPr>
            </w:pPr>
            <w:r w:rsidRPr="00246AA0">
              <w:rPr>
                <w:sz w:val="18"/>
                <w:szCs w:val="18"/>
              </w:rPr>
              <w:t>65</w:t>
            </w:r>
          </w:p>
        </w:tc>
        <w:tc>
          <w:tcPr>
            <w:tcW w:w="0" w:type="auto"/>
            <w:tcBorders>
              <w:top w:val="nil"/>
              <w:left w:val="nil"/>
              <w:bottom w:val="nil"/>
              <w:right w:val="nil"/>
            </w:tcBorders>
            <w:shd w:val="clear" w:color="auto" w:fill="auto"/>
            <w:noWrap/>
            <w:hideMark/>
          </w:tcPr>
          <w:p w:rsidR="00246AA0" w:rsidRPr="00246AA0" w:rsidRDefault="00246AA0" w:rsidP="00E133E4">
            <w:pPr>
              <w:spacing w:line="240" w:lineRule="auto"/>
              <w:ind w:firstLine="0"/>
              <w:jc w:val="right"/>
              <w:rPr>
                <w:rFonts w:eastAsia="Times New Roman" w:cs="Arial"/>
                <w:color w:val="000000"/>
                <w:sz w:val="18"/>
                <w:szCs w:val="18"/>
              </w:rPr>
            </w:pPr>
            <w:r w:rsidRPr="00246AA0">
              <w:rPr>
                <w:sz w:val="18"/>
                <w:szCs w:val="18"/>
              </w:rPr>
              <w:t>(41)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0.805</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Neoadjuvant therapy,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Chars="100" w:firstLine="180"/>
              <w:rPr>
                <w:rFonts w:eastAsia="Times New Roman" w:cs="Arial"/>
                <w:color w:val="000000"/>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0.122</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200" w:firstLine="360"/>
              <w:rPr>
                <w:rFonts w:eastAsia="Times New Roman" w:cs="Arial"/>
                <w:color w:val="000000"/>
                <w:sz w:val="18"/>
                <w:szCs w:val="18"/>
              </w:rPr>
            </w:pPr>
            <w:r w:rsidRPr="00246AA0">
              <w:rPr>
                <w:rFonts w:eastAsia="Times New Roman"/>
                <w:color w:val="000000"/>
                <w:sz w:val="18"/>
                <w:szCs w:val="18"/>
              </w:rPr>
              <w:t>None</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200" w:firstLine="360"/>
              <w:rPr>
                <w:rFonts w:eastAsia="Times New Roman" w:cs="Arial"/>
                <w:color w:val="000000"/>
                <w:sz w:val="18"/>
                <w:szCs w:val="18"/>
              </w:rPr>
            </w:pPr>
            <w:r w:rsidRPr="00246AA0">
              <w:rPr>
                <w:rFonts w:eastAsia="Times New Roman"/>
                <w:color w:val="000000"/>
                <w:sz w:val="18"/>
                <w:szCs w:val="18"/>
              </w:rPr>
              <w:t>Chemotherapy</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200" w:firstLine="360"/>
              <w:rPr>
                <w:rFonts w:eastAsia="Times New Roman" w:cs="Arial"/>
                <w:color w:val="000000"/>
                <w:sz w:val="18"/>
                <w:szCs w:val="18"/>
              </w:rPr>
            </w:pPr>
            <w:r w:rsidRPr="00246AA0">
              <w:rPr>
                <w:rFonts w:eastAsia="Times New Roman"/>
                <w:color w:val="000000"/>
                <w:sz w:val="18"/>
                <w:szCs w:val="18"/>
              </w:rPr>
              <w:t>Radiotherapy</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200" w:firstLine="360"/>
              <w:rPr>
                <w:rFonts w:eastAsia="Times New Roman" w:cs="Arial"/>
                <w:color w:val="000000"/>
                <w:sz w:val="18"/>
                <w:szCs w:val="18"/>
              </w:rPr>
            </w:pPr>
            <w:r w:rsidRPr="00246AA0">
              <w:rPr>
                <w:rFonts w:eastAsia="Times New Roman"/>
                <w:color w:val="000000"/>
                <w:sz w:val="18"/>
                <w:szCs w:val="18"/>
              </w:rPr>
              <w:t>Both or chemoradiation</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Hepatic artery embolization,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0.297</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Left gastric artery embolization,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0.476</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0"/>
              <w:rPr>
                <w:rFonts w:eastAsia="Times New Roman" w:cs="Arial"/>
                <w:b/>
                <w:bCs/>
                <w:color w:val="000000"/>
                <w:sz w:val="18"/>
                <w:szCs w:val="18"/>
              </w:rPr>
            </w:pPr>
            <w:r w:rsidRPr="00246AA0">
              <w:rPr>
                <w:rFonts w:eastAsia="Times New Roman"/>
                <w:b/>
                <w:bCs/>
                <w:color w:val="000000"/>
                <w:sz w:val="18"/>
                <w:szCs w:val="18"/>
              </w:rPr>
              <w:t>Tumor characteristics (pathology)</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rPr>
                <w:rFonts w:eastAsia="Times New Roman" w:cs="Arial"/>
                <w:b/>
                <w:bCs/>
                <w:color w:val="000000"/>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Ductal adenocarcinoma,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156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(91)</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0.346</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Tumor size, median (IQR), mm</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(25-45)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(25-45)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0.533</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Mean (SD), mm</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40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39</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(24)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100" w:firstLine="180"/>
              <w:rPr>
                <w:rFonts w:eastAsia="Times New Roman" w:cs="Arial"/>
                <w:color w:val="000000"/>
                <w:sz w:val="18"/>
                <w:szCs w:val="18"/>
              </w:rPr>
            </w:pPr>
            <w:r w:rsidRPr="00246AA0">
              <w:rPr>
                <w:rFonts w:eastAsia="Times New Roman"/>
                <w:color w:val="000000"/>
                <w:sz w:val="18"/>
                <w:szCs w:val="18"/>
              </w:rPr>
              <w:t>AJCC Staging*, No. (%)</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Chars="100" w:firstLine="180"/>
              <w:rPr>
                <w:rFonts w:eastAsia="Times New Roman" w:cs="Arial"/>
                <w:color w:val="000000"/>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sz w:val="18"/>
                <w:szCs w:val="18"/>
              </w:rPr>
            </w:pP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T-stage ≥ 3</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(94)</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146</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0.879</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N-stage &gt; 0</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15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(82)</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95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(57)</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0.041</w:t>
            </w:r>
          </w:p>
        </w:tc>
      </w:tr>
      <w:tr w:rsidR="00246AA0" w:rsidRPr="00246AA0" w:rsidTr="00EF131D">
        <w:trPr>
          <w:trHeight w:val="300"/>
        </w:trPr>
        <w:tc>
          <w:tcPr>
            <w:tcW w:w="4342" w:type="dxa"/>
            <w:tcBorders>
              <w:top w:val="nil"/>
              <w:left w:val="nil"/>
              <w:bottom w:val="nil"/>
              <w:right w:val="nil"/>
            </w:tcBorders>
            <w:shd w:val="clear" w:color="auto" w:fill="auto"/>
            <w:vAlign w:val="center"/>
            <w:hideMark/>
          </w:tcPr>
          <w:p w:rsidR="00246AA0" w:rsidRPr="00246AA0" w:rsidRDefault="00246AA0" w:rsidP="00FF340E">
            <w:pPr>
              <w:spacing w:line="240" w:lineRule="auto"/>
              <w:ind w:firstLineChars="300" w:firstLine="540"/>
              <w:rPr>
                <w:rFonts w:eastAsia="Times New Roman" w:cs="Arial"/>
                <w:color w:val="000000"/>
                <w:sz w:val="18"/>
                <w:szCs w:val="18"/>
              </w:rPr>
            </w:pPr>
            <w:r w:rsidRPr="00246AA0">
              <w:rPr>
                <w:rFonts w:eastAsia="Times New Roman"/>
                <w:color w:val="000000"/>
                <w:sz w:val="18"/>
                <w:szCs w:val="18"/>
              </w:rPr>
              <w:t>M-stage &gt; 0</w:t>
            </w:r>
          </w:p>
        </w:tc>
        <w:tc>
          <w:tcPr>
            <w:tcW w:w="612" w:type="dxa"/>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0</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5</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s="Arial"/>
                <w:color w:val="000000"/>
                <w:sz w:val="18"/>
                <w:szCs w:val="18"/>
              </w:rPr>
            </w:pPr>
            <w:r w:rsidRPr="00246AA0">
              <w:rPr>
                <w:sz w:val="18"/>
                <w:szCs w:val="18"/>
              </w:rPr>
              <w:t>(3)</w:t>
            </w:r>
          </w:p>
        </w:tc>
        <w:tc>
          <w:tcPr>
            <w:tcW w:w="0" w:type="auto"/>
            <w:tcBorders>
              <w:top w:val="nil"/>
              <w:left w:val="nil"/>
              <w:bottom w:val="nil"/>
              <w:right w:val="nil"/>
            </w:tcBorders>
            <w:shd w:val="clear" w:color="auto" w:fill="auto"/>
            <w:noWrap/>
            <w:hideMark/>
          </w:tcPr>
          <w:p w:rsidR="00246AA0" w:rsidRPr="00246AA0" w:rsidRDefault="00246AA0" w:rsidP="00FF340E">
            <w:pPr>
              <w:spacing w:line="240" w:lineRule="auto"/>
              <w:ind w:firstLine="0"/>
              <w:jc w:val="right"/>
              <w:rPr>
                <w:rFonts w:eastAsia="Times New Roman"/>
                <w:color w:val="000000"/>
                <w:sz w:val="18"/>
                <w:szCs w:val="18"/>
              </w:rPr>
            </w:pPr>
            <w:r w:rsidRPr="00246AA0">
              <w:rPr>
                <w:sz w:val="18"/>
                <w:szCs w:val="18"/>
              </w:rPr>
              <w:t>&gt;0.99</w:t>
            </w:r>
          </w:p>
        </w:tc>
      </w:tr>
      <w:tr w:rsidR="00246AA0" w:rsidRPr="00246AA0" w:rsidTr="00EF131D">
        <w:trPr>
          <w:trHeight w:val="300"/>
        </w:trPr>
        <w:tc>
          <w:tcPr>
            <w:tcW w:w="4342" w:type="dxa"/>
            <w:tcBorders>
              <w:top w:val="nil"/>
              <w:left w:val="nil"/>
              <w:bottom w:val="nil"/>
              <w:right w:val="nil"/>
            </w:tcBorders>
            <w:shd w:val="clear" w:color="auto" w:fill="auto"/>
            <w:vAlign w:val="center"/>
          </w:tcPr>
          <w:p w:rsidR="00246AA0" w:rsidRPr="00246AA0" w:rsidRDefault="00246AA0" w:rsidP="0058388D">
            <w:pPr>
              <w:spacing w:line="240" w:lineRule="auto"/>
              <w:ind w:firstLineChars="96" w:firstLine="173"/>
              <w:rPr>
                <w:rFonts w:eastAsia="Times New Roman" w:cs="Arial"/>
                <w:color w:val="000000"/>
                <w:sz w:val="18"/>
                <w:szCs w:val="18"/>
              </w:rPr>
            </w:pPr>
            <w:r w:rsidRPr="00246AA0">
              <w:rPr>
                <w:rFonts w:eastAsia="Times New Roman"/>
                <w:color w:val="000000"/>
                <w:sz w:val="18"/>
                <w:szCs w:val="18"/>
              </w:rPr>
              <w:t>Risk score, median (IQR)</w:t>
            </w:r>
          </w:p>
        </w:tc>
        <w:tc>
          <w:tcPr>
            <w:tcW w:w="612" w:type="dxa"/>
            <w:tcBorders>
              <w:top w:val="nil"/>
              <w:left w:val="nil"/>
              <w:bottom w:val="nil"/>
              <w:right w:val="nil"/>
            </w:tcBorders>
            <w:shd w:val="clear" w:color="auto" w:fill="auto"/>
            <w:noWrap/>
          </w:tcPr>
          <w:p w:rsidR="00246AA0" w:rsidRPr="00246AA0" w:rsidRDefault="00246AA0" w:rsidP="00FF340E">
            <w:pPr>
              <w:spacing w:line="240" w:lineRule="auto"/>
              <w:ind w:firstLine="0"/>
              <w:jc w:val="right"/>
              <w:rPr>
                <w:rFonts w:asciiTheme="minorHAnsi" w:eastAsia="Times New Roman" w:hAnsiTheme="minorHAnsi" w:cs="Arial"/>
                <w:color w:val="000000"/>
                <w:sz w:val="18"/>
                <w:szCs w:val="18"/>
              </w:rPr>
            </w:pPr>
            <w:r w:rsidRPr="00246AA0">
              <w:rPr>
                <w:sz w:val="18"/>
                <w:szCs w:val="18"/>
              </w:rPr>
              <w:t>20.0</w:t>
            </w:r>
          </w:p>
        </w:tc>
        <w:tc>
          <w:tcPr>
            <w:tcW w:w="0" w:type="auto"/>
            <w:tcBorders>
              <w:top w:val="nil"/>
              <w:left w:val="nil"/>
              <w:bottom w:val="nil"/>
              <w:right w:val="nil"/>
            </w:tcBorders>
            <w:shd w:val="clear" w:color="auto" w:fill="auto"/>
            <w:noWrap/>
          </w:tcPr>
          <w:p w:rsidR="00246AA0" w:rsidRPr="00246AA0" w:rsidRDefault="00246AA0" w:rsidP="00FF340E">
            <w:pPr>
              <w:spacing w:line="240" w:lineRule="auto"/>
              <w:ind w:firstLine="0"/>
              <w:jc w:val="right"/>
              <w:rPr>
                <w:rFonts w:asciiTheme="minorHAnsi" w:eastAsia="Times New Roman" w:hAnsiTheme="minorHAnsi" w:cs="Arial"/>
                <w:color w:val="000000"/>
                <w:sz w:val="18"/>
                <w:szCs w:val="18"/>
              </w:rPr>
            </w:pPr>
            <w:r w:rsidRPr="00246AA0">
              <w:rPr>
                <w:sz w:val="18"/>
                <w:szCs w:val="18"/>
              </w:rPr>
              <w:t>(16-23)</w:t>
            </w:r>
          </w:p>
        </w:tc>
        <w:tc>
          <w:tcPr>
            <w:tcW w:w="0" w:type="auto"/>
            <w:tcBorders>
              <w:top w:val="nil"/>
              <w:left w:val="nil"/>
              <w:bottom w:val="nil"/>
              <w:right w:val="nil"/>
            </w:tcBorders>
            <w:shd w:val="clear" w:color="auto" w:fill="auto"/>
            <w:noWrap/>
          </w:tcPr>
          <w:p w:rsidR="00246AA0" w:rsidRPr="00246AA0" w:rsidRDefault="00246AA0" w:rsidP="00FF340E">
            <w:pPr>
              <w:spacing w:line="240" w:lineRule="auto"/>
              <w:ind w:firstLine="0"/>
              <w:jc w:val="right"/>
              <w:rPr>
                <w:rFonts w:asciiTheme="minorHAnsi" w:eastAsia="Times New Roman" w:hAnsiTheme="minorHAnsi" w:cs="Arial"/>
                <w:color w:val="000000"/>
                <w:sz w:val="18"/>
                <w:szCs w:val="18"/>
              </w:rPr>
            </w:pPr>
            <w:r w:rsidRPr="00246AA0">
              <w:rPr>
                <w:sz w:val="18"/>
                <w:szCs w:val="18"/>
              </w:rPr>
              <w:t>15</w:t>
            </w:r>
          </w:p>
        </w:tc>
        <w:tc>
          <w:tcPr>
            <w:tcW w:w="0" w:type="auto"/>
            <w:tcBorders>
              <w:top w:val="nil"/>
              <w:left w:val="nil"/>
              <w:bottom w:val="nil"/>
              <w:right w:val="nil"/>
            </w:tcBorders>
            <w:shd w:val="clear" w:color="auto" w:fill="auto"/>
            <w:noWrap/>
          </w:tcPr>
          <w:p w:rsidR="00246AA0" w:rsidRPr="00246AA0" w:rsidRDefault="00246AA0" w:rsidP="00FF340E">
            <w:pPr>
              <w:spacing w:line="240" w:lineRule="auto"/>
              <w:ind w:firstLine="0"/>
              <w:jc w:val="right"/>
              <w:rPr>
                <w:rFonts w:asciiTheme="minorHAnsi" w:eastAsia="Times New Roman" w:hAnsiTheme="minorHAnsi" w:cs="Arial"/>
                <w:color w:val="000000"/>
                <w:sz w:val="18"/>
                <w:szCs w:val="18"/>
              </w:rPr>
            </w:pPr>
            <w:r w:rsidRPr="00246AA0">
              <w:rPr>
                <w:sz w:val="18"/>
                <w:szCs w:val="18"/>
              </w:rPr>
              <w:t>(12.5-16.5)</w:t>
            </w:r>
          </w:p>
        </w:tc>
        <w:tc>
          <w:tcPr>
            <w:tcW w:w="0" w:type="auto"/>
            <w:tcBorders>
              <w:top w:val="nil"/>
              <w:left w:val="nil"/>
              <w:bottom w:val="nil"/>
              <w:right w:val="nil"/>
            </w:tcBorders>
            <w:shd w:val="clear" w:color="auto" w:fill="auto"/>
            <w:noWrap/>
          </w:tcPr>
          <w:p w:rsidR="00246AA0" w:rsidRPr="00246AA0" w:rsidRDefault="00246AA0" w:rsidP="00FF340E">
            <w:pPr>
              <w:spacing w:line="240" w:lineRule="auto"/>
              <w:ind w:firstLine="0"/>
              <w:jc w:val="right"/>
              <w:rPr>
                <w:rFonts w:asciiTheme="minorHAnsi" w:eastAsia="Times New Roman" w:hAnsiTheme="minorHAnsi" w:cs="Arial"/>
                <w:b/>
                <w:color w:val="000000"/>
                <w:sz w:val="18"/>
                <w:szCs w:val="18"/>
              </w:rPr>
            </w:pPr>
            <w:r w:rsidRPr="00246AA0">
              <w:rPr>
                <w:sz w:val="18"/>
                <w:szCs w:val="18"/>
              </w:rPr>
              <w:t>&lt;0.001</w:t>
            </w:r>
          </w:p>
        </w:tc>
      </w:tr>
    </w:tbl>
    <w:p w:rsidR="006454FC" w:rsidRPr="0067578C" w:rsidRDefault="006454FC" w:rsidP="000453D9">
      <w:pPr>
        <w:spacing w:line="360" w:lineRule="auto"/>
        <w:rPr>
          <w:rFonts w:asciiTheme="minorHAnsi" w:eastAsia="Times New Roman" w:hAnsiTheme="minorHAnsi"/>
          <w:color w:val="000000"/>
          <w:lang w:eastAsia="nl-NL"/>
        </w:rPr>
      </w:pPr>
    </w:p>
    <w:p w:rsidR="00FF340E" w:rsidRDefault="00FF340E">
      <w:pPr>
        <w:spacing w:line="240" w:lineRule="auto"/>
        <w:ind w:firstLine="0"/>
        <w:rPr>
          <w:rFonts w:asciiTheme="minorHAnsi" w:eastAsia="Times New Roman" w:hAnsiTheme="minorHAnsi"/>
          <w:color w:val="000000"/>
          <w:lang w:eastAsia="nl-NL"/>
        </w:rPr>
      </w:pPr>
    </w:p>
    <w:p w:rsidR="00D54B55" w:rsidRPr="00BC2D6F" w:rsidRDefault="00D54B55" w:rsidP="00D54B55">
      <w:pPr>
        <w:spacing w:line="240" w:lineRule="auto"/>
        <w:ind w:firstLine="0"/>
        <w:rPr>
          <w:rFonts w:asciiTheme="minorHAnsi" w:eastAsia="Times New Roman" w:hAnsiTheme="minorHAnsi" w:cs="Arial"/>
          <w:color w:val="000000"/>
          <w:sz w:val="20"/>
          <w:szCs w:val="20"/>
        </w:rPr>
      </w:pPr>
      <w:r w:rsidRPr="00BC2D6F">
        <w:rPr>
          <w:rFonts w:asciiTheme="minorHAnsi" w:eastAsia="Times New Roman" w:hAnsiTheme="minorHAnsi" w:cs="Arial"/>
          <w:color w:val="000000"/>
          <w:sz w:val="20"/>
          <w:szCs w:val="20"/>
        </w:rPr>
        <w:t xml:space="preserve">* Based on the </w:t>
      </w:r>
      <w:r w:rsidR="00BC2D6F" w:rsidRPr="00BC2D6F">
        <w:rPr>
          <w:rFonts w:asciiTheme="minorHAnsi" w:eastAsia="Times New Roman" w:hAnsiTheme="minorHAnsi" w:cs="Arial"/>
          <w:color w:val="000000"/>
          <w:sz w:val="20"/>
          <w:szCs w:val="20"/>
        </w:rPr>
        <w:t>7</w:t>
      </w:r>
      <w:r w:rsidR="00B161E8" w:rsidRPr="00BC2D6F">
        <w:rPr>
          <w:rFonts w:asciiTheme="minorHAnsi" w:eastAsia="Times New Roman" w:hAnsiTheme="minorHAnsi" w:cs="Arial"/>
          <w:color w:val="000000"/>
          <w:sz w:val="20"/>
          <w:szCs w:val="20"/>
          <w:vertAlign w:val="superscript"/>
        </w:rPr>
        <w:t>th</w:t>
      </w:r>
      <w:r w:rsidR="00B161E8" w:rsidRPr="00BC2D6F">
        <w:rPr>
          <w:rFonts w:asciiTheme="minorHAnsi" w:eastAsia="Times New Roman" w:hAnsiTheme="minorHAnsi" w:cs="Arial"/>
          <w:color w:val="000000"/>
          <w:sz w:val="20"/>
          <w:szCs w:val="20"/>
        </w:rPr>
        <w:t xml:space="preserve"> </w:t>
      </w:r>
      <w:r w:rsidRPr="00BC2D6F">
        <w:rPr>
          <w:rFonts w:asciiTheme="minorHAnsi" w:eastAsia="Times New Roman" w:hAnsiTheme="minorHAnsi" w:cs="Arial"/>
          <w:color w:val="000000"/>
          <w:sz w:val="20"/>
          <w:szCs w:val="20"/>
        </w:rPr>
        <w:t>AJCC criteria</w:t>
      </w:r>
      <w:r w:rsidR="00B161E8" w:rsidRPr="00BC2D6F">
        <w:rPr>
          <w:rFonts w:asciiTheme="minorHAnsi" w:eastAsia="Times New Roman" w:hAnsiTheme="minorHAnsi" w:cs="Arial"/>
          <w:color w:val="000000"/>
          <w:sz w:val="20"/>
          <w:szCs w:val="20"/>
        </w:rPr>
        <w:t>.</w:t>
      </w:r>
      <w:r w:rsidR="00FA7995" w:rsidRPr="00BC2D6F">
        <w:rPr>
          <w:rFonts w:asciiTheme="minorHAnsi" w:eastAsia="Times New Roman" w:hAnsiTheme="minorHAnsi" w:cs="Arial"/>
          <w:color w:val="000000"/>
          <w:sz w:val="20"/>
          <w:szCs w:val="20"/>
        </w:rPr>
        <w:fldChar w:fldCharType="begin" w:fldLock="1"/>
      </w:r>
      <w:r w:rsidR="00350EB0">
        <w:rPr>
          <w:rFonts w:asciiTheme="minorHAnsi" w:eastAsia="Times New Roman" w:hAnsiTheme="minorHAnsi" w:cs="Arial"/>
          <w:color w:val="000000"/>
          <w:sz w:val="20"/>
          <w:szCs w:val="20"/>
        </w:rPr>
        <w:instrText>ADDIN CSL_CITATION { "citationItems" : [ { "id" : "ITEM-1", "itemData" : { "DOI" : "10.1007/978-1-4614-2080-4", "ISBN" : "978-0-387-88440-0", "author" : [ { "dropping-particle" : "", "family" : "Compton", "given" : "CC", "non-dropping-particle" : "", "parse-names" : false, "suffix" : "" }, { "dropping-particle" : "", "family" : "Byrd", "given" : "DR", "non-dropping-particle" : "", "parse-names" : false, "suffix" : "" }, { "dropping-particle" : "", "family" : "Garcia-Aguilar", "given" : "J", "non-dropping-particle" : "", "parse-names" : false, "suffix" : "" }, { "dropping-particle" : "", "family" : "Kurtzman", "given" : "SH", "non-dropping-particle" : "", "parse-names" : false, "suffix" : "" }, { "dropping-particle" : "", "family" : "Olawaiye", "given" : "A", "non-dropping-particle" : "", "parse-names" : false, "suffix" : "" }, { "dropping-particle" : "", "family" : "Washington", "given" : "MK", "non-dropping-particle" : "", "parse-names" : false, "suffix" : "" } ], "chapter-number" : "24", "container-title" : "AJCC Cancer Staging Manual", "edition" : "7th ed.", "editor" : [ { "dropping-particle" : "", "family" : "Edge", "given" : "S", "non-dropping-particle" : "", "parse-names" : false, "suffix" : "" }, { "dropping-particle" : "", "family" : "Byrd", "given" : "DR", "non-dropping-particle" : "", "parse-names" : false, "suffix" : "" }, { "dropping-particle" : "", "family" : "Compton", "given" : "CC", "non-dropping-particle" : "", "parse-names" : false, "suffix" : "" }, { "dropping-particle" : "", "family" : "Fritz", "given" : "AG", "non-dropping-particle" : "", "parse-names" : false, "suffix" : "" }, { "dropping-particle" : "", "family" : "Greene", "given" : "FL", "non-dropping-particle" : "", "parse-names" : false, "suffix" : "" }, { "dropping-particle" : "", "family" : "Trotti", "given" : "A", "non-dropping-particle" : "", "parse-names" : false, "suffix" : "" } ], "id" : "ITEM-1", "issued" : { "date-parts" : [ [ "2010" ] ] }, "page" : "241-249", "publisher" : "Springer", "publisher-place" : "New York, NY", "title" : "Exocrine and endocrine pancreas", "type" : "chapter" }, "uris" : [ "http://www.mendeley.com/documents/?uuid=9d2a1a68-5ee9-48ba-90e4-82e24d265d5b" ] } ], "mendeley" : { "formattedCitation" : "&lt;sup&gt;24&lt;/sup&gt;", "plainTextFormattedCitation" : "24", "previouslyFormattedCitation" : "&lt;sup&gt;24&lt;/sup&gt;" }, "properties" : {  }, "schema" : "https://github.com/citation-style-language/schema/raw/master/csl-citation.json" }</w:instrText>
      </w:r>
      <w:r w:rsidR="00FA7995" w:rsidRPr="00BC2D6F">
        <w:rPr>
          <w:rFonts w:asciiTheme="minorHAnsi" w:eastAsia="Times New Roman" w:hAnsiTheme="minorHAnsi" w:cs="Arial"/>
          <w:color w:val="000000"/>
          <w:sz w:val="20"/>
          <w:szCs w:val="20"/>
        </w:rPr>
        <w:fldChar w:fldCharType="separate"/>
      </w:r>
      <w:r w:rsidR="00202543" w:rsidRPr="00202543">
        <w:rPr>
          <w:rFonts w:asciiTheme="minorHAnsi" w:eastAsia="Times New Roman" w:hAnsiTheme="minorHAnsi" w:cs="Arial"/>
          <w:noProof/>
          <w:color w:val="000000"/>
          <w:sz w:val="20"/>
          <w:szCs w:val="20"/>
          <w:vertAlign w:val="superscript"/>
        </w:rPr>
        <w:t>24</w:t>
      </w:r>
      <w:r w:rsidR="00FA7995" w:rsidRPr="00BC2D6F">
        <w:rPr>
          <w:rFonts w:asciiTheme="minorHAnsi" w:eastAsia="Times New Roman" w:hAnsiTheme="minorHAnsi" w:cs="Arial"/>
          <w:color w:val="000000"/>
          <w:sz w:val="20"/>
          <w:szCs w:val="20"/>
        </w:rPr>
        <w:fldChar w:fldCharType="end"/>
      </w:r>
    </w:p>
    <w:p w:rsidR="00D54B55" w:rsidRPr="00BC2D6F" w:rsidRDefault="00D54B55" w:rsidP="00D54B55">
      <w:pPr>
        <w:spacing w:after="200"/>
        <w:ind w:firstLine="0"/>
        <w:rPr>
          <w:rFonts w:asciiTheme="minorHAnsi" w:hAnsiTheme="minorHAnsi"/>
          <w:sz w:val="20"/>
          <w:szCs w:val="20"/>
        </w:rPr>
      </w:pPr>
      <w:r w:rsidRPr="00BC2D6F">
        <w:rPr>
          <w:rFonts w:asciiTheme="minorHAnsi" w:hAnsiTheme="minorHAnsi"/>
          <w:sz w:val="20"/>
          <w:szCs w:val="20"/>
        </w:rPr>
        <w:t xml:space="preserve">Abbreviations: </w:t>
      </w:r>
      <w:r w:rsidR="005802C2">
        <w:rPr>
          <w:rFonts w:asciiTheme="minorHAnsi" w:hAnsiTheme="minorHAnsi"/>
          <w:sz w:val="20"/>
          <w:szCs w:val="20"/>
        </w:rPr>
        <w:t xml:space="preserve">AJCC, American Joint Committee on Cancer; </w:t>
      </w:r>
      <w:r w:rsidRPr="00BC2D6F">
        <w:rPr>
          <w:rFonts w:asciiTheme="minorHAnsi" w:hAnsiTheme="minorHAnsi"/>
          <w:sz w:val="20"/>
          <w:szCs w:val="20"/>
        </w:rPr>
        <w:t>ASA, American Society of Anesthesiologists.</w:t>
      </w:r>
    </w:p>
    <w:p w:rsidR="00FF340E" w:rsidRPr="00D54B55" w:rsidRDefault="00FF340E" w:rsidP="00D54B55">
      <w:pPr>
        <w:spacing w:after="200"/>
        <w:ind w:firstLine="0"/>
        <w:rPr>
          <w:rFonts w:asciiTheme="minorHAnsi" w:hAnsiTheme="minorHAnsi"/>
        </w:rPr>
      </w:pPr>
      <w:r>
        <w:rPr>
          <w:rFonts w:asciiTheme="minorHAnsi" w:eastAsia="Times New Roman" w:hAnsiTheme="minorHAnsi"/>
          <w:color w:val="000000"/>
          <w:lang w:eastAsia="nl-NL"/>
        </w:rPr>
        <w:br w:type="column"/>
      </w:r>
      <w:r w:rsidR="007821FE" w:rsidRPr="00B6081E">
        <w:rPr>
          <w:rFonts w:asciiTheme="minorHAnsi" w:eastAsia="Times New Roman" w:hAnsiTheme="minorHAnsi"/>
          <w:color w:val="000000"/>
          <w:lang w:eastAsia="nl-NL"/>
        </w:rPr>
        <w:lastRenderedPageBreak/>
        <w:t>SUPPL</w:t>
      </w:r>
      <w:r w:rsidR="00DC346F" w:rsidRPr="00B6081E">
        <w:rPr>
          <w:rFonts w:asciiTheme="minorHAnsi" w:eastAsia="Times New Roman" w:hAnsiTheme="minorHAnsi"/>
          <w:color w:val="000000"/>
          <w:lang w:eastAsia="nl-NL"/>
        </w:rPr>
        <w:t>EMENT 2</w:t>
      </w:r>
      <w:r w:rsidR="007821FE" w:rsidRPr="00B6081E">
        <w:rPr>
          <w:rFonts w:asciiTheme="minorHAnsi" w:eastAsia="Times New Roman" w:hAnsiTheme="minorHAnsi"/>
          <w:color w:val="000000"/>
          <w:lang w:eastAsia="nl-NL"/>
        </w:rPr>
        <w:t>B</w:t>
      </w:r>
      <w:r w:rsidRPr="00B6081E">
        <w:rPr>
          <w:rFonts w:asciiTheme="minorHAnsi" w:eastAsia="Times New Roman" w:hAnsiTheme="minorHAnsi"/>
          <w:color w:val="000000"/>
          <w:lang w:eastAsia="nl-NL"/>
        </w:rPr>
        <w:t>. UNIVARIABLE SCREEN FOR 90-DAY MORTALITY</w:t>
      </w:r>
    </w:p>
    <w:tbl>
      <w:tblPr>
        <w:tblW w:w="8963" w:type="dxa"/>
        <w:tblInd w:w="108" w:type="dxa"/>
        <w:tblLayout w:type="fixed"/>
        <w:tblLook w:val="04A0"/>
      </w:tblPr>
      <w:tblGrid>
        <w:gridCol w:w="4196"/>
        <w:gridCol w:w="766"/>
        <w:gridCol w:w="1134"/>
        <w:gridCol w:w="766"/>
        <w:gridCol w:w="1111"/>
        <w:gridCol w:w="990"/>
      </w:tblGrid>
      <w:tr w:rsidR="0058388D" w:rsidRPr="00F15A3D" w:rsidTr="00684258">
        <w:trPr>
          <w:trHeight w:val="300"/>
        </w:trPr>
        <w:tc>
          <w:tcPr>
            <w:tcW w:w="4196" w:type="dxa"/>
            <w:tcBorders>
              <w:top w:val="nil"/>
              <w:left w:val="nil"/>
              <w:bottom w:val="single" w:sz="4" w:space="0" w:color="auto"/>
              <w:right w:val="nil"/>
            </w:tcBorders>
            <w:shd w:val="clear" w:color="auto" w:fill="auto"/>
            <w:noWrap/>
            <w:vAlign w:val="center"/>
          </w:tcPr>
          <w:p w:rsidR="0058388D" w:rsidRPr="00F15A3D" w:rsidRDefault="0058388D" w:rsidP="00F11300">
            <w:pPr>
              <w:spacing w:line="240" w:lineRule="auto"/>
              <w:ind w:firstLine="0"/>
              <w:rPr>
                <w:rFonts w:eastAsia="Times New Roman"/>
                <w:b/>
                <w:bCs/>
                <w:color w:val="000000"/>
                <w:sz w:val="18"/>
                <w:szCs w:val="18"/>
              </w:rPr>
            </w:pPr>
          </w:p>
        </w:tc>
        <w:tc>
          <w:tcPr>
            <w:tcW w:w="1900" w:type="dxa"/>
            <w:gridSpan w:val="2"/>
            <w:tcBorders>
              <w:top w:val="nil"/>
              <w:left w:val="nil"/>
              <w:bottom w:val="single" w:sz="4" w:space="0" w:color="auto"/>
              <w:right w:val="nil"/>
            </w:tcBorders>
            <w:shd w:val="clear" w:color="auto" w:fill="auto"/>
            <w:noWrap/>
            <w:vAlign w:val="bottom"/>
          </w:tcPr>
          <w:p w:rsidR="0058388D" w:rsidRPr="00F15A3D" w:rsidRDefault="0058388D" w:rsidP="00F11300">
            <w:pPr>
              <w:spacing w:line="240" w:lineRule="auto"/>
              <w:ind w:firstLine="0"/>
              <w:jc w:val="right"/>
              <w:rPr>
                <w:rFonts w:eastAsia="Times New Roman"/>
                <w:color w:val="000000"/>
                <w:sz w:val="18"/>
                <w:szCs w:val="18"/>
              </w:rPr>
            </w:pPr>
            <w:r w:rsidRPr="00F15A3D">
              <w:rPr>
                <w:rFonts w:eastAsia="Times New Roman" w:cs="Arial"/>
                <w:color w:val="000000"/>
                <w:sz w:val="18"/>
                <w:szCs w:val="18"/>
              </w:rPr>
              <w:t>90-day mortality</w:t>
            </w:r>
          </w:p>
        </w:tc>
        <w:tc>
          <w:tcPr>
            <w:tcW w:w="1877" w:type="dxa"/>
            <w:gridSpan w:val="2"/>
            <w:tcBorders>
              <w:top w:val="nil"/>
              <w:left w:val="nil"/>
              <w:bottom w:val="single" w:sz="4" w:space="0" w:color="auto"/>
              <w:right w:val="nil"/>
            </w:tcBorders>
            <w:shd w:val="clear" w:color="auto" w:fill="auto"/>
            <w:noWrap/>
            <w:vAlign w:val="bottom"/>
          </w:tcPr>
          <w:p w:rsidR="0058388D" w:rsidRPr="00F15A3D" w:rsidRDefault="00F47937" w:rsidP="0058388D">
            <w:pPr>
              <w:spacing w:line="240" w:lineRule="auto"/>
              <w:ind w:firstLine="0"/>
              <w:jc w:val="center"/>
              <w:rPr>
                <w:rFonts w:eastAsia="Times New Roman"/>
                <w:color w:val="000000"/>
                <w:sz w:val="18"/>
                <w:szCs w:val="18"/>
              </w:rPr>
            </w:pPr>
            <w:r w:rsidRPr="00F15A3D">
              <w:rPr>
                <w:rFonts w:eastAsia="Times New Roman" w:cs="Arial"/>
                <w:color w:val="000000"/>
                <w:sz w:val="18"/>
                <w:szCs w:val="18"/>
              </w:rPr>
              <w:t xml:space="preserve">No </w:t>
            </w:r>
            <w:r w:rsidR="0058388D" w:rsidRPr="00F15A3D">
              <w:rPr>
                <w:rFonts w:eastAsia="Times New Roman" w:cs="Arial"/>
                <w:color w:val="000000"/>
                <w:sz w:val="18"/>
                <w:szCs w:val="18"/>
              </w:rPr>
              <w:t>90-day mortality</w:t>
            </w:r>
          </w:p>
        </w:tc>
        <w:tc>
          <w:tcPr>
            <w:tcW w:w="990" w:type="dxa"/>
            <w:tcBorders>
              <w:top w:val="nil"/>
              <w:left w:val="nil"/>
              <w:bottom w:val="single" w:sz="4" w:space="0" w:color="auto"/>
              <w:right w:val="nil"/>
            </w:tcBorders>
            <w:shd w:val="clear" w:color="auto" w:fill="auto"/>
            <w:noWrap/>
            <w:vAlign w:val="center"/>
          </w:tcPr>
          <w:p w:rsidR="0058388D" w:rsidRPr="00F15A3D" w:rsidRDefault="0058388D" w:rsidP="00F11300">
            <w:pPr>
              <w:spacing w:line="240" w:lineRule="auto"/>
              <w:ind w:firstLine="0"/>
              <w:jc w:val="right"/>
              <w:rPr>
                <w:rFonts w:eastAsia="Times New Roman"/>
                <w:color w:val="000000"/>
                <w:sz w:val="18"/>
                <w:szCs w:val="18"/>
              </w:rPr>
            </w:pPr>
          </w:p>
        </w:tc>
      </w:tr>
      <w:tr w:rsidR="00F15A3D" w:rsidRPr="00F15A3D" w:rsidTr="00EF131D">
        <w:trPr>
          <w:trHeight w:val="300"/>
        </w:trPr>
        <w:tc>
          <w:tcPr>
            <w:tcW w:w="4196" w:type="dxa"/>
            <w:tcBorders>
              <w:top w:val="nil"/>
              <w:left w:val="nil"/>
              <w:bottom w:val="single" w:sz="4" w:space="0" w:color="auto"/>
              <w:right w:val="nil"/>
            </w:tcBorders>
            <w:shd w:val="clear" w:color="auto" w:fill="auto"/>
            <w:noWrap/>
            <w:vAlign w:val="center"/>
            <w:hideMark/>
          </w:tcPr>
          <w:p w:rsidR="00F15A3D" w:rsidRPr="00F15A3D" w:rsidRDefault="00F15A3D" w:rsidP="00F11300">
            <w:pPr>
              <w:spacing w:line="240" w:lineRule="auto"/>
              <w:ind w:firstLine="0"/>
              <w:rPr>
                <w:rFonts w:eastAsia="Times New Roman" w:cs="Arial"/>
                <w:b/>
                <w:bCs/>
                <w:color w:val="000000"/>
                <w:sz w:val="18"/>
                <w:szCs w:val="18"/>
              </w:rPr>
            </w:pPr>
            <w:r w:rsidRPr="00F15A3D">
              <w:rPr>
                <w:rFonts w:eastAsia="Times New Roman"/>
                <w:b/>
                <w:bCs/>
                <w:color w:val="000000"/>
                <w:sz w:val="18"/>
                <w:szCs w:val="18"/>
              </w:rPr>
              <w:t xml:space="preserve">Perioperative </w:t>
            </w:r>
          </w:p>
        </w:tc>
        <w:tc>
          <w:tcPr>
            <w:tcW w:w="766" w:type="dxa"/>
            <w:tcBorders>
              <w:top w:val="nil"/>
              <w:left w:val="nil"/>
              <w:bottom w:val="single" w:sz="4" w:space="0" w:color="auto"/>
              <w:right w:val="nil"/>
            </w:tcBorders>
            <w:shd w:val="clear" w:color="auto" w:fill="auto"/>
            <w:noWrap/>
            <w:hideMark/>
          </w:tcPr>
          <w:p w:rsidR="00F15A3D" w:rsidRPr="00F15A3D" w:rsidRDefault="00F15A3D" w:rsidP="00CC1EE4">
            <w:pPr>
              <w:spacing w:line="240" w:lineRule="auto"/>
              <w:ind w:firstLine="0"/>
              <w:jc w:val="right"/>
              <w:rPr>
                <w:rFonts w:eastAsia="Times New Roman" w:cs="Arial"/>
                <w:color w:val="000000"/>
                <w:sz w:val="18"/>
                <w:szCs w:val="18"/>
              </w:rPr>
            </w:pPr>
            <w:r w:rsidRPr="00F15A3D">
              <w:rPr>
                <w:sz w:val="18"/>
                <w:szCs w:val="18"/>
              </w:rPr>
              <w:t>n=18</w:t>
            </w:r>
          </w:p>
        </w:tc>
        <w:tc>
          <w:tcPr>
            <w:tcW w:w="1134" w:type="dxa"/>
            <w:tcBorders>
              <w:top w:val="nil"/>
              <w:left w:val="nil"/>
              <w:bottom w:val="single" w:sz="4" w:space="0" w:color="auto"/>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766" w:type="dxa"/>
            <w:tcBorders>
              <w:top w:val="nil"/>
              <w:left w:val="nil"/>
              <w:bottom w:val="single" w:sz="4" w:space="0" w:color="auto"/>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n=171</w:t>
            </w:r>
          </w:p>
        </w:tc>
        <w:tc>
          <w:tcPr>
            <w:tcW w:w="1111" w:type="dxa"/>
            <w:tcBorders>
              <w:top w:val="nil"/>
              <w:left w:val="nil"/>
              <w:bottom w:val="single" w:sz="4" w:space="0" w:color="auto"/>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990" w:type="dxa"/>
            <w:tcBorders>
              <w:top w:val="nil"/>
              <w:left w:val="nil"/>
              <w:bottom w:val="single" w:sz="4" w:space="0" w:color="auto"/>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P-value</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asciiTheme="minorHAnsi" w:eastAsia="Times New Roman" w:hAnsiTheme="minorHAnsi" w:cs="Arial"/>
                <w:color w:val="000000"/>
                <w:sz w:val="18"/>
                <w:szCs w:val="18"/>
              </w:rPr>
              <w:t>Treated at DP-CAR high-volume center*,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7</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(39)</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120</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(70)</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0.015</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Minimally invasive approach,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20</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0.119</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96" w:firstLine="173"/>
              <w:rPr>
                <w:rFonts w:eastAsia="Times New Roman" w:cs="Arial"/>
                <w:color w:val="000000"/>
                <w:sz w:val="18"/>
                <w:szCs w:val="18"/>
              </w:rPr>
            </w:pPr>
            <w:r w:rsidRPr="00F15A3D">
              <w:rPr>
                <w:rFonts w:eastAsia="Times New Roman"/>
                <w:color w:val="000000"/>
                <w:sz w:val="18"/>
                <w:szCs w:val="18"/>
              </w:rPr>
              <w:t>Operative time, median (IQR), min.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305</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(270-427)</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346</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(283-430)</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r w:rsidRPr="00F15A3D">
              <w:rPr>
                <w:sz w:val="18"/>
                <w:szCs w:val="18"/>
              </w:rPr>
              <w:t>0.579</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332" w:firstLine="598"/>
              <w:rPr>
                <w:rFonts w:eastAsia="Times New Roman" w:cs="Arial"/>
                <w:color w:val="000000"/>
                <w:sz w:val="18"/>
                <w:szCs w:val="18"/>
              </w:rPr>
            </w:pPr>
            <w:r w:rsidRPr="00F15A3D">
              <w:rPr>
                <w:rFonts w:eastAsia="Times New Roman"/>
                <w:color w:val="000000"/>
                <w:sz w:val="18"/>
                <w:szCs w:val="18"/>
              </w:rPr>
              <w:t>Mean (SD), min.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Chars="100" w:firstLine="180"/>
              <w:jc w:val="right"/>
              <w:rPr>
                <w:rFonts w:eastAsia="Times New Roman" w:cs="Arial"/>
                <w:color w:val="000000"/>
                <w:sz w:val="18"/>
                <w:szCs w:val="18"/>
              </w:rPr>
            </w:pPr>
            <w:r w:rsidRPr="00F15A3D">
              <w:rPr>
                <w:sz w:val="18"/>
                <w:szCs w:val="18"/>
              </w:rPr>
              <w:t>383</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(191)</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364</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(120)</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96" w:firstLine="173"/>
              <w:rPr>
                <w:rFonts w:eastAsia="Times New Roman"/>
                <w:color w:val="000000"/>
                <w:sz w:val="18"/>
                <w:szCs w:val="18"/>
              </w:rPr>
            </w:pPr>
            <w:r w:rsidRPr="00F15A3D">
              <w:rPr>
                <w:rFonts w:eastAsia="Times New Roman"/>
                <w:color w:val="000000"/>
                <w:sz w:val="18"/>
                <w:szCs w:val="18"/>
              </w:rPr>
              <w:t>Additional organs resected**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None</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(56)</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107</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(63)</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0.614</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 xml:space="preserve">Gallbladder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(11)</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37</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(22)</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0.374</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Stomach</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(17)</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14</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0.210</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Liver</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(4)</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&gt;0.99</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Kidney</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(11)</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4</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0.102</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406574">
            <w:pPr>
              <w:spacing w:line="240" w:lineRule="auto"/>
              <w:ind w:firstLineChars="333" w:firstLine="599"/>
              <w:rPr>
                <w:rFonts w:eastAsia="Times New Roman" w:cs="Arial"/>
                <w:color w:val="000000"/>
                <w:sz w:val="18"/>
                <w:szCs w:val="18"/>
              </w:rPr>
            </w:pPr>
            <w:r w:rsidRPr="00F15A3D">
              <w:rPr>
                <w:rFonts w:eastAsia="Times New Roman"/>
                <w:color w:val="000000"/>
                <w:sz w:val="18"/>
                <w:szCs w:val="18"/>
              </w:rPr>
              <w:t>Adrenal gland</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Chars="100" w:firstLine="180"/>
              <w:jc w:val="right"/>
              <w:rPr>
                <w:rFonts w:eastAsia="Times New Roman" w:cs="Arial"/>
                <w:color w:val="000000"/>
                <w:sz w:val="18"/>
                <w:szCs w:val="18"/>
              </w:rPr>
            </w:pPr>
            <w:r w:rsidRPr="00F15A3D">
              <w:rPr>
                <w:sz w:val="18"/>
                <w:szCs w:val="18"/>
              </w:rPr>
              <w:t>7</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(39)</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40</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(23)</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0.159</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406574">
            <w:pPr>
              <w:spacing w:line="240" w:lineRule="auto"/>
              <w:ind w:firstLine="0"/>
              <w:rPr>
                <w:rFonts w:eastAsia="Times New Roman" w:cs="Arial"/>
                <w:color w:val="000000"/>
                <w:sz w:val="18"/>
                <w:szCs w:val="18"/>
              </w:rPr>
            </w:pPr>
            <w:r w:rsidRPr="00F15A3D">
              <w:rPr>
                <w:rFonts w:asciiTheme="minorHAnsi" w:eastAsia="Times New Roman" w:hAnsiTheme="minorHAnsi" w:cs="Arial"/>
                <w:color w:val="000000"/>
                <w:sz w:val="18"/>
                <w:szCs w:val="18"/>
              </w:rPr>
              <w:t>DP-CAR variation</w:t>
            </w:r>
            <w:r w:rsidRPr="00F15A3D">
              <w:rPr>
                <w:rFonts w:eastAsia="Times New Roman"/>
                <w:color w:val="000000"/>
                <w:sz w:val="18"/>
                <w:szCs w:val="18"/>
              </w:rPr>
              <w:t>,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0.458</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D54B55">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Standard DP-CAR</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15</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(83)</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113</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(66)</w:t>
            </w:r>
          </w:p>
        </w:tc>
        <w:tc>
          <w:tcPr>
            <w:tcW w:w="990" w:type="dxa"/>
            <w:tcBorders>
              <w:top w:val="nil"/>
              <w:left w:val="nil"/>
              <w:bottom w:val="nil"/>
              <w:right w:val="nil"/>
            </w:tcBorders>
            <w:shd w:val="clear" w:color="auto" w:fill="auto"/>
            <w:noWrap/>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SMV/Portal vein resection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(11)</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21</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Superior mesenteric artery resection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300" w:firstLine="540"/>
              <w:rPr>
                <w:rFonts w:eastAsia="Times New Roman" w:cs="Arial"/>
                <w:color w:val="000000"/>
                <w:sz w:val="18"/>
                <w:szCs w:val="18"/>
              </w:rPr>
            </w:pPr>
            <w:r w:rsidRPr="00F15A3D">
              <w:rPr>
                <w:rFonts w:eastAsia="Times New Roman"/>
                <w:color w:val="000000"/>
                <w:sz w:val="18"/>
                <w:szCs w:val="18"/>
              </w:rPr>
              <w:t>Hepatic artery reconstruction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13</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Left gastric artery preservation/reconstruction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23</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(13)</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96" w:firstLine="173"/>
              <w:rPr>
                <w:rFonts w:eastAsia="Times New Roman" w:cs="Arial"/>
                <w:color w:val="000000"/>
                <w:sz w:val="18"/>
                <w:szCs w:val="18"/>
              </w:rPr>
            </w:pPr>
            <w:r w:rsidRPr="00F15A3D">
              <w:rPr>
                <w:rFonts w:eastAsia="Times New Roman"/>
                <w:color w:val="000000"/>
                <w:sz w:val="18"/>
                <w:szCs w:val="18"/>
              </w:rPr>
              <w:t>Estimated blood loss, median (IQR), mL</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1050</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(563-1582)</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500</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(300-1135)</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r w:rsidRPr="00F15A3D">
              <w:rPr>
                <w:sz w:val="18"/>
                <w:szCs w:val="18"/>
              </w:rPr>
              <w:t>0.021</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332" w:firstLine="598"/>
              <w:rPr>
                <w:rFonts w:eastAsia="Times New Roman" w:cs="Arial"/>
                <w:color w:val="000000"/>
                <w:sz w:val="18"/>
                <w:szCs w:val="18"/>
              </w:rPr>
            </w:pPr>
            <w:r w:rsidRPr="00F15A3D">
              <w:rPr>
                <w:rFonts w:eastAsia="Times New Roman"/>
                <w:color w:val="000000"/>
                <w:sz w:val="18"/>
                <w:szCs w:val="18"/>
              </w:rPr>
              <w:t>Mean (SD), mL</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2074</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(3058)</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883</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(1005)</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noWrap/>
            <w:vAlign w:val="center"/>
            <w:hideMark/>
          </w:tcPr>
          <w:p w:rsidR="00F15A3D" w:rsidRPr="00F15A3D" w:rsidRDefault="00F15A3D" w:rsidP="0058388D">
            <w:pPr>
              <w:spacing w:line="240" w:lineRule="auto"/>
              <w:ind w:firstLine="173"/>
              <w:rPr>
                <w:rFonts w:eastAsia="Times New Roman" w:cs="Arial"/>
                <w:b/>
                <w:bCs/>
                <w:color w:val="000000"/>
                <w:sz w:val="18"/>
                <w:szCs w:val="18"/>
              </w:rPr>
            </w:pPr>
            <w:r w:rsidRPr="00F15A3D">
              <w:rPr>
                <w:rFonts w:eastAsia="Times New Roman"/>
                <w:color w:val="000000"/>
                <w:sz w:val="18"/>
                <w:szCs w:val="18"/>
              </w:rPr>
              <w:t>Blood transfusion for bleeding (&lt;72 hrs),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b/>
                <w:bCs/>
                <w:color w:val="000000"/>
                <w:sz w:val="18"/>
                <w:szCs w:val="18"/>
              </w:rPr>
            </w:pPr>
            <w:r w:rsidRPr="00F15A3D">
              <w:rPr>
                <w:sz w:val="18"/>
                <w:szCs w:val="18"/>
              </w:rPr>
              <w:t>9</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(56)</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29</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(18)</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sz w:val="18"/>
                <w:szCs w:val="18"/>
              </w:rPr>
            </w:pPr>
            <w:r w:rsidRPr="00F15A3D">
              <w:rPr>
                <w:sz w:val="18"/>
                <w:szCs w:val="18"/>
              </w:rPr>
              <w:t>0.001</w:t>
            </w:r>
          </w:p>
        </w:tc>
      </w:tr>
      <w:tr w:rsidR="00F15A3D" w:rsidRPr="00F15A3D" w:rsidTr="00EF131D">
        <w:trPr>
          <w:trHeight w:val="300"/>
        </w:trPr>
        <w:tc>
          <w:tcPr>
            <w:tcW w:w="4196" w:type="dxa"/>
            <w:tcBorders>
              <w:top w:val="nil"/>
              <w:left w:val="nil"/>
              <w:bottom w:val="nil"/>
              <w:right w:val="nil"/>
            </w:tcBorders>
            <w:shd w:val="clear" w:color="auto" w:fill="auto"/>
            <w:noWrap/>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Residual status overall,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Chars="100" w:firstLine="180"/>
              <w:jc w:val="right"/>
              <w:rPr>
                <w:rFonts w:eastAsia="Times New Roman" w:cs="Arial"/>
                <w:color w:val="000000"/>
                <w:sz w:val="18"/>
                <w:szCs w:val="18"/>
              </w:rPr>
            </w:pP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r w:rsidRPr="00F15A3D">
              <w:rPr>
                <w:sz w:val="18"/>
                <w:szCs w:val="18"/>
              </w:rPr>
              <w:t>0.005</w:t>
            </w:r>
          </w:p>
        </w:tc>
      </w:tr>
      <w:tr w:rsidR="00F15A3D" w:rsidRPr="00F15A3D" w:rsidTr="00EF131D">
        <w:trPr>
          <w:trHeight w:val="300"/>
        </w:trPr>
        <w:tc>
          <w:tcPr>
            <w:tcW w:w="4196" w:type="dxa"/>
            <w:tcBorders>
              <w:top w:val="nil"/>
              <w:left w:val="nil"/>
              <w:bottom w:val="nil"/>
              <w:right w:val="nil"/>
            </w:tcBorders>
            <w:shd w:val="clear" w:color="auto" w:fill="auto"/>
            <w:noWrap/>
            <w:vAlign w:val="center"/>
            <w:hideMark/>
          </w:tcPr>
          <w:p w:rsidR="00F15A3D" w:rsidRPr="00F15A3D" w:rsidRDefault="00F15A3D" w:rsidP="0058388D">
            <w:pPr>
              <w:spacing w:line="240" w:lineRule="auto"/>
              <w:ind w:firstLineChars="332" w:firstLine="598"/>
              <w:rPr>
                <w:rFonts w:eastAsia="Times New Roman" w:cs="Arial"/>
                <w:color w:val="000000"/>
                <w:sz w:val="18"/>
                <w:szCs w:val="18"/>
              </w:rPr>
            </w:pPr>
            <w:r w:rsidRPr="00F15A3D">
              <w:rPr>
                <w:rFonts w:eastAsia="Times New Roman"/>
                <w:color w:val="000000"/>
                <w:sz w:val="18"/>
                <w:szCs w:val="18"/>
              </w:rPr>
              <w:t>R0 (&gt;1 mm margin)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(35)</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105</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(64)</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noWrap/>
            <w:vAlign w:val="center"/>
            <w:hideMark/>
          </w:tcPr>
          <w:p w:rsidR="00F15A3D" w:rsidRPr="00F15A3D" w:rsidRDefault="00F15A3D" w:rsidP="0058388D">
            <w:pPr>
              <w:spacing w:line="240" w:lineRule="auto"/>
              <w:ind w:firstLineChars="332" w:firstLine="598"/>
              <w:rPr>
                <w:rFonts w:eastAsia="Times New Roman" w:cs="Arial"/>
                <w:color w:val="000000"/>
                <w:sz w:val="18"/>
                <w:szCs w:val="18"/>
              </w:rPr>
            </w:pPr>
            <w:r w:rsidRPr="00F15A3D">
              <w:rPr>
                <w:rFonts w:eastAsia="Times New Roman"/>
                <w:color w:val="000000"/>
                <w:sz w:val="18"/>
                <w:szCs w:val="18"/>
              </w:rPr>
              <w:t>R1 (&lt;1 mm margin)</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9</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(53)</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58</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(35)</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noWrap/>
            <w:vAlign w:val="center"/>
            <w:hideMark/>
          </w:tcPr>
          <w:p w:rsidR="00F15A3D" w:rsidRPr="00F15A3D" w:rsidRDefault="00F15A3D" w:rsidP="0058388D">
            <w:pPr>
              <w:spacing w:line="240" w:lineRule="auto"/>
              <w:ind w:firstLineChars="332" w:firstLine="598"/>
              <w:rPr>
                <w:rFonts w:eastAsia="Times New Roman" w:cs="Arial"/>
                <w:color w:val="000000"/>
                <w:sz w:val="18"/>
                <w:szCs w:val="18"/>
              </w:rPr>
            </w:pPr>
            <w:r w:rsidRPr="00F15A3D">
              <w:rPr>
                <w:rFonts w:eastAsia="Times New Roman"/>
                <w:color w:val="000000"/>
                <w:sz w:val="18"/>
                <w:szCs w:val="18"/>
              </w:rPr>
              <w:t>R2 (macroscopically positive)</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17" w:firstLine="31"/>
              <w:rPr>
                <w:rFonts w:eastAsia="Times New Roman" w:cs="Arial"/>
                <w:color w:val="000000"/>
                <w:sz w:val="18"/>
                <w:szCs w:val="18"/>
              </w:rPr>
            </w:pPr>
            <w:r w:rsidRPr="00F15A3D">
              <w:rPr>
                <w:rFonts w:eastAsia="Times New Roman"/>
                <w:b/>
                <w:bCs/>
                <w:color w:val="000000"/>
                <w:sz w:val="18"/>
                <w:szCs w:val="18"/>
              </w:rPr>
              <w:t>Postoperative (90 days)</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Post-pancreatectomy hemorrhage****,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(44)</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7</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(4)</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r w:rsidRPr="00F15A3D">
              <w:rPr>
                <w:sz w:val="18"/>
                <w:szCs w:val="18"/>
              </w:rPr>
              <w:t>&lt;0.001</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Liver ischemia/infarction,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Chars="100" w:firstLine="180"/>
              <w:jc w:val="right"/>
              <w:rPr>
                <w:rFonts w:eastAsia="Times New Roman" w:cs="Arial"/>
                <w:color w:val="000000"/>
                <w:sz w:val="18"/>
                <w:szCs w:val="18"/>
              </w:rPr>
            </w:pPr>
            <w:r w:rsidRPr="00F15A3D">
              <w:rPr>
                <w:sz w:val="18"/>
                <w:szCs w:val="18"/>
              </w:rPr>
              <w:t>9</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(50)</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31</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sz w:val="18"/>
                <w:szCs w:val="18"/>
              </w:rPr>
            </w:pPr>
            <w:r w:rsidRPr="00F15A3D">
              <w:rPr>
                <w:sz w:val="18"/>
                <w:szCs w:val="18"/>
              </w:rPr>
              <w:t>(19)</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sz w:val="18"/>
                <w:szCs w:val="18"/>
              </w:rPr>
            </w:pPr>
            <w:r w:rsidRPr="00F15A3D">
              <w:rPr>
                <w:sz w:val="18"/>
                <w:szCs w:val="18"/>
              </w:rPr>
              <w:t>0.005</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DC346F">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Gastric ischemia, No. (%)</w:t>
            </w:r>
          </w:p>
        </w:tc>
        <w:tc>
          <w:tcPr>
            <w:tcW w:w="766" w:type="dxa"/>
            <w:tcBorders>
              <w:top w:val="nil"/>
              <w:left w:val="nil"/>
              <w:bottom w:val="nil"/>
              <w:right w:val="nil"/>
            </w:tcBorders>
            <w:shd w:val="clear" w:color="auto" w:fill="auto"/>
            <w:noWrap/>
            <w:hideMark/>
          </w:tcPr>
          <w:p w:rsidR="00F15A3D" w:rsidRPr="00F15A3D" w:rsidRDefault="00F15A3D" w:rsidP="00DC346F">
            <w:pPr>
              <w:spacing w:line="240" w:lineRule="auto"/>
              <w:ind w:firstLineChars="100" w:firstLine="180"/>
              <w:jc w:val="right"/>
              <w:rPr>
                <w:rFonts w:eastAsia="Times New Roman"/>
                <w:color w:val="000000"/>
                <w:sz w:val="18"/>
                <w:szCs w:val="18"/>
              </w:rPr>
            </w:pPr>
            <w:r w:rsidRPr="00F15A3D">
              <w:rPr>
                <w:sz w:val="18"/>
                <w:szCs w:val="18"/>
              </w:rPr>
              <w:t>7</w:t>
            </w:r>
          </w:p>
        </w:tc>
        <w:tc>
          <w:tcPr>
            <w:tcW w:w="1134" w:type="dxa"/>
            <w:tcBorders>
              <w:top w:val="nil"/>
              <w:left w:val="nil"/>
              <w:bottom w:val="nil"/>
              <w:right w:val="nil"/>
            </w:tcBorders>
            <w:shd w:val="clear" w:color="auto" w:fill="auto"/>
            <w:noWrap/>
            <w:hideMark/>
          </w:tcPr>
          <w:p w:rsidR="00F15A3D" w:rsidRPr="00F15A3D" w:rsidRDefault="00F15A3D" w:rsidP="00684258">
            <w:pPr>
              <w:spacing w:line="240" w:lineRule="auto"/>
              <w:ind w:firstLineChars="100" w:firstLine="180"/>
              <w:jc w:val="right"/>
              <w:rPr>
                <w:rFonts w:eastAsia="Times New Roman"/>
                <w:color w:val="000000"/>
                <w:sz w:val="18"/>
                <w:szCs w:val="18"/>
              </w:rPr>
            </w:pPr>
            <w:r w:rsidRPr="00F15A3D">
              <w:rPr>
                <w:sz w:val="18"/>
                <w:szCs w:val="18"/>
              </w:rPr>
              <w:t>(39)</w:t>
            </w:r>
          </w:p>
        </w:tc>
        <w:tc>
          <w:tcPr>
            <w:tcW w:w="766" w:type="dxa"/>
            <w:tcBorders>
              <w:top w:val="nil"/>
              <w:left w:val="nil"/>
              <w:bottom w:val="nil"/>
              <w:right w:val="nil"/>
            </w:tcBorders>
            <w:shd w:val="clear" w:color="auto" w:fill="auto"/>
            <w:noWrap/>
            <w:hideMark/>
          </w:tcPr>
          <w:p w:rsidR="00F15A3D" w:rsidRPr="00F15A3D" w:rsidRDefault="00F15A3D" w:rsidP="00DC346F">
            <w:pPr>
              <w:spacing w:line="240" w:lineRule="auto"/>
              <w:ind w:firstLineChars="100" w:firstLine="180"/>
              <w:jc w:val="right"/>
              <w:rPr>
                <w:rFonts w:eastAsia="Times New Roman"/>
                <w:color w:val="000000"/>
                <w:sz w:val="18"/>
                <w:szCs w:val="18"/>
              </w:rPr>
            </w:pPr>
            <w:r w:rsidRPr="00F15A3D">
              <w:rPr>
                <w:sz w:val="18"/>
                <w:szCs w:val="18"/>
              </w:rPr>
              <w:t>10</w:t>
            </w:r>
          </w:p>
        </w:tc>
        <w:tc>
          <w:tcPr>
            <w:tcW w:w="1111" w:type="dxa"/>
            <w:tcBorders>
              <w:top w:val="nil"/>
              <w:left w:val="nil"/>
              <w:bottom w:val="nil"/>
              <w:right w:val="nil"/>
            </w:tcBorders>
            <w:shd w:val="clear" w:color="auto" w:fill="auto"/>
            <w:noWrap/>
            <w:hideMark/>
          </w:tcPr>
          <w:p w:rsidR="00F15A3D" w:rsidRPr="00F15A3D" w:rsidRDefault="00F15A3D" w:rsidP="00684258">
            <w:pPr>
              <w:spacing w:line="240" w:lineRule="auto"/>
              <w:ind w:firstLineChars="100" w:firstLine="180"/>
              <w:jc w:val="right"/>
              <w:rPr>
                <w:rFonts w:eastAsia="Times New Roman"/>
                <w:color w:val="000000"/>
                <w:sz w:val="18"/>
                <w:szCs w:val="18"/>
              </w:rPr>
            </w:pPr>
            <w:r w:rsidRPr="00F15A3D">
              <w:rPr>
                <w:sz w:val="18"/>
                <w:szCs w:val="18"/>
              </w:rPr>
              <w:t>(6)</w:t>
            </w:r>
          </w:p>
        </w:tc>
        <w:tc>
          <w:tcPr>
            <w:tcW w:w="990" w:type="dxa"/>
            <w:tcBorders>
              <w:top w:val="nil"/>
              <w:left w:val="nil"/>
              <w:bottom w:val="nil"/>
              <w:right w:val="nil"/>
            </w:tcBorders>
            <w:shd w:val="clear" w:color="auto" w:fill="auto"/>
            <w:noWrap/>
            <w:hideMark/>
          </w:tcPr>
          <w:p w:rsidR="00F15A3D" w:rsidRPr="00F15A3D" w:rsidRDefault="00F15A3D" w:rsidP="00D73F80">
            <w:pPr>
              <w:spacing w:line="240" w:lineRule="auto"/>
              <w:ind w:firstLineChars="100" w:firstLine="180"/>
              <w:jc w:val="right"/>
              <w:rPr>
                <w:rFonts w:eastAsia="Times New Roman"/>
                <w:b/>
                <w:color w:val="000000"/>
                <w:sz w:val="18"/>
                <w:szCs w:val="18"/>
              </w:rPr>
            </w:pPr>
            <w:r w:rsidRPr="00F15A3D">
              <w:rPr>
                <w:sz w:val="18"/>
                <w:szCs w:val="18"/>
              </w:rPr>
              <w:t>&lt;0.001</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Abdominal cavity infection,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(35)</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21</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olor w:val="000000"/>
                <w:sz w:val="18"/>
                <w:szCs w:val="18"/>
              </w:rPr>
            </w:pPr>
            <w:r w:rsidRPr="00F15A3D">
              <w:rPr>
                <w:sz w:val="18"/>
                <w:szCs w:val="18"/>
              </w:rPr>
              <w:t>0.021</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806A8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Pancreatic fistula grade B/C****,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6</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(33)</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36</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(21)</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r w:rsidRPr="00F15A3D">
              <w:rPr>
                <w:sz w:val="18"/>
                <w:szCs w:val="18"/>
              </w:rPr>
              <w:t>0.247</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F11300">
            <w:pPr>
              <w:spacing w:line="240" w:lineRule="auto"/>
              <w:ind w:firstLineChars="100" w:firstLine="180"/>
              <w:rPr>
                <w:rFonts w:eastAsia="Times New Roman" w:cs="Arial"/>
                <w:color w:val="000000"/>
                <w:sz w:val="18"/>
                <w:szCs w:val="18"/>
              </w:rPr>
            </w:pPr>
            <w:r w:rsidRPr="00F15A3D">
              <w:rPr>
                <w:rFonts w:eastAsia="Times New Roman"/>
                <w:color w:val="000000"/>
                <w:sz w:val="18"/>
                <w:szCs w:val="18"/>
              </w:rPr>
              <w:t>Delayed gastric emptying grade B/C****, No. (%)</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9</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(50)</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14</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(9)</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b/>
                <w:bCs/>
                <w:color w:val="000000"/>
                <w:sz w:val="18"/>
                <w:szCs w:val="18"/>
              </w:rPr>
            </w:pPr>
            <w:r w:rsidRPr="00F15A3D">
              <w:rPr>
                <w:sz w:val="18"/>
                <w:szCs w:val="18"/>
              </w:rPr>
              <w:t>&lt;0.001</w:t>
            </w:r>
          </w:p>
        </w:tc>
      </w:tr>
      <w:tr w:rsidR="00F15A3D" w:rsidRPr="00F15A3D" w:rsidTr="00EF131D">
        <w:trPr>
          <w:trHeight w:val="300"/>
        </w:trPr>
        <w:tc>
          <w:tcPr>
            <w:tcW w:w="4196" w:type="dxa"/>
            <w:tcBorders>
              <w:top w:val="nil"/>
              <w:left w:val="nil"/>
              <w:bottom w:val="nil"/>
              <w:right w:val="nil"/>
            </w:tcBorders>
            <w:shd w:val="clear" w:color="auto" w:fill="auto"/>
            <w:vAlign w:val="center"/>
            <w:hideMark/>
          </w:tcPr>
          <w:p w:rsidR="00F15A3D" w:rsidRPr="00F15A3D" w:rsidRDefault="00F15A3D" w:rsidP="0058388D">
            <w:pPr>
              <w:spacing w:line="240" w:lineRule="auto"/>
              <w:ind w:firstLineChars="96" w:firstLine="173"/>
              <w:rPr>
                <w:rFonts w:eastAsia="Times New Roman" w:cs="Arial"/>
                <w:color w:val="000000"/>
                <w:sz w:val="18"/>
                <w:szCs w:val="18"/>
              </w:rPr>
            </w:pPr>
            <w:r w:rsidRPr="00F15A3D">
              <w:rPr>
                <w:rFonts w:eastAsia="Times New Roman"/>
                <w:color w:val="000000"/>
                <w:sz w:val="18"/>
                <w:szCs w:val="18"/>
              </w:rPr>
              <w:t>Length of hospital say, median (IQR), days</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24</w:t>
            </w:r>
          </w:p>
        </w:tc>
        <w:tc>
          <w:tcPr>
            <w:tcW w:w="1134"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(12-40)</w:t>
            </w:r>
          </w:p>
        </w:tc>
        <w:tc>
          <w:tcPr>
            <w:tcW w:w="766"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13</w:t>
            </w:r>
          </w:p>
        </w:tc>
        <w:tc>
          <w:tcPr>
            <w:tcW w:w="1111" w:type="dxa"/>
            <w:tcBorders>
              <w:top w:val="nil"/>
              <w:left w:val="nil"/>
              <w:bottom w:val="nil"/>
              <w:right w:val="nil"/>
            </w:tcBorders>
            <w:shd w:val="clear" w:color="auto" w:fill="auto"/>
            <w:noWrap/>
            <w:hideMark/>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(8-21)</w:t>
            </w:r>
          </w:p>
        </w:tc>
        <w:tc>
          <w:tcPr>
            <w:tcW w:w="990" w:type="dxa"/>
            <w:tcBorders>
              <w:top w:val="nil"/>
              <w:left w:val="nil"/>
              <w:bottom w:val="nil"/>
              <w:right w:val="nil"/>
            </w:tcBorders>
            <w:shd w:val="clear" w:color="auto" w:fill="auto"/>
            <w:noWrap/>
            <w:hideMark/>
          </w:tcPr>
          <w:p w:rsidR="00F15A3D" w:rsidRPr="00F15A3D" w:rsidRDefault="00F15A3D" w:rsidP="00F11300">
            <w:pPr>
              <w:spacing w:line="240" w:lineRule="auto"/>
              <w:ind w:firstLine="0"/>
              <w:jc w:val="right"/>
              <w:rPr>
                <w:rFonts w:eastAsia="Times New Roman" w:cs="Arial"/>
                <w:color w:val="000000"/>
                <w:sz w:val="18"/>
                <w:szCs w:val="18"/>
              </w:rPr>
            </w:pPr>
            <w:r w:rsidRPr="00F15A3D">
              <w:rPr>
                <w:sz w:val="18"/>
                <w:szCs w:val="18"/>
              </w:rPr>
              <w:t>0.001</w:t>
            </w:r>
          </w:p>
        </w:tc>
      </w:tr>
      <w:tr w:rsidR="00F15A3D" w:rsidRPr="00F15A3D" w:rsidTr="00EF131D">
        <w:trPr>
          <w:trHeight w:val="300"/>
        </w:trPr>
        <w:tc>
          <w:tcPr>
            <w:tcW w:w="4196" w:type="dxa"/>
            <w:tcBorders>
              <w:top w:val="nil"/>
              <w:left w:val="nil"/>
              <w:bottom w:val="nil"/>
              <w:right w:val="nil"/>
            </w:tcBorders>
            <w:shd w:val="clear" w:color="auto" w:fill="auto"/>
            <w:vAlign w:val="center"/>
          </w:tcPr>
          <w:p w:rsidR="00F15A3D" w:rsidRPr="00F15A3D" w:rsidRDefault="00F15A3D" w:rsidP="0058388D">
            <w:pPr>
              <w:spacing w:line="240" w:lineRule="auto"/>
              <w:ind w:firstLine="598"/>
              <w:rPr>
                <w:rFonts w:eastAsia="Times New Roman" w:cs="Arial"/>
                <w:color w:val="000000"/>
                <w:sz w:val="18"/>
                <w:szCs w:val="18"/>
              </w:rPr>
            </w:pPr>
            <w:r w:rsidRPr="00F15A3D">
              <w:rPr>
                <w:rFonts w:eastAsia="Times New Roman"/>
                <w:color w:val="000000"/>
                <w:sz w:val="18"/>
                <w:szCs w:val="18"/>
              </w:rPr>
              <w:t>Mean (SD), days</w:t>
            </w:r>
          </w:p>
        </w:tc>
        <w:tc>
          <w:tcPr>
            <w:tcW w:w="766" w:type="dxa"/>
            <w:tcBorders>
              <w:top w:val="nil"/>
              <w:left w:val="nil"/>
              <w:bottom w:val="nil"/>
              <w:right w:val="nil"/>
            </w:tcBorders>
            <w:shd w:val="clear" w:color="auto" w:fill="auto"/>
            <w:noWrap/>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27</w:t>
            </w:r>
          </w:p>
        </w:tc>
        <w:tc>
          <w:tcPr>
            <w:tcW w:w="1134" w:type="dxa"/>
            <w:tcBorders>
              <w:top w:val="nil"/>
              <w:left w:val="nil"/>
              <w:bottom w:val="nil"/>
              <w:right w:val="nil"/>
            </w:tcBorders>
            <w:shd w:val="clear" w:color="auto" w:fill="auto"/>
            <w:noWrap/>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(18)</w:t>
            </w:r>
          </w:p>
        </w:tc>
        <w:tc>
          <w:tcPr>
            <w:tcW w:w="766" w:type="dxa"/>
            <w:tcBorders>
              <w:top w:val="nil"/>
              <w:left w:val="nil"/>
              <w:bottom w:val="nil"/>
              <w:right w:val="nil"/>
            </w:tcBorders>
            <w:shd w:val="clear" w:color="auto" w:fill="auto"/>
            <w:noWrap/>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18</w:t>
            </w:r>
          </w:p>
        </w:tc>
        <w:tc>
          <w:tcPr>
            <w:tcW w:w="1111" w:type="dxa"/>
            <w:tcBorders>
              <w:top w:val="nil"/>
              <w:left w:val="nil"/>
              <w:bottom w:val="nil"/>
              <w:right w:val="nil"/>
            </w:tcBorders>
            <w:shd w:val="clear" w:color="auto" w:fill="auto"/>
            <w:noWrap/>
          </w:tcPr>
          <w:p w:rsidR="00F15A3D" w:rsidRPr="00F15A3D" w:rsidRDefault="00F15A3D" w:rsidP="0058388D">
            <w:pPr>
              <w:spacing w:line="240" w:lineRule="auto"/>
              <w:ind w:firstLine="0"/>
              <w:jc w:val="right"/>
              <w:rPr>
                <w:rFonts w:eastAsia="Times New Roman" w:cs="Arial"/>
                <w:color w:val="000000"/>
                <w:sz w:val="18"/>
                <w:szCs w:val="18"/>
              </w:rPr>
            </w:pPr>
            <w:r w:rsidRPr="00F15A3D">
              <w:rPr>
                <w:sz w:val="18"/>
                <w:szCs w:val="18"/>
              </w:rPr>
              <w:t>(19)</w:t>
            </w:r>
          </w:p>
        </w:tc>
        <w:tc>
          <w:tcPr>
            <w:tcW w:w="990" w:type="dxa"/>
            <w:tcBorders>
              <w:top w:val="nil"/>
              <w:left w:val="nil"/>
              <w:bottom w:val="nil"/>
              <w:right w:val="nil"/>
            </w:tcBorders>
            <w:shd w:val="clear" w:color="auto" w:fill="auto"/>
            <w:noWrap/>
          </w:tcPr>
          <w:p w:rsidR="00F15A3D" w:rsidRPr="00F15A3D" w:rsidRDefault="00F15A3D" w:rsidP="00F11300">
            <w:pPr>
              <w:spacing w:line="240" w:lineRule="auto"/>
              <w:ind w:firstLine="0"/>
              <w:jc w:val="right"/>
              <w:rPr>
                <w:rFonts w:eastAsia="Times New Roman" w:cs="Arial"/>
                <w:b/>
                <w:color w:val="000000"/>
                <w:sz w:val="18"/>
                <w:szCs w:val="18"/>
              </w:rPr>
            </w:pPr>
          </w:p>
        </w:tc>
      </w:tr>
    </w:tbl>
    <w:p w:rsidR="00625763" w:rsidRDefault="00625763" w:rsidP="000453D9">
      <w:pPr>
        <w:spacing w:line="240" w:lineRule="auto"/>
        <w:ind w:firstLine="0"/>
        <w:rPr>
          <w:rFonts w:asciiTheme="minorHAnsi" w:eastAsia="Times New Roman" w:hAnsiTheme="minorHAnsi"/>
          <w:color w:val="000000"/>
          <w:lang w:eastAsia="nl-NL"/>
        </w:rPr>
      </w:pPr>
    </w:p>
    <w:p w:rsidR="0058388D" w:rsidRPr="00B161E8" w:rsidRDefault="00B67907" w:rsidP="000453D9">
      <w:pPr>
        <w:spacing w:line="240" w:lineRule="auto"/>
        <w:ind w:firstLine="0"/>
        <w:rPr>
          <w:rFonts w:asciiTheme="minorHAnsi" w:eastAsia="Times New Roman" w:hAnsiTheme="minorHAnsi"/>
          <w:color w:val="000000"/>
          <w:sz w:val="20"/>
          <w:szCs w:val="20"/>
          <w:lang w:eastAsia="nl-NL"/>
        </w:rPr>
      </w:pPr>
      <w:r>
        <w:rPr>
          <w:rFonts w:asciiTheme="minorHAnsi" w:eastAsia="Times New Roman" w:hAnsiTheme="minorHAnsi"/>
          <w:color w:val="000000"/>
          <w:sz w:val="20"/>
          <w:szCs w:val="20"/>
          <w:lang w:eastAsia="nl-NL"/>
        </w:rPr>
        <w:t>2</w:t>
      </w:r>
      <w:r w:rsidR="0058388D" w:rsidRPr="00B161E8">
        <w:rPr>
          <w:rFonts w:asciiTheme="minorHAnsi" w:eastAsia="Times New Roman" w:hAnsiTheme="minorHAnsi"/>
          <w:color w:val="000000"/>
          <w:sz w:val="20"/>
          <w:szCs w:val="20"/>
          <w:lang w:eastAsia="nl-NL"/>
        </w:rPr>
        <w:t xml:space="preserve"> Patients were loss to follow-up before 90-days.</w:t>
      </w:r>
    </w:p>
    <w:p w:rsidR="00D54B55" w:rsidRPr="00B161E8" w:rsidRDefault="0058388D" w:rsidP="000453D9">
      <w:pPr>
        <w:spacing w:line="240" w:lineRule="auto"/>
        <w:ind w:firstLine="0"/>
        <w:rPr>
          <w:rFonts w:asciiTheme="minorHAnsi" w:eastAsia="Times New Roman" w:hAnsiTheme="minorHAnsi"/>
          <w:color w:val="000000"/>
          <w:sz w:val="20"/>
          <w:szCs w:val="20"/>
          <w:lang w:eastAsia="nl-NL"/>
        </w:rPr>
      </w:pPr>
      <w:r w:rsidRPr="00B161E8">
        <w:rPr>
          <w:rFonts w:asciiTheme="minorHAnsi" w:eastAsia="Times New Roman" w:hAnsiTheme="minorHAnsi"/>
          <w:color w:val="000000"/>
          <w:sz w:val="20"/>
          <w:szCs w:val="20"/>
          <w:lang w:eastAsia="nl-NL"/>
        </w:rPr>
        <w:t>* Mean volume of 1 per year between January 1st 2014 and December 31st 2016</w:t>
      </w:r>
    </w:p>
    <w:p w:rsidR="00D54B55" w:rsidRPr="00B161E8" w:rsidRDefault="00D54B55" w:rsidP="00D54B55">
      <w:pPr>
        <w:spacing w:line="240" w:lineRule="auto"/>
        <w:ind w:firstLine="0"/>
        <w:rPr>
          <w:rFonts w:asciiTheme="minorHAnsi" w:hAnsiTheme="minorHAnsi"/>
          <w:sz w:val="20"/>
          <w:szCs w:val="20"/>
        </w:rPr>
      </w:pPr>
      <w:r w:rsidRPr="00B161E8">
        <w:rPr>
          <w:rFonts w:asciiTheme="minorHAnsi" w:hAnsiTheme="minorHAnsi"/>
          <w:sz w:val="20"/>
          <w:szCs w:val="20"/>
        </w:rPr>
        <w:t>** Other than celiac axis, gallbladder, pancreas, or spleen.</w:t>
      </w:r>
    </w:p>
    <w:p w:rsidR="00D54B55" w:rsidRPr="00B161E8" w:rsidRDefault="00D54B55" w:rsidP="00D54B55">
      <w:pPr>
        <w:spacing w:line="240" w:lineRule="auto"/>
        <w:ind w:firstLine="0"/>
        <w:rPr>
          <w:rFonts w:asciiTheme="minorHAnsi" w:hAnsiTheme="minorHAnsi"/>
          <w:sz w:val="20"/>
          <w:szCs w:val="20"/>
        </w:rPr>
      </w:pPr>
      <w:r w:rsidRPr="00B161E8">
        <w:rPr>
          <w:rFonts w:asciiTheme="minorHAnsi" w:hAnsiTheme="minorHAnsi"/>
          <w:sz w:val="20"/>
          <w:szCs w:val="20"/>
        </w:rPr>
        <w:t>*** Excluding side-bite</w:t>
      </w:r>
    </w:p>
    <w:p w:rsidR="00E847F7" w:rsidRDefault="00806A80">
      <w:pPr>
        <w:spacing w:line="240" w:lineRule="auto"/>
        <w:ind w:firstLine="0"/>
        <w:rPr>
          <w:rFonts w:asciiTheme="minorHAnsi" w:hAnsiTheme="minorHAnsi"/>
          <w:sz w:val="20"/>
          <w:szCs w:val="20"/>
        </w:rPr>
      </w:pPr>
      <w:r w:rsidRPr="00806A80">
        <w:rPr>
          <w:rFonts w:asciiTheme="minorHAnsi" w:hAnsiTheme="minorHAnsi"/>
          <w:sz w:val="20"/>
          <w:szCs w:val="20"/>
        </w:rPr>
        <w:t>**** ISGPS definition</w:t>
      </w:r>
      <w:r w:rsidR="00FA7995" w:rsidRPr="00806A80">
        <w:rPr>
          <w:rFonts w:asciiTheme="minorHAnsi" w:hAnsiTheme="minorHAnsi"/>
          <w:sz w:val="20"/>
          <w:szCs w:val="20"/>
        </w:rPr>
        <w:fldChar w:fldCharType="begin" w:fldLock="1"/>
      </w:r>
      <w:r w:rsidR="00350EB0">
        <w:rPr>
          <w:rFonts w:asciiTheme="minorHAnsi" w:hAnsiTheme="minorHAnsi"/>
          <w:sz w:val="20"/>
          <w:szCs w:val="20"/>
        </w:rPr>
        <w:instrText>ADDIN CSL_CITATION { "citationItems" : [ { "id" : "ITEM-1", "itemData" : { "DOI" : "10.1016/j.surg.2007.05.005", "ISBN" : "0039-6060", "ISSN" : "00396060", "PMID" : "17981197", "abstract" : "Background: Delayed gastric emptying (DGE) is one of the most common complications after pancreatic resection. In the literature, the reported incidence of DGE after pancreatic surgery varies considerably between different surgical centers, primarily because an internationally accepted consensus definition of DGE is not available. Several surgical centers use a different definition of DGE. Hence, a valid comparison of different study reports and operative techniques is not possible. Methods: After a literature review on DGE after pancreatic resection, the International Study Group of Pancreatic Surgery (ISGPS) developed an objective and generally applicable definition with grades of DGE based primarily on severity and clinical impact. Results: DGE represents the inability to return to a standard diet by the end of the first postoperative week and includes prolonged nasogastric intubation of the patient. Three different grades (A, B, and C) were defined based on the impact on the clinical course and on postoperative management. Conclusion: The proposed definition, which includes a clinical grading of DGE, should allow objective and accurate comparison of the results of future clinical trials and will facilitate the objective evaluation of novel interventions and surgical modalities in the field of pancreatic surgery. \u00a9 2007 Mosby, Inc. All rights reserved.", "author" : [ { "dropping-particle" : "", "family" : "Wente", "given" : "Moritz N.", "non-dropping-particle" : "", "parse-names" : false, "suffix" : "" }, { "dropping-particle" : "", "family" : "Bassi", "given" : "Claudio", "non-dropping-particle" : "", "parse-names" : false, "suffix" : "" }, { "dropping-particle" : "", "family" : "Dervenis", "given" : "Christos", "non-dropping-particle" : "", "parse-names" : false, "suffix" : "" }, { "dropping-particle" : "", "family" : "Fingerhut", "given" : "Abe", "non-dropping-particle" : "", "parse-names" : false, "suffix" : "" }, { "dropping-particle" : "", "family" : "Gouma", "given" : "Dirk J.", "non-dropping-particle" : "", "parse-names" : false, "suffix" : "" }, { "dropping-particle" : "", "family" : "Izbicki", "given" : "Jakob R.", "non-dropping-particle" : "", "parse-names" : false, "suffix" : "" }, { "dropping-particle" : "", "family" : "Neoptolemos", "given" : "John P.", "non-dropping-particle" : "", "parse-names" : false, "suffix" : "" }, { "dropping-particle" : "", "family" : "Padbury", "given" : "Robert T.", "non-dropping-particle" : "", "parse-names" : false, "suffix" : "" }, { "dropping-particle" : "", "family" : "Sarr", "given" : "Michael G.", "non-dropping-particle" : "", "parse-names" : false, "suffix" : "" }, { "dropping-particle" : "", "family" : "Traverso", "given" : "L. William", "non-dropping-particle" : "", "parse-names" : false, "suffix" : "" }, { "dropping-particle" : "", "family" : "Yeo", "given" : "Charles J.", "non-dropping-particle" : "", "parse-names" : false, "suffix" : "" }, { "dropping-particle" : "", "family" : "B\u00fcchler", "given" : "Markus W.", "non-dropping-particle" : "", "parse-names" : false, "suffix" : "" } ], "container-title" : "Surgery", "id" : "ITEM-1", "issue" : "5", "issued" : { "date-parts" : [ [ "2007" ] ] }, "page" : "761-768", "title" : "Delayed gastric emptying (DGE) after pancreatic surgery: A suggested definition by the International Study Group of Pancreatic Surgery (ISGPS)", "type" : "article-journal", "volume" : "142" }, "uris" : [ "http://www.mendeley.com/documents/?uuid=1545bed8-2c20-447e-9dce-c3c11c770b06" ] }, { "id" : "ITEM-2", "itemData" : { "DOI" : "10.1016/j.surg.2007.02.001", "author" : [ { "dropping-particle" : "", "family" : "Wente", "given" : "Moritz N", "non-dropping-particle" : "", "parse-names" : false, "suffix" : "" }, { "dropping-particle" : "", "family" : "Veit", "given" : "Johannes A", "non-dropping-particle" : "", "parse-names" : false, "suffix" : "" }, { "dropping-particle" : "", "family" : "Bassi", "given" : "Claudio", "non-dropping-particle" : "", "parse-names" : false, "suffix" : "" }, { "dropping-particle" : "", "family" : "Dervenis", "given" : "Christos", "non-dropping-particle" : "", "parse-names" : false, "suffix" : "" } ], "container-title" : "Surgery", "id" : "ITEM-2", "issue" : "1", "issued" : { "date-parts" : [ [ "2007" ] ] }, "page" : "20-25", "title" : "Postpancreatectomy hemorrhage ( PPH )\u2013 An International Study Group of Pancreatic Surgery ( ISGPS ) definition", "type" : "article-journal", "volume" : "142" }, "uris" : [ "http://www.mendeley.com/documents/?uuid=df44ad02-b772-4e01-95a2-bf0de5adffaa" ] }, { "id" : "ITEM-3", "itemData" : { "DOI" : "10.1016/j.surg.2016.11.014", "ISSN" : "15327361", "PMID" : "28040257", "abstract" : "Background In 2005, the International Study Group of Pancreatic Fistula developed a definition and grading of postoperative pancreatic fistula that has been accepted universally. Eleven years later, because postoperative pancreatic fistula remains one of the most relevant and harmful complications of pancreatic operation, the International Study Group of Pancreatic Fistula classification has become the gold standard in defining postoperative pancreatic fistula in clinical practice. The aim of the present report is to verify the value of the International Study Group of Pancreatic Fistula definition and grading of postoperative pancreatic fistula and to update the International Study Group of Pancreatic Fistula classification in light of recent evidence that has emerged, as well as to address the lingering controversies about the original definition and grading of postoperative pancreatic fistula. Methods The International Study Group of Pancreatic Fistula reconvened as the International Study Group in Pancreatic Surgery in order to perform a review of the recent literature and consequently to update and revise the grading system of postoperative pancreatic fistula. Results Based on the literature since 2005 investigating the validity and clinical use of the original International Study Group of Pancreatic Fistula classification, a clinically relevant postoperative pancreatic fistula is now redefined as a drain output of any measurable volume of fluid with an amylase level &gt;3 times the upper limit of institutional normal serum amylase activity, associated with a clinically relevant development/condition related directly to the postoperative pancreatic fistula. Consequently, the former \u201cgrade A postoperative pancreatic fistula\u201d is now redefined and called a \u201cbiochemical leak,\u201d because it has no clinical importance and is no longer referred to a true pancreatic fistula. Postoperative pancreatic fistula grades B and C are confirmed but defined more strictly. In particular, grade B requires a change in the postoperative management; drains are either left in place &gt;3 weeks or repositioned through endoscopic or percutaneous procedures. Grade C postoperative pancreatic fistula refers to those postoperative pancreatic fistula that require reoperation or lead to single or multiple organ failure and/or mortality attributable to the pancreatic fistula. Conclusion This new definition and grading system of postoperative pancreatic fistula should lead to a more univer\u2026", "author" : [ { "dropping-particle" : "", "family" : "Bassi", "given" : "Claudio", "non-dropping-particle" : "", "parse-names" : false, "suffix" : "" }, { "dropping-particle" : "", "family" : "Marchegiani", "given" : "Giovanni", "non-dropping-particle" : "", "parse-names" : false, "suffix" : "" }, { "dropping-particle" : "", "family" : "Dervenis", "given" : "Christos", "non-dropping-particle" : "", "parse-names" : false, "suffix" : "" }, { "dropping-particle" : "", "family" : "Sarr", "given" : "Micheal", "non-dropping-particle" : "", "parse-names" : false, "suffix" : "" }, { "dropping-particle" : "", "family" : "Abu Hilal", "given" : "Mohammad", "non-dropping-particle" : "", "parse-names" : false, "suffix" : "" }, { "dropping-particle" : "", "family" : "Adham", "given" : "Mustapha", "non-dropping-particle" : "", "parse-names" : false, "suffix" : "" }, { "dropping-particle" : "", "family" : "Allen", "given" : "Peter", "non-dropping-particle" : "", "parse-names" : false, "suffix" : "" }, { "dropping-particle" : "", "family" : "Andersson", "given" : "Roland", "non-dropping-particle" : "", "parse-names" : false, "suffix" : "" }, { "dropping-particle" : "", "family" : "Asbun", "given" : "Horacio J.", "non-dropping-particle" : "", "parse-names" : false, "suffix" : "" }, { "dropping-particle" : "", "family" : "Besselink", "given" : "Marc G.", "non-dropping-particle" : "", "parse-names" : false, "suffix" : "" }, { "dropping-particle" : "", "family" : "Conlon", "given" : "Kevin", "non-dropping-particle" : "", "parse-names" : false, "suffix" : "" }, { "dropping-particle" : "", "family" : "Chiaro", "given" : "Marco", "non-dropping-particle" : "Del", "parse-names" : false, "suffix" : "" }, { "dropping-particle" : "", "family" : "Falconi", "given" : "Massimo", "non-dropping-particle" : "", "parse-names" : false, "suffix" : "" }, { "dropping-particle" : "", "family" : "Fernandez-Cruz", "given" : "Laureano", "non-dropping-particle" : "", "parse-names" : false, "suffix" : "" }, { "dropping-particle" : "", "family" : "Fernandez-del Castillo", "given" : "Carlos", "non-dropping-particle" : "", "parse-names" : false, "suffix" : "" }, { "dropping-particle" : "", "family" : "Fingerhut", "given" : "Abe", "non-dropping-particle" : "", "parse-names" : false, "suffix" : "" }, { "dropping-particle" : "", "family" : "Friess", "given" : "Helmut", "non-dropping-particle" : "", "parse-names" : false, "suffix" : "" }, { "dropping-particle" : "", "family" : "Gouma", "given" : "Dirk J.", "non-dropping-particle" : "", "parse-names" : false, "suffix" : "" }, { "dropping-particle" : "", "family" : "Hackert", "given" : "Thilo", "non-dropping-particle" : "", "parse-names" : false, "suffix" : "" }, { "dropping-particle" : "", "family" : "Izbicki", "given" : "Jakob", "non-dropping-particle" : "", "parse-names" : false, "suffix" : "" }, { "dropping-particle" : "", "family" : "Lillemoe", "given" : "Keith D.", "non-dropping-particle" : "", "parse-names" : false, "suffix" : "" }, { "dropping-particle" : "", "family" : "Neoptolemos", "given" : "John P.", "non-dropping-particle" : "", "parse-names" : false, "suffix" : "" }, { "dropping-particle" : "", "family" : "Olah", "given" : "Attila", "non-dropping-particle" : "", "parse-names" : false, "suffix" : "" }, { "dropping-particle" : "", "family" : "Schulick", "given" : "Richard", "non-dropping-particle" : "", "parse-names" : false, "suffix" : "" }, { "dropping-particle" : "V.", "family" : "Shrikhande", "given" : "Shailesh", "non-dropping-particle" : "", "parse-names" : false, "suffix" : "" }, { "dropping-particle" : "", "family" : "Takada", "given" : "Tadahiro", "non-dropping-particle" : "", "parse-names" : false, "suffix" : "" }, { "dropping-particle" : "", "family" : "Takaori", "given" : "Kyoichi", "non-dropping-particle" : "", "parse-names" : false, "suffix" : "" }, { "dropping-particle" : "", "family" : "Traverso", "given" : "William", "non-dropping-particle" : "", "parse-names" : false, "suffix" : "" }, { "dropping-particle" : "", "family" : "Vollmer", "given" : "Charles R.", "non-dropping-particle" : "", "parse-names" : false, "suffix" : "" }, { "dropping-particle" : "", "family" : "Wolfgang", "given" : "Christopher L.", "non-dropping-particle" : "", "parse-names" : false, "suffix" : "" }, { "dropping-particle" : "", "family" : "Yeo", "given" : "Charles J.", "non-dropping-particle" : "", "parse-names" : false, "suffix" : "" }, { "dropping-particle" : "", "family" : "Salvia", "given" : "Roberto", "non-dropping-particle" : "", "parse-names" : false, "suffix" : "" }, { "dropping-particle" : "", "family" : "Buchler", "given" : "Marcus", "non-dropping-particle" : "", "parse-names" : false, "suffix" : "" } ], "container-title" : "Surgery", "id" : "ITEM-3", "issue" : "3", "issued" : { "date-parts" : [ [ "2017" ] ] }, "page" : "584-591", "publisher" : "Elsevier Inc.", "title" : "The 2016 update of the International Study Group (ISGPS) definition and grading of postoperative pancreatic fistula: 11 Years After", "type" : "article-journal", "volume" : "161" }, "uris" : [ "http://www.mendeley.com/documents/?uuid=aea99b46-79d1-4449-914f-501e8d539f30" ] } ], "mendeley" : { "formattedCitation" : "&lt;sup&gt;15\u201317&lt;/sup&gt;", "plainTextFormattedCitation" : "15\u201317", "previouslyFormattedCitation" : "&lt;sup&gt;15\u201317&lt;/sup&gt;" }, "properties" : {  }, "schema" : "https://github.com/citation-style-language/schema/raw/master/csl-citation.json" }</w:instrText>
      </w:r>
      <w:r w:rsidR="00FA7995" w:rsidRPr="00806A80">
        <w:rPr>
          <w:rFonts w:asciiTheme="minorHAnsi" w:hAnsiTheme="minorHAnsi"/>
          <w:sz w:val="20"/>
          <w:szCs w:val="20"/>
        </w:rPr>
        <w:fldChar w:fldCharType="separate"/>
      </w:r>
      <w:r w:rsidR="00202543" w:rsidRPr="00202543">
        <w:rPr>
          <w:rFonts w:asciiTheme="minorHAnsi" w:hAnsiTheme="minorHAnsi"/>
          <w:noProof/>
          <w:sz w:val="20"/>
          <w:szCs w:val="20"/>
          <w:vertAlign w:val="superscript"/>
        </w:rPr>
        <w:t>15–17</w:t>
      </w:r>
      <w:r w:rsidR="00FA7995" w:rsidRPr="00806A80">
        <w:rPr>
          <w:rFonts w:asciiTheme="minorHAnsi" w:hAnsiTheme="minorHAnsi"/>
          <w:sz w:val="20"/>
          <w:szCs w:val="20"/>
        </w:rPr>
        <w:fldChar w:fldCharType="end"/>
      </w:r>
      <w:r w:rsidR="00E847F7">
        <w:rPr>
          <w:rFonts w:asciiTheme="minorHAnsi" w:hAnsiTheme="minorHAnsi"/>
          <w:sz w:val="20"/>
          <w:szCs w:val="20"/>
        </w:rPr>
        <w:br w:type="page"/>
      </w:r>
    </w:p>
    <w:p w:rsidR="00E847F7" w:rsidRDefault="00DC346F" w:rsidP="00B161E8">
      <w:pPr>
        <w:spacing w:line="240" w:lineRule="auto"/>
        <w:ind w:firstLine="0"/>
        <w:rPr>
          <w:rFonts w:asciiTheme="minorHAnsi" w:eastAsia="Times New Roman" w:hAnsiTheme="minorHAnsi"/>
          <w:color w:val="000000"/>
          <w:sz w:val="20"/>
          <w:szCs w:val="20"/>
          <w:lang w:eastAsia="nl-NL"/>
        </w:rPr>
      </w:pPr>
      <w:r>
        <w:rPr>
          <w:rFonts w:asciiTheme="minorHAnsi" w:eastAsia="Times New Roman" w:hAnsiTheme="minorHAnsi"/>
          <w:color w:val="000000"/>
          <w:sz w:val="20"/>
          <w:szCs w:val="20"/>
          <w:lang w:eastAsia="nl-NL"/>
        </w:rPr>
        <w:lastRenderedPageBreak/>
        <w:t>SUPPLEMENT 3</w:t>
      </w:r>
      <w:r w:rsidR="00E847F7">
        <w:rPr>
          <w:rFonts w:asciiTheme="minorHAnsi" w:eastAsia="Times New Roman" w:hAnsiTheme="minorHAnsi"/>
          <w:color w:val="000000"/>
          <w:sz w:val="20"/>
          <w:szCs w:val="20"/>
          <w:lang w:eastAsia="nl-NL"/>
        </w:rPr>
        <w:t xml:space="preserve">. RISK SCORE </w:t>
      </w:r>
      <w:r w:rsidR="00C23529">
        <w:rPr>
          <w:rFonts w:asciiTheme="minorHAnsi" w:eastAsia="Times New Roman" w:hAnsiTheme="minorHAnsi"/>
          <w:color w:val="000000"/>
          <w:sz w:val="20"/>
          <w:szCs w:val="20"/>
          <w:lang w:eastAsia="nl-NL"/>
        </w:rPr>
        <w:t>PERFORMANCE IN THE DESIGN DATABASE (N=1661)</w:t>
      </w:r>
    </w:p>
    <w:p w:rsidR="00565F3A" w:rsidRDefault="00565F3A" w:rsidP="00B161E8">
      <w:pPr>
        <w:spacing w:line="240" w:lineRule="auto"/>
        <w:ind w:firstLine="0"/>
        <w:rPr>
          <w:rFonts w:asciiTheme="minorHAnsi" w:eastAsia="Times New Roman" w:hAnsiTheme="minorHAnsi"/>
          <w:color w:val="000000"/>
          <w:sz w:val="20"/>
          <w:szCs w:val="20"/>
          <w:lang w:eastAsia="nl-NL"/>
        </w:rPr>
      </w:pPr>
    </w:p>
    <w:p w:rsidR="00565F3A" w:rsidRDefault="00565F3A" w:rsidP="00A60483">
      <w:pPr>
        <w:rPr>
          <w:lang w:eastAsia="nl-NL"/>
        </w:rPr>
      </w:pPr>
      <w:r>
        <w:rPr>
          <w:lang w:eastAsia="nl-NL"/>
        </w:rPr>
        <w:t>The ori</w:t>
      </w:r>
      <w:r w:rsidR="00A60483">
        <w:rPr>
          <w:lang w:eastAsia="nl-NL"/>
        </w:rPr>
        <w:t>ginal design database contained</w:t>
      </w:r>
      <w:r>
        <w:rPr>
          <w:lang w:eastAsia="nl-NL"/>
        </w:rPr>
        <w:t xml:space="preserve"> 1661 distal pancreatectomy cases without arterial resection </w:t>
      </w:r>
      <w:r w:rsidR="00A60483">
        <w:rPr>
          <w:lang w:eastAsia="nl-NL"/>
        </w:rPr>
        <w:t xml:space="preserve">and </w:t>
      </w:r>
      <w:r>
        <w:rPr>
          <w:lang w:eastAsia="nl-NL"/>
        </w:rPr>
        <w:t>comprised the 2014 pancreas-targeted ACS-NS</w:t>
      </w:r>
      <w:r w:rsidR="00A60483">
        <w:rPr>
          <w:lang w:eastAsia="nl-NL"/>
        </w:rPr>
        <w:t>Q</w:t>
      </w:r>
      <w:r>
        <w:rPr>
          <w:lang w:eastAsia="nl-NL"/>
        </w:rPr>
        <w:t>IP® (</w:t>
      </w:r>
      <w:hyperlink r:id="rId8" w:history="1">
        <w:r w:rsidRPr="003525C4">
          <w:rPr>
            <w:rStyle w:val="Hyperlink"/>
            <w:rFonts w:asciiTheme="minorHAnsi" w:eastAsia="Times New Roman" w:hAnsiTheme="minorHAnsi"/>
            <w:sz w:val="20"/>
            <w:szCs w:val="20"/>
            <w:lang w:eastAsia="nl-NL"/>
          </w:rPr>
          <w:t>https://www.facs.org/quality-programs/acs-nsqip</w:t>
        </w:r>
      </w:hyperlink>
      <w:r>
        <w:rPr>
          <w:lang w:eastAsia="nl-NL"/>
        </w:rPr>
        <w:t xml:space="preserve">), an institutional database at BIDMC (2006-2015), and data from a mandatory registry among 17 Dutch Pancreatic Cancer Group centers (2005-2015). Inclusion criteria were: age 18 or over, surgical indication for solid tumors or cysts, open-, laparoscopic-, or robot-assisted resection. Patients were excluded in case of chronic pancreatitis as only diagnosis, arterial resection, or unrelated multivisceral resection. The primary outcome was composite major morbidity, a composite 30-day outcome comprising </w:t>
      </w:r>
      <w:r w:rsidRPr="00565F3A">
        <w:rPr>
          <w:lang w:eastAsia="nl-NL"/>
        </w:rPr>
        <w:t>death, reoperation related to the index procedure, pancreatic fistula requiring non-surgical or surgical re-intervention, postoperative organ space surgical site infection, pulmonary embolism, stroke or cerebrovascular accident, myocardial infarction or cardiac arrest requiring cardiopulmonary resuscitation, septic shock, or length of initial hospital stay above the 90th percentile of the appropriate population (≥10 days in NSQIP® and BIDMC; ≥16 days in DPCG).</w:t>
      </w:r>
      <w:r>
        <w:rPr>
          <w:lang w:eastAsia="nl-NL"/>
        </w:rPr>
        <w:t xml:space="preserve">  </w:t>
      </w:r>
    </w:p>
    <w:p w:rsidR="00A60483" w:rsidRDefault="00565F3A" w:rsidP="003D396B">
      <w:pPr>
        <w:rPr>
          <w:lang w:eastAsia="nl-NL"/>
        </w:rPr>
      </w:pPr>
      <w:r>
        <w:rPr>
          <w:lang w:eastAsia="nl-NL"/>
        </w:rPr>
        <w:t>A prediction model for composite major morbidity was designed using purposeful selection</w:t>
      </w:r>
      <w:r w:rsidR="00A60483">
        <w:rPr>
          <w:lang w:eastAsia="nl-NL"/>
        </w:rPr>
        <w:t xml:space="preserve"> (including a univariate screen)</w:t>
      </w:r>
      <w:r>
        <w:rPr>
          <w:lang w:eastAsia="nl-NL"/>
        </w:rPr>
        <w:t xml:space="preserve"> </w:t>
      </w:r>
      <w:r w:rsidR="00A60483">
        <w:rPr>
          <w:lang w:eastAsia="nl-NL"/>
        </w:rPr>
        <w:t>with</w:t>
      </w:r>
      <w:r>
        <w:rPr>
          <w:lang w:eastAsia="nl-NL"/>
        </w:rPr>
        <w:t xml:space="preserve"> logistic regression. </w:t>
      </w:r>
      <w:r w:rsidR="00A60483">
        <w:rPr>
          <w:lang w:eastAsia="nl-NL"/>
        </w:rPr>
        <w:t xml:space="preserve">The model was designed in NSQIP® and cross-validated consecutively using the BIDMC and DPCG data. Validated risk factors were </w:t>
      </w:r>
      <w:r w:rsidR="00A60483" w:rsidRPr="00A60483">
        <w:rPr>
          <w:lang w:eastAsia="nl-NL"/>
        </w:rPr>
        <w:t xml:space="preserve">minimally-invasive surgery (OR 0.61, CI 0.44-0.79), age (per decade; OR 1.12, CI 1.00-1.24), body mass index (per increment of 10; OR 1.48, CI 1.18-1.90), male sex (OR 2.41, CI 1.60-3.33), females with American Society of Anesthesiologists classification 3 or 4 (OR 1.69, CI 1.07-2.41), and intraductal papillary mucinous neoplasm (OR 0.61, CI 0.37-0.96). </w:t>
      </w:r>
      <w:r w:rsidR="00A60483">
        <w:rPr>
          <w:lang w:eastAsia="nl-NL"/>
        </w:rPr>
        <w:t xml:space="preserve">Multivisceral resection (OR 1.52, CI 0.99-2.46) was included because it’s know association with postoperative morbidity. Below, we </w:t>
      </w:r>
      <w:r w:rsidR="003D396B">
        <w:rPr>
          <w:lang w:eastAsia="nl-NL"/>
        </w:rPr>
        <w:t xml:space="preserve">present the model performance with outcomes 30-day composite major morbidity (Figure 3A, 3B) and </w:t>
      </w:r>
      <w:r w:rsidR="00A60483">
        <w:rPr>
          <w:lang w:eastAsia="nl-NL"/>
        </w:rPr>
        <w:t xml:space="preserve">30-day mortality (Figure 3C, 3D). </w:t>
      </w:r>
    </w:p>
    <w:p w:rsidR="00A60483" w:rsidRDefault="00A60483" w:rsidP="00A60483">
      <w:pPr>
        <w:rPr>
          <w:rFonts w:asciiTheme="minorHAnsi" w:eastAsia="Times New Roman" w:hAnsiTheme="minorHAnsi"/>
          <w:color w:val="000000"/>
          <w:sz w:val="20"/>
          <w:szCs w:val="20"/>
          <w:lang w:eastAsia="nl-NL"/>
        </w:rPr>
      </w:pPr>
      <w:r>
        <w:rPr>
          <w:rFonts w:asciiTheme="minorHAnsi" w:eastAsia="Times New Roman" w:hAnsiTheme="minorHAnsi"/>
          <w:color w:val="000000"/>
          <w:sz w:val="20"/>
          <w:szCs w:val="20"/>
          <w:lang w:eastAsia="nl-NL"/>
        </w:rPr>
        <w:br w:type="page"/>
      </w:r>
    </w:p>
    <w:p w:rsidR="00E847F7" w:rsidRDefault="00DC346F" w:rsidP="00B161E8">
      <w:pPr>
        <w:spacing w:line="240" w:lineRule="auto"/>
        <w:ind w:firstLine="0"/>
        <w:rPr>
          <w:rFonts w:asciiTheme="minorHAnsi" w:eastAsia="Times New Roman" w:hAnsiTheme="minorHAnsi"/>
          <w:color w:val="000000"/>
          <w:sz w:val="20"/>
          <w:szCs w:val="20"/>
          <w:lang w:eastAsia="nl-NL"/>
        </w:rPr>
      </w:pPr>
      <w:r>
        <w:rPr>
          <w:rFonts w:asciiTheme="minorHAnsi" w:eastAsia="Times New Roman" w:hAnsiTheme="minorHAnsi"/>
          <w:color w:val="000000"/>
          <w:sz w:val="20"/>
          <w:szCs w:val="20"/>
          <w:lang w:eastAsia="nl-NL"/>
        </w:rPr>
        <w:lastRenderedPageBreak/>
        <w:t>3</w:t>
      </w:r>
      <w:r w:rsidR="004460D8">
        <w:rPr>
          <w:rFonts w:asciiTheme="minorHAnsi" w:eastAsia="Times New Roman" w:hAnsiTheme="minorHAnsi"/>
          <w:color w:val="000000"/>
          <w:sz w:val="20"/>
          <w:szCs w:val="20"/>
          <w:lang w:eastAsia="nl-NL"/>
        </w:rPr>
        <w:t>A</w:t>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Pr>
          <w:rFonts w:asciiTheme="minorHAnsi" w:eastAsia="Times New Roman" w:hAnsiTheme="minorHAnsi"/>
          <w:color w:val="000000"/>
          <w:sz w:val="20"/>
          <w:szCs w:val="20"/>
          <w:lang w:eastAsia="nl-NL"/>
        </w:rPr>
        <w:t>3</w:t>
      </w:r>
      <w:r w:rsidR="004460D8">
        <w:rPr>
          <w:rFonts w:asciiTheme="minorHAnsi" w:eastAsia="Times New Roman" w:hAnsiTheme="minorHAnsi"/>
          <w:color w:val="000000"/>
          <w:sz w:val="20"/>
          <w:szCs w:val="20"/>
          <w:lang w:eastAsia="nl-NL"/>
        </w:rPr>
        <w:t>B</w:t>
      </w:r>
    </w:p>
    <w:p w:rsidR="00E847F7" w:rsidRDefault="00E847F7" w:rsidP="00B161E8">
      <w:pPr>
        <w:spacing w:line="240" w:lineRule="auto"/>
        <w:ind w:firstLine="0"/>
        <w:rPr>
          <w:rFonts w:asciiTheme="minorHAnsi" w:eastAsia="Times New Roman" w:hAnsiTheme="minorHAnsi"/>
          <w:color w:val="000000"/>
          <w:sz w:val="20"/>
          <w:szCs w:val="20"/>
          <w:lang w:eastAsia="nl-NL"/>
        </w:rPr>
      </w:pPr>
      <w:r>
        <w:rPr>
          <w:noProof/>
          <w:lang w:val="en-IN" w:eastAsia="en-IN"/>
        </w:rPr>
        <w:drawing>
          <wp:inline distT="0" distB="0" distL="0" distR="0">
            <wp:extent cx="2406937" cy="2159164"/>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7869" cy="2160000"/>
                    </a:xfrm>
                    <a:prstGeom prst="rect">
                      <a:avLst/>
                    </a:prstGeom>
                    <a:noFill/>
                    <a:extLst/>
                  </pic:spPr>
                </pic:pic>
              </a:graphicData>
            </a:graphic>
          </wp:inline>
        </w:drawing>
      </w:r>
      <w:r>
        <w:rPr>
          <w:noProof/>
          <w:lang w:val="en-IN" w:eastAsia="en-IN"/>
        </w:rPr>
        <w:drawing>
          <wp:inline distT="0" distB="0" distL="0" distR="0">
            <wp:extent cx="1934988" cy="2159164"/>
            <wp:effectExtent l="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409" r="14960"/>
                    <a:stretch/>
                  </pic:blipFill>
                  <pic:spPr bwMode="auto">
                    <a:xfrm>
                      <a:off x="0" y="0"/>
                      <a:ext cx="1934988" cy="215916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847F7" w:rsidRDefault="00E847F7" w:rsidP="00B161E8">
      <w:pPr>
        <w:spacing w:line="240" w:lineRule="auto"/>
        <w:ind w:firstLine="0"/>
        <w:rPr>
          <w:rFonts w:asciiTheme="minorHAnsi" w:eastAsia="Times New Roman" w:hAnsiTheme="minorHAnsi"/>
          <w:color w:val="000000"/>
          <w:sz w:val="20"/>
          <w:szCs w:val="20"/>
          <w:lang w:eastAsia="nl-NL"/>
        </w:rPr>
      </w:pPr>
    </w:p>
    <w:p w:rsidR="00E847F7" w:rsidRDefault="00DC346F" w:rsidP="00B161E8">
      <w:pPr>
        <w:spacing w:line="240" w:lineRule="auto"/>
        <w:ind w:firstLine="0"/>
        <w:rPr>
          <w:rFonts w:asciiTheme="minorHAnsi" w:eastAsia="Times New Roman" w:hAnsiTheme="minorHAnsi"/>
          <w:color w:val="000000"/>
          <w:sz w:val="20"/>
          <w:szCs w:val="20"/>
          <w:lang w:eastAsia="nl-NL"/>
        </w:rPr>
      </w:pPr>
      <w:r>
        <w:rPr>
          <w:rFonts w:asciiTheme="minorHAnsi" w:eastAsia="Times New Roman" w:hAnsiTheme="minorHAnsi"/>
          <w:color w:val="000000"/>
          <w:sz w:val="20"/>
          <w:szCs w:val="20"/>
          <w:lang w:eastAsia="nl-NL"/>
        </w:rPr>
        <w:t>3</w:t>
      </w:r>
      <w:r w:rsidR="004460D8">
        <w:rPr>
          <w:rFonts w:asciiTheme="minorHAnsi" w:eastAsia="Times New Roman" w:hAnsiTheme="minorHAnsi"/>
          <w:color w:val="000000"/>
          <w:sz w:val="20"/>
          <w:szCs w:val="20"/>
          <w:lang w:eastAsia="nl-NL"/>
        </w:rPr>
        <w:t>C</w:t>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sidR="004460D8">
        <w:rPr>
          <w:rFonts w:asciiTheme="minorHAnsi" w:eastAsia="Times New Roman" w:hAnsiTheme="minorHAnsi"/>
          <w:color w:val="000000"/>
          <w:sz w:val="20"/>
          <w:szCs w:val="20"/>
          <w:lang w:eastAsia="nl-NL"/>
        </w:rPr>
        <w:tab/>
      </w:r>
      <w:r>
        <w:rPr>
          <w:rFonts w:asciiTheme="minorHAnsi" w:eastAsia="Times New Roman" w:hAnsiTheme="minorHAnsi"/>
          <w:color w:val="000000"/>
          <w:sz w:val="20"/>
          <w:szCs w:val="20"/>
          <w:lang w:eastAsia="nl-NL"/>
        </w:rPr>
        <w:t>3</w:t>
      </w:r>
      <w:r w:rsidR="004460D8">
        <w:rPr>
          <w:rFonts w:asciiTheme="minorHAnsi" w:eastAsia="Times New Roman" w:hAnsiTheme="minorHAnsi"/>
          <w:color w:val="000000"/>
          <w:sz w:val="20"/>
          <w:szCs w:val="20"/>
          <w:lang w:eastAsia="nl-NL"/>
        </w:rPr>
        <w:t>D</w:t>
      </w:r>
    </w:p>
    <w:p w:rsidR="006C7888" w:rsidRDefault="006C7888" w:rsidP="00B161E8">
      <w:pPr>
        <w:spacing w:line="240" w:lineRule="auto"/>
        <w:ind w:firstLine="0"/>
        <w:rPr>
          <w:noProof/>
        </w:rPr>
      </w:pPr>
      <w:r>
        <w:rPr>
          <w:noProof/>
          <w:lang w:val="en-IN" w:eastAsia="en-IN"/>
        </w:rPr>
        <w:drawing>
          <wp:inline distT="0" distB="0" distL="0" distR="0">
            <wp:extent cx="2410691" cy="2156813"/>
            <wp:effectExtent l="0" t="0" r="889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4253" cy="2160000"/>
                    </a:xfrm>
                    <a:prstGeom prst="rect">
                      <a:avLst/>
                    </a:prstGeom>
                    <a:noFill/>
                    <a:extLst/>
                  </pic:spPr>
                </pic:pic>
              </a:graphicData>
            </a:graphic>
          </wp:inline>
        </w:drawing>
      </w:r>
      <w:r w:rsidRPr="006C7888">
        <w:rPr>
          <w:noProof/>
        </w:rPr>
        <w:t xml:space="preserve"> </w:t>
      </w:r>
      <w:r>
        <w:rPr>
          <w:noProof/>
          <w:lang w:val="en-IN" w:eastAsia="en-IN"/>
        </w:rPr>
        <w:drawing>
          <wp:inline distT="0" distB="0" distL="0" distR="0">
            <wp:extent cx="1746209" cy="2079755"/>
            <wp:effectExtent l="0" t="0" r="698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633" r="17994"/>
                    <a:stretch/>
                  </pic:blipFill>
                  <pic:spPr bwMode="auto">
                    <a:xfrm>
                      <a:off x="0" y="0"/>
                      <a:ext cx="1746209" cy="20797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7888" w:rsidRDefault="006C7888" w:rsidP="00B161E8">
      <w:pPr>
        <w:spacing w:line="240" w:lineRule="auto"/>
        <w:ind w:firstLine="0"/>
        <w:rPr>
          <w:noProof/>
        </w:rPr>
      </w:pPr>
    </w:p>
    <w:p w:rsidR="006C7888" w:rsidRDefault="006C7888" w:rsidP="00B161E8">
      <w:pPr>
        <w:spacing w:line="240" w:lineRule="auto"/>
        <w:ind w:firstLine="0"/>
        <w:rPr>
          <w:rFonts w:asciiTheme="minorHAnsi" w:eastAsia="Times New Roman" w:hAnsiTheme="minorHAnsi"/>
          <w:color w:val="000000"/>
          <w:sz w:val="20"/>
          <w:szCs w:val="20"/>
          <w:lang w:eastAsia="nl-NL"/>
        </w:rPr>
      </w:pPr>
    </w:p>
    <w:p w:rsidR="00566FBD" w:rsidRDefault="00930FAD" w:rsidP="00A60483">
      <w:pPr>
        <w:ind w:firstLine="0"/>
        <w:rPr>
          <w:lang w:eastAsia="nl-NL"/>
        </w:rPr>
      </w:pPr>
      <w:r w:rsidRPr="0067578C">
        <w:rPr>
          <w:lang w:eastAsia="nl-NL"/>
        </w:rPr>
        <w:t xml:space="preserve">CAPTION: </w:t>
      </w:r>
      <w:r>
        <w:rPr>
          <w:lang w:eastAsia="nl-NL"/>
        </w:rPr>
        <w:t>Validation of the risk prediction model in 1661</w:t>
      </w:r>
      <w:r w:rsidR="007366C5">
        <w:rPr>
          <w:lang w:eastAsia="nl-NL"/>
        </w:rPr>
        <w:t xml:space="preserve"> distal pancreatectomy</w:t>
      </w:r>
      <w:r>
        <w:rPr>
          <w:lang w:eastAsia="nl-NL"/>
        </w:rPr>
        <w:t xml:space="preserve"> pat</w:t>
      </w:r>
      <w:r w:rsidR="00544CF7">
        <w:rPr>
          <w:lang w:eastAsia="nl-NL"/>
        </w:rPr>
        <w:t xml:space="preserve">ients from the design dataset. </w:t>
      </w:r>
      <w:r>
        <w:rPr>
          <w:lang w:eastAsia="nl-NL"/>
        </w:rPr>
        <w:t xml:space="preserve">A. </w:t>
      </w:r>
      <w:r w:rsidR="004460D8">
        <w:rPr>
          <w:lang w:eastAsia="nl-NL"/>
        </w:rPr>
        <w:t xml:space="preserve">Receiver-operator-curves (ROC) for </w:t>
      </w:r>
      <w:r>
        <w:rPr>
          <w:lang w:eastAsia="nl-NL"/>
        </w:rPr>
        <w:t>major morbidity (</w:t>
      </w:r>
      <w:r w:rsidR="004460D8">
        <w:rPr>
          <w:lang w:eastAsia="nl-NL"/>
        </w:rPr>
        <w:t>AUC</w:t>
      </w:r>
      <w:r>
        <w:rPr>
          <w:lang w:eastAsia="nl-NL"/>
        </w:rPr>
        <w:t xml:space="preserve"> 0.66, CI</w:t>
      </w:r>
      <w:r w:rsidR="004460D8">
        <w:rPr>
          <w:lang w:eastAsia="nl-NL"/>
        </w:rPr>
        <w:t>:</w:t>
      </w:r>
      <w:r>
        <w:rPr>
          <w:lang w:eastAsia="nl-NL"/>
        </w:rPr>
        <w:t xml:space="preserve"> 0.62-0.69)</w:t>
      </w:r>
      <w:r w:rsidR="004460D8">
        <w:rPr>
          <w:lang w:eastAsia="nl-NL"/>
        </w:rPr>
        <w:t>;</w:t>
      </w:r>
      <w:r>
        <w:rPr>
          <w:lang w:eastAsia="nl-NL"/>
        </w:rPr>
        <w:t xml:space="preserve"> B</w:t>
      </w:r>
      <w:r w:rsidR="004460D8">
        <w:rPr>
          <w:lang w:eastAsia="nl-NL"/>
        </w:rPr>
        <w:t>.</w:t>
      </w:r>
      <w:r>
        <w:rPr>
          <w:lang w:eastAsia="nl-NL"/>
        </w:rPr>
        <w:t xml:space="preserve"> Calibration </w:t>
      </w:r>
      <w:r w:rsidR="00544CF7">
        <w:rPr>
          <w:lang w:eastAsia="nl-NL"/>
        </w:rPr>
        <w:t xml:space="preserve">curve for major morbidity; </w:t>
      </w:r>
      <w:r w:rsidR="004460D8">
        <w:rPr>
          <w:lang w:eastAsia="nl-NL"/>
        </w:rPr>
        <w:t xml:space="preserve">C. Receiver-operator-curves (ROC) for mortality </w:t>
      </w:r>
      <w:r w:rsidR="00544CF7">
        <w:rPr>
          <w:lang w:eastAsia="nl-NL"/>
        </w:rPr>
        <w:t xml:space="preserve">(AUC 0.71, CI: 0.63-0.80); </w:t>
      </w:r>
      <w:r w:rsidR="004460D8">
        <w:rPr>
          <w:lang w:eastAsia="nl-NL"/>
        </w:rPr>
        <w:t xml:space="preserve">D. Calibration curve for mortality. </w:t>
      </w:r>
    </w:p>
    <w:p w:rsidR="00566FBD" w:rsidRDefault="00566FBD">
      <w:pPr>
        <w:spacing w:line="240" w:lineRule="auto"/>
        <w:ind w:firstLine="0"/>
        <w:rPr>
          <w:lang w:eastAsia="nl-NL"/>
        </w:rPr>
      </w:pPr>
      <w:r>
        <w:rPr>
          <w:lang w:eastAsia="nl-NL"/>
        </w:rPr>
        <w:br w:type="page"/>
      </w:r>
    </w:p>
    <w:p w:rsidR="00566FBD" w:rsidRDefault="00566FBD" w:rsidP="00566FBD">
      <w:pPr>
        <w:ind w:firstLine="0"/>
        <w:rPr>
          <w:rFonts w:asciiTheme="minorHAnsi" w:hAnsiTheme="minorHAnsi"/>
        </w:rPr>
      </w:pPr>
      <w:r>
        <w:rPr>
          <w:rFonts w:asciiTheme="minorHAnsi" w:hAnsiTheme="minorHAnsi"/>
        </w:rPr>
        <w:lastRenderedPageBreak/>
        <w:t>SUPPLEMENT</w:t>
      </w:r>
      <w:r w:rsidRPr="0067578C">
        <w:rPr>
          <w:rFonts w:asciiTheme="minorHAnsi" w:hAnsiTheme="minorHAnsi"/>
        </w:rPr>
        <w:t xml:space="preserve"> </w:t>
      </w:r>
      <w:r>
        <w:rPr>
          <w:rFonts w:asciiTheme="minorHAnsi" w:hAnsiTheme="minorHAnsi"/>
        </w:rPr>
        <w:t>4</w:t>
      </w:r>
      <w:r w:rsidRPr="0067578C">
        <w:rPr>
          <w:rFonts w:asciiTheme="minorHAnsi" w:hAnsiTheme="minorHAnsi"/>
        </w:rPr>
        <w:t xml:space="preserve">. </w:t>
      </w:r>
      <w:r>
        <w:rPr>
          <w:rFonts w:asciiTheme="minorHAnsi" w:hAnsiTheme="minorHAnsi"/>
        </w:rPr>
        <w:t>CALIBRATION PLOT FOR 90-DAY MORTALITY PREDICTION</w:t>
      </w:r>
    </w:p>
    <w:p w:rsidR="00566FBD" w:rsidRDefault="00566FBD" w:rsidP="00566FBD">
      <w:pPr>
        <w:ind w:firstLine="0"/>
        <w:rPr>
          <w:noProof/>
        </w:rPr>
      </w:pPr>
      <w:r w:rsidRPr="00A3569C">
        <w:rPr>
          <w:rFonts w:asciiTheme="minorHAnsi" w:hAnsiTheme="minorHAnsi"/>
          <w:noProof/>
          <w:lang w:val="en-IN" w:eastAsia="en-IN"/>
        </w:rPr>
        <w:drawing>
          <wp:inline distT="0" distB="0" distL="0" distR="0">
            <wp:extent cx="3932555" cy="2860040"/>
            <wp:effectExtent l="0" t="0" r="4445"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35667" cy="2862303"/>
                    </a:xfrm>
                    <a:prstGeom prst="rect">
                      <a:avLst/>
                    </a:prstGeom>
                  </pic:spPr>
                </pic:pic>
              </a:graphicData>
            </a:graphic>
          </wp:inline>
        </w:drawing>
      </w:r>
    </w:p>
    <w:p w:rsidR="00566FBD" w:rsidRPr="0067578C" w:rsidRDefault="00566FBD" w:rsidP="00566FBD">
      <w:pPr>
        <w:ind w:firstLine="0"/>
        <w:rPr>
          <w:rFonts w:asciiTheme="minorHAnsi" w:hAnsiTheme="minorHAnsi"/>
        </w:rPr>
      </w:pPr>
      <w:r w:rsidRPr="00B832A6">
        <w:rPr>
          <w:rFonts w:asciiTheme="minorHAnsi" w:hAnsiTheme="minorHAnsi"/>
          <w:noProof/>
          <w:lang w:val="en-IN" w:eastAsia="en-IN"/>
        </w:rPr>
        <w:drawing>
          <wp:inline distT="0" distB="0" distL="0" distR="0">
            <wp:extent cx="4002405" cy="2910840"/>
            <wp:effectExtent l="0" t="0" r="10795"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06423" cy="2913762"/>
                    </a:xfrm>
                    <a:prstGeom prst="rect">
                      <a:avLst/>
                    </a:prstGeom>
                  </pic:spPr>
                </pic:pic>
              </a:graphicData>
            </a:graphic>
          </wp:inline>
        </w:drawing>
      </w:r>
    </w:p>
    <w:p w:rsidR="00566FBD" w:rsidRDefault="00566FBD" w:rsidP="00566FBD">
      <w:pPr>
        <w:ind w:firstLine="0"/>
        <w:rPr>
          <w:rFonts w:asciiTheme="minorHAnsi" w:hAnsiTheme="minorHAnsi"/>
        </w:rPr>
      </w:pPr>
    </w:p>
    <w:p w:rsidR="00566FBD" w:rsidRPr="0029385A" w:rsidRDefault="00566FBD" w:rsidP="00566FBD">
      <w:pPr>
        <w:ind w:firstLine="0"/>
        <w:rPr>
          <w:lang w:eastAsia="nl-NL"/>
        </w:rPr>
      </w:pPr>
      <w:r w:rsidRPr="0067578C">
        <w:rPr>
          <w:lang w:eastAsia="nl-NL"/>
        </w:rPr>
        <w:t xml:space="preserve">CAPTION: </w:t>
      </w:r>
      <w:r>
        <w:rPr>
          <w:lang w:eastAsia="nl-NL"/>
        </w:rPr>
        <w:t>Calibration plots for the predicted probability of 90-day mortality: (A) applying only baseline risk adjustment and (B) including a predictor for high versus low yearly DP-CAR volume. The dotted 45</w:t>
      </w:r>
      <w:r>
        <w:rPr>
          <w:rFonts w:ascii="Arial" w:hAnsi="Arial" w:cs="Arial"/>
          <w:lang w:eastAsia="nl-NL"/>
        </w:rPr>
        <w:t>°</w:t>
      </w:r>
      <w:r>
        <w:rPr>
          <w:lang w:eastAsia="nl-NL"/>
        </w:rPr>
        <w:t xml:space="preserve"> lines denote a hypothetical perfect agreement between predicted probability and observed incidence per risk quartile. The smoothed lines approximate the actual agreement observed in both cohorts. </w:t>
      </w:r>
    </w:p>
    <w:p w:rsidR="00930FAD" w:rsidRDefault="00930FAD" w:rsidP="00A60483">
      <w:pPr>
        <w:ind w:firstLine="0"/>
        <w:rPr>
          <w:lang w:eastAsia="nl-NL"/>
        </w:rPr>
      </w:pPr>
    </w:p>
    <w:sectPr w:rsidR="00930FAD" w:rsidSect="00350EB0">
      <w:headerReference w:type="default" r:id="rId15"/>
      <w:pgSz w:w="11907" w:h="16839"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F32" w:rsidRDefault="001C2F32" w:rsidP="007938EB">
      <w:pPr>
        <w:spacing w:line="240" w:lineRule="auto"/>
      </w:pPr>
      <w:r>
        <w:separator/>
      </w:r>
    </w:p>
  </w:endnote>
  <w:endnote w:type="continuationSeparator" w:id="0">
    <w:p w:rsidR="001C2F32" w:rsidRDefault="001C2F32" w:rsidP="007938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F32" w:rsidRDefault="001C2F32" w:rsidP="007938EB">
      <w:pPr>
        <w:spacing w:line="240" w:lineRule="auto"/>
      </w:pPr>
      <w:r>
        <w:separator/>
      </w:r>
    </w:p>
  </w:footnote>
  <w:footnote w:type="continuationSeparator" w:id="0">
    <w:p w:rsidR="001C2F32" w:rsidRDefault="001C2F32" w:rsidP="007938E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499733122"/>
      <w:docPartObj>
        <w:docPartGallery w:val="Page Numbers (Top of Page)"/>
        <w:docPartUnique/>
      </w:docPartObj>
    </w:sdtPr>
    <w:sdtContent>
      <w:p w:rsidR="00350EB0" w:rsidRDefault="00FA7995" w:rsidP="00C70197">
        <w:pPr>
          <w:pStyle w:val="Header"/>
          <w:framePr w:wrap="none" w:vAnchor="text" w:hAnchor="margin" w:xAlign="right" w:y="1"/>
          <w:rPr>
            <w:rStyle w:val="PageNumber"/>
          </w:rPr>
        </w:pPr>
        <w:r>
          <w:rPr>
            <w:rStyle w:val="PageNumber"/>
          </w:rPr>
          <w:fldChar w:fldCharType="begin"/>
        </w:r>
        <w:r w:rsidR="00350EB0">
          <w:rPr>
            <w:rStyle w:val="PageNumber"/>
          </w:rPr>
          <w:instrText xml:space="preserve"> PAGE </w:instrText>
        </w:r>
        <w:r>
          <w:rPr>
            <w:rStyle w:val="PageNumber"/>
          </w:rPr>
          <w:fldChar w:fldCharType="separate"/>
        </w:r>
        <w:r w:rsidR="00DE5150">
          <w:rPr>
            <w:rStyle w:val="PageNumber"/>
            <w:noProof/>
          </w:rPr>
          <w:t>6</w:t>
        </w:r>
        <w:r>
          <w:rPr>
            <w:rStyle w:val="PageNumber"/>
          </w:rPr>
          <w:fldChar w:fldCharType="end"/>
        </w:r>
      </w:p>
    </w:sdtContent>
  </w:sdt>
  <w:p w:rsidR="00350EB0" w:rsidRDefault="00350EB0" w:rsidP="007938EB">
    <w:pPr>
      <w:pStyle w:val="Header"/>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1767F"/>
    <w:multiLevelType w:val="hybridMultilevel"/>
    <w:tmpl w:val="2A789F04"/>
    <w:lvl w:ilvl="0" w:tplc="B010CDC2">
      <w:start w:val="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C633BEB"/>
    <w:multiLevelType w:val="hybridMultilevel"/>
    <w:tmpl w:val="D9588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7B28EE"/>
    <w:multiLevelType w:val="hybridMultilevel"/>
    <w:tmpl w:val="E1D07BCE"/>
    <w:lvl w:ilvl="0" w:tplc="9336F126">
      <w:start w:val="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441FDB"/>
    <w:rsid w:val="00000063"/>
    <w:rsid w:val="000013BF"/>
    <w:rsid w:val="00001B90"/>
    <w:rsid w:val="00003913"/>
    <w:rsid w:val="00004163"/>
    <w:rsid w:val="00004205"/>
    <w:rsid w:val="00005BAA"/>
    <w:rsid w:val="00005CA1"/>
    <w:rsid w:val="000063AC"/>
    <w:rsid w:val="00006FD2"/>
    <w:rsid w:val="000077D9"/>
    <w:rsid w:val="00012FC0"/>
    <w:rsid w:val="00020C66"/>
    <w:rsid w:val="00021AD0"/>
    <w:rsid w:val="00023036"/>
    <w:rsid w:val="00023646"/>
    <w:rsid w:val="0002397F"/>
    <w:rsid w:val="0002525E"/>
    <w:rsid w:val="000261D7"/>
    <w:rsid w:val="00026205"/>
    <w:rsid w:val="00031DCB"/>
    <w:rsid w:val="00032DDC"/>
    <w:rsid w:val="00035C8C"/>
    <w:rsid w:val="00036054"/>
    <w:rsid w:val="00036338"/>
    <w:rsid w:val="0003725C"/>
    <w:rsid w:val="00037EF8"/>
    <w:rsid w:val="000412CB"/>
    <w:rsid w:val="0004148D"/>
    <w:rsid w:val="000414BA"/>
    <w:rsid w:val="00043841"/>
    <w:rsid w:val="00043EFE"/>
    <w:rsid w:val="00044635"/>
    <w:rsid w:val="000449BA"/>
    <w:rsid w:val="000453D9"/>
    <w:rsid w:val="00045634"/>
    <w:rsid w:val="00047D8B"/>
    <w:rsid w:val="00051109"/>
    <w:rsid w:val="00051921"/>
    <w:rsid w:val="00052701"/>
    <w:rsid w:val="000529D3"/>
    <w:rsid w:val="00052D81"/>
    <w:rsid w:val="00055FDA"/>
    <w:rsid w:val="000560BE"/>
    <w:rsid w:val="0005678A"/>
    <w:rsid w:val="00060D47"/>
    <w:rsid w:val="00061C73"/>
    <w:rsid w:val="00062A5A"/>
    <w:rsid w:val="0006342C"/>
    <w:rsid w:val="00064635"/>
    <w:rsid w:val="0006670B"/>
    <w:rsid w:val="00067649"/>
    <w:rsid w:val="0006793B"/>
    <w:rsid w:val="0007003C"/>
    <w:rsid w:val="00070CE9"/>
    <w:rsid w:val="00071E56"/>
    <w:rsid w:val="00073CDB"/>
    <w:rsid w:val="00074AF2"/>
    <w:rsid w:val="000765D7"/>
    <w:rsid w:val="00076913"/>
    <w:rsid w:val="00076FAC"/>
    <w:rsid w:val="00077FE9"/>
    <w:rsid w:val="000811D4"/>
    <w:rsid w:val="00085E58"/>
    <w:rsid w:val="000862B0"/>
    <w:rsid w:val="00086EA7"/>
    <w:rsid w:val="00087255"/>
    <w:rsid w:val="00087BC7"/>
    <w:rsid w:val="0009090E"/>
    <w:rsid w:val="0009244D"/>
    <w:rsid w:val="0009346A"/>
    <w:rsid w:val="000934E0"/>
    <w:rsid w:val="00093643"/>
    <w:rsid w:val="000937DA"/>
    <w:rsid w:val="0009491D"/>
    <w:rsid w:val="0009607F"/>
    <w:rsid w:val="000A0692"/>
    <w:rsid w:val="000A0B73"/>
    <w:rsid w:val="000A3B64"/>
    <w:rsid w:val="000A5774"/>
    <w:rsid w:val="000B0257"/>
    <w:rsid w:val="000B0D26"/>
    <w:rsid w:val="000B1A02"/>
    <w:rsid w:val="000B3661"/>
    <w:rsid w:val="000B4E88"/>
    <w:rsid w:val="000C0303"/>
    <w:rsid w:val="000C0352"/>
    <w:rsid w:val="000C041F"/>
    <w:rsid w:val="000C11B4"/>
    <w:rsid w:val="000C18BE"/>
    <w:rsid w:val="000C2E53"/>
    <w:rsid w:val="000C3FCE"/>
    <w:rsid w:val="000C432E"/>
    <w:rsid w:val="000C6268"/>
    <w:rsid w:val="000C63DD"/>
    <w:rsid w:val="000C74A4"/>
    <w:rsid w:val="000C75C0"/>
    <w:rsid w:val="000C7614"/>
    <w:rsid w:val="000D0664"/>
    <w:rsid w:val="000D1D68"/>
    <w:rsid w:val="000D3B13"/>
    <w:rsid w:val="000D40EA"/>
    <w:rsid w:val="000D42C1"/>
    <w:rsid w:val="000D4402"/>
    <w:rsid w:val="000D5650"/>
    <w:rsid w:val="000D5673"/>
    <w:rsid w:val="000D7A95"/>
    <w:rsid w:val="000D7B05"/>
    <w:rsid w:val="000E4052"/>
    <w:rsid w:val="000E614C"/>
    <w:rsid w:val="000E6A95"/>
    <w:rsid w:val="000F03AA"/>
    <w:rsid w:val="000F0B19"/>
    <w:rsid w:val="000F274B"/>
    <w:rsid w:val="000F4D8B"/>
    <w:rsid w:val="000F7021"/>
    <w:rsid w:val="000F70DB"/>
    <w:rsid w:val="000F713C"/>
    <w:rsid w:val="000F78EC"/>
    <w:rsid w:val="001005A6"/>
    <w:rsid w:val="00101918"/>
    <w:rsid w:val="001029ED"/>
    <w:rsid w:val="001040E1"/>
    <w:rsid w:val="00104290"/>
    <w:rsid w:val="00106095"/>
    <w:rsid w:val="001064F0"/>
    <w:rsid w:val="0010750E"/>
    <w:rsid w:val="00107885"/>
    <w:rsid w:val="00107CA6"/>
    <w:rsid w:val="00107D96"/>
    <w:rsid w:val="001108B2"/>
    <w:rsid w:val="001126BA"/>
    <w:rsid w:val="00112E6C"/>
    <w:rsid w:val="00115584"/>
    <w:rsid w:val="00115C69"/>
    <w:rsid w:val="0011660C"/>
    <w:rsid w:val="00117783"/>
    <w:rsid w:val="00120713"/>
    <w:rsid w:val="0012275E"/>
    <w:rsid w:val="00122E93"/>
    <w:rsid w:val="0012367B"/>
    <w:rsid w:val="00123BA9"/>
    <w:rsid w:val="00124307"/>
    <w:rsid w:val="00126E5D"/>
    <w:rsid w:val="0012766A"/>
    <w:rsid w:val="00127752"/>
    <w:rsid w:val="00130B35"/>
    <w:rsid w:val="00131F4D"/>
    <w:rsid w:val="0013218B"/>
    <w:rsid w:val="001337D7"/>
    <w:rsid w:val="00135EA9"/>
    <w:rsid w:val="00136929"/>
    <w:rsid w:val="00140F6D"/>
    <w:rsid w:val="001431DF"/>
    <w:rsid w:val="0014356A"/>
    <w:rsid w:val="00145E83"/>
    <w:rsid w:val="001472BD"/>
    <w:rsid w:val="00152126"/>
    <w:rsid w:val="0015331D"/>
    <w:rsid w:val="0015580A"/>
    <w:rsid w:val="001560F1"/>
    <w:rsid w:val="0015679D"/>
    <w:rsid w:val="0015772D"/>
    <w:rsid w:val="00160719"/>
    <w:rsid w:val="00160981"/>
    <w:rsid w:val="00161522"/>
    <w:rsid w:val="001632A5"/>
    <w:rsid w:val="00163DE7"/>
    <w:rsid w:val="00165116"/>
    <w:rsid w:val="001654DF"/>
    <w:rsid w:val="00165EB2"/>
    <w:rsid w:val="001712E2"/>
    <w:rsid w:val="0017224D"/>
    <w:rsid w:val="00173A4C"/>
    <w:rsid w:val="00173EBF"/>
    <w:rsid w:val="00174514"/>
    <w:rsid w:val="00174C07"/>
    <w:rsid w:val="001768AA"/>
    <w:rsid w:val="00180804"/>
    <w:rsid w:val="0018276E"/>
    <w:rsid w:val="0018365A"/>
    <w:rsid w:val="00185994"/>
    <w:rsid w:val="001865B9"/>
    <w:rsid w:val="00191041"/>
    <w:rsid w:val="00192076"/>
    <w:rsid w:val="00194CF1"/>
    <w:rsid w:val="00195FAB"/>
    <w:rsid w:val="0019634D"/>
    <w:rsid w:val="001A0F0E"/>
    <w:rsid w:val="001A18E5"/>
    <w:rsid w:val="001A320F"/>
    <w:rsid w:val="001A500E"/>
    <w:rsid w:val="001A5D7E"/>
    <w:rsid w:val="001A7AAA"/>
    <w:rsid w:val="001B00FE"/>
    <w:rsid w:val="001B0414"/>
    <w:rsid w:val="001B0E11"/>
    <w:rsid w:val="001B17B0"/>
    <w:rsid w:val="001B1AAE"/>
    <w:rsid w:val="001B38CB"/>
    <w:rsid w:val="001B3DC9"/>
    <w:rsid w:val="001B6658"/>
    <w:rsid w:val="001C269B"/>
    <w:rsid w:val="001C2F32"/>
    <w:rsid w:val="001C3D40"/>
    <w:rsid w:val="001C476F"/>
    <w:rsid w:val="001C4C6F"/>
    <w:rsid w:val="001C59F5"/>
    <w:rsid w:val="001C6388"/>
    <w:rsid w:val="001C7968"/>
    <w:rsid w:val="001D0E03"/>
    <w:rsid w:val="001D231D"/>
    <w:rsid w:val="001D27A7"/>
    <w:rsid w:val="001D3C92"/>
    <w:rsid w:val="001D74EC"/>
    <w:rsid w:val="001D7590"/>
    <w:rsid w:val="001E06DB"/>
    <w:rsid w:val="001E277C"/>
    <w:rsid w:val="001E37DB"/>
    <w:rsid w:val="001E3860"/>
    <w:rsid w:val="001E4E83"/>
    <w:rsid w:val="001E7F28"/>
    <w:rsid w:val="001F07B2"/>
    <w:rsid w:val="001F20EA"/>
    <w:rsid w:val="001F2446"/>
    <w:rsid w:val="001F518C"/>
    <w:rsid w:val="001F69FB"/>
    <w:rsid w:val="002021CF"/>
    <w:rsid w:val="00202543"/>
    <w:rsid w:val="002034DE"/>
    <w:rsid w:val="00203872"/>
    <w:rsid w:val="00203D41"/>
    <w:rsid w:val="002058E6"/>
    <w:rsid w:val="002100AF"/>
    <w:rsid w:val="00210706"/>
    <w:rsid w:val="0021138E"/>
    <w:rsid w:val="0021437D"/>
    <w:rsid w:val="00217473"/>
    <w:rsid w:val="00220722"/>
    <w:rsid w:val="00220C35"/>
    <w:rsid w:val="00220D17"/>
    <w:rsid w:val="0022201E"/>
    <w:rsid w:val="00222F43"/>
    <w:rsid w:val="002265E6"/>
    <w:rsid w:val="00230668"/>
    <w:rsid w:val="00231FEE"/>
    <w:rsid w:val="00232519"/>
    <w:rsid w:val="00232674"/>
    <w:rsid w:val="002349B7"/>
    <w:rsid w:val="00234A56"/>
    <w:rsid w:val="00234B9F"/>
    <w:rsid w:val="00236318"/>
    <w:rsid w:val="002371AD"/>
    <w:rsid w:val="002376D9"/>
    <w:rsid w:val="002415BC"/>
    <w:rsid w:val="00243F15"/>
    <w:rsid w:val="002440C4"/>
    <w:rsid w:val="00246195"/>
    <w:rsid w:val="00246AA0"/>
    <w:rsid w:val="00250114"/>
    <w:rsid w:val="00250D99"/>
    <w:rsid w:val="00251612"/>
    <w:rsid w:val="00251C18"/>
    <w:rsid w:val="00254E66"/>
    <w:rsid w:val="002552DC"/>
    <w:rsid w:val="00255D4D"/>
    <w:rsid w:val="002600E2"/>
    <w:rsid w:val="002609DA"/>
    <w:rsid w:val="00260B7C"/>
    <w:rsid w:val="00261832"/>
    <w:rsid w:val="00262A5C"/>
    <w:rsid w:val="00263E78"/>
    <w:rsid w:val="00266EBB"/>
    <w:rsid w:val="002671E9"/>
    <w:rsid w:val="002671FC"/>
    <w:rsid w:val="002719FA"/>
    <w:rsid w:val="0027478F"/>
    <w:rsid w:val="00275805"/>
    <w:rsid w:val="00277120"/>
    <w:rsid w:val="00281E2B"/>
    <w:rsid w:val="00282887"/>
    <w:rsid w:val="00285E5F"/>
    <w:rsid w:val="00287A2D"/>
    <w:rsid w:val="00290BDC"/>
    <w:rsid w:val="00290E39"/>
    <w:rsid w:val="00291A89"/>
    <w:rsid w:val="00291AE1"/>
    <w:rsid w:val="00292F6F"/>
    <w:rsid w:val="0029385A"/>
    <w:rsid w:val="00294732"/>
    <w:rsid w:val="002961BC"/>
    <w:rsid w:val="00296896"/>
    <w:rsid w:val="002A1EE6"/>
    <w:rsid w:val="002A3312"/>
    <w:rsid w:val="002A3F48"/>
    <w:rsid w:val="002A4C2D"/>
    <w:rsid w:val="002A57C8"/>
    <w:rsid w:val="002B16CA"/>
    <w:rsid w:val="002B1A56"/>
    <w:rsid w:val="002B1D8C"/>
    <w:rsid w:val="002B3A21"/>
    <w:rsid w:val="002B446A"/>
    <w:rsid w:val="002B6160"/>
    <w:rsid w:val="002B7F59"/>
    <w:rsid w:val="002C02E3"/>
    <w:rsid w:val="002C226B"/>
    <w:rsid w:val="002C4D6E"/>
    <w:rsid w:val="002C6AF2"/>
    <w:rsid w:val="002C7402"/>
    <w:rsid w:val="002C7B24"/>
    <w:rsid w:val="002C7B33"/>
    <w:rsid w:val="002D07F7"/>
    <w:rsid w:val="002D0E5E"/>
    <w:rsid w:val="002D142D"/>
    <w:rsid w:val="002D2AF1"/>
    <w:rsid w:val="002D3CEB"/>
    <w:rsid w:val="002D404B"/>
    <w:rsid w:val="002D4C49"/>
    <w:rsid w:val="002D6CDF"/>
    <w:rsid w:val="002D7240"/>
    <w:rsid w:val="002E0990"/>
    <w:rsid w:val="002E23D3"/>
    <w:rsid w:val="002E29A2"/>
    <w:rsid w:val="002E4B4B"/>
    <w:rsid w:val="002E5384"/>
    <w:rsid w:val="002E6432"/>
    <w:rsid w:val="002E6A3F"/>
    <w:rsid w:val="002F14E0"/>
    <w:rsid w:val="002F444C"/>
    <w:rsid w:val="002F4535"/>
    <w:rsid w:val="002F608D"/>
    <w:rsid w:val="002F6461"/>
    <w:rsid w:val="002F75DD"/>
    <w:rsid w:val="0030088B"/>
    <w:rsid w:val="00302206"/>
    <w:rsid w:val="00302D3F"/>
    <w:rsid w:val="00303326"/>
    <w:rsid w:val="0030393D"/>
    <w:rsid w:val="003057FF"/>
    <w:rsid w:val="00306135"/>
    <w:rsid w:val="0030643A"/>
    <w:rsid w:val="00307C8B"/>
    <w:rsid w:val="0031189F"/>
    <w:rsid w:val="00313F5D"/>
    <w:rsid w:val="00314630"/>
    <w:rsid w:val="003157AC"/>
    <w:rsid w:val="00315C57"/>
    <w:rsid w:val="003174DB"/>
    <w:rsid w:val="003207F3"/>
    <w:rsid w:val="00321DE1"/>
    <w:rsid w:val="003227F5"/>
    <w:rsid w:val="00323E36"/>
    <w:rsid w:val="00330A13"/>
    <w:rsid w:val="00332436"/>
    <w:rsid w:val="003349D1"/>
    <w:rsid w:val="0033525E"/>
    <w:rsid w:val="00337244"/>
    <w:rsid w:val="0034202E"/>
    <w:rsid w:val="00343965"/>
    <w:rsid w:val="0034413F"/>
    <w:rsid w:val="003448C5"/>
    <w:rsid w:val="00350EB0"/>
    <w:rsid w:val="00356E63"/>
    <w:rsid w:val="003570EF"/>
    <w:rsid w:val="00357285"/>
    <w:rsid w:val="00357700"/>
    <w:rsid w:val="00357A0C"/>
    <w:rsid w:val="00357F20"/>
    <w:rsid w:val="0036134D"/>
    <w:rsid w:val="00361C72"/>
    <w:rsid w:val="00366314"/>
    <w:rsid w:val="003706F1"/>
    <w:rsid w:val="00370D97"/>
    <w:rsid w:val="00373985"/>
    <w:rsid w:val="00373A54"/>
    <w:rsid w:val="00374019"/>
    <w:rsid w:val="00375D39"/>
    <w:rsid w:val="00380B7E"/>
    <w:rsid w:val="003823F5"/>
    <w:rsid w:val="00383FDF"/>
    <w:rsid w:val="00384928"/>
    <w:rsid w:val="003860B9"/>
    <w:rsid w:val="0038618D"/>
    <w:rsid w:val="003873B3"/>
    <w:rsid w:val="003907A0"/>
    <w:rsid w:val="00393CF7"/>
    <w:rsid w:val="0039436D"/>
    <w:rsid w:val="0039688A"/>
    <w:rsid w:val="00397FCA"/>
    <w:rsid w:val="003A0421"/>
    <w:rsid w:val="003A25F7"/>
    <w:rsid w:val="003A26FE"/>
    <w:rsid w:val="003A41C1"/>
    <w:rsid w:val="003A44B6"/>
    <w:rsid w:val="003A4C63"/>
    <w:rsid w:val="003A5AC4"/>
    <w:rsid w:val="003A629E"/>
    <w:rsid w:val="003B00BE"/>
    <w:rsid w:val="003B03DF"/>
    <w:rsid w:val="003B0DAF"/>
    <w:rsid w:val="003B26CD"/>
    <w:rsid w:val="003B3437"/>
    <w:rsid w:val="003C21F0"/>
    <w:rsid w:val="003C4B57"/>
    <w:rsid w:val="003C578F"/>
    <w:rsid w:val="003C68DE"/>
    <w:rsid w:val="003D38C8"/>
    <w:rsid w:val="003D396B"/>
    <w:rsid w:val="003D43D2"/>
    <w:rsid w:val="003D5629"/>
    <w:rsid w:val="003D686D"/>
    <w:rsid w:val="003E04F9"/>
    <w:rsid w:val="003E21FE"/>
    <w:rsid w:val="003E4AF9"/>
    <w:rsid w:val="003E601C"/>
    <w:rsid w:val="003E6A31"/>
    <w:rsid w:val="003E6B0C"/>
    <w:rsid w:val="003F0381"/>
    <w:rsid w:val="003F03D6"/>
    <w:rsid w:val="003F0C91"/>
    <w:rsid w:val="003F24F5"/>
    <w:rsid w:val="003F3A71"/>
    <w:rsid w:val="003F3C6F"/>
    <w:rsid w:val="003F53FC"/>
    <w:rsid w:val="003F60DC"/>
    <w:rsid w:val="00402047"/>
    <w:rsid w:val="004026E5"/>
    <w:rsid w:val="00404145"/>
    <w:rsid w:val="00404F09"/>
    <w:rsid w:val="00405ABE"/>
    <w:rsid w:val="00405D50"/>
    <w:rsid w:val="00406574"/>
    <w:rsid w:val="00406B53"/>
    <w:rsid w:val="00407F4F"/>
    <w:rsid w:val="00414C05"/>
    <w:rsid w:val="004168CE"/>
    <w:rsid w:val="00416908"/>
    <w:rsid w:val="00420F90"/>
    <w:rsid w:val="004238FF"/>
    <w:rsid w:val="004242F5"/>
    <w:rsid w:val="0042780A"/>
    <w:rsid w:val="00432D33"/>
    <w:rsid w:val="0043408C"/>
    <w:rsid w:val="00436E6D"/>
    <w:rsid w:val="00441C49"/>
    <w:rsid w:val="00441FDB"/>
    <w:rsid w:val="00443C94"/>
    <w:rsid w:val="004460D8"/>
    <w:rsid w:val="00446F0F"/>
    <w:rsid w:val="0045354D"/>
    <w:rsid w:val="004539D7"/>
    <w:rsid w:val="00454F27"/>
    <w:rsid w:val="00454F42"/>
    <w:rsid w:val="00455E0A"/>
    <w:rsid w:val="004602F1"/>
    <w:rsid w:val="004614A9"/>
    <w:rsid w:val="0046236B"/>
    <w:rsid w:val="004627FB"/>
    <w:rsid w:val="00462BC8"/>
    <w:rsid w:val="00463528"/>
    <w:rsid w:val="004636F5"/>
    <w:rsid w:val="00466A3C"/>
    <w:rsid w:val="00466B9B"/>
    <w:rsid w:val="00466BB4"/>
    <w:rsid w:val="00470A1E"/>
    <w:rsid w:val="00470DA8"/>
    <w:rsid w:val="00473765"/>
    <w:rsid w:val="00473D7E"/>
    <w:rsid w:val="00475D6E"/>
    <w:rsid w:val="004771C1"/>
    <w:rsid w:val="004800A8"/>
    <w:rsid w:val="004804C7"/>
    <w:rsid w:val="00481983"/>
    <w:rsid w:val="00481ABD"/>
    <w:rsid w:val="00482287"/>
    <w:rsid w:val="0048676A"/>
    <w:rsid w:val="00487D21"/>
    <w:rsid w:val="0049050F"/>
    <w:rsid w:val="0049084A"/>
    <w:rsid w:val="00491130"/>
    <w:rsid w:val="00492FC1"/>
    <w:rsid w:val="00493266"/>
    <w:rsid w:val="0049452A"/>
    <w:rsid w:val="00495168"/>
    <w:rsid w:val="00496C0C"/>
    <w:rsid w:val="00497E51"/>
    <w:rsid w:val="004A06A3"/>
    <w:rsid w:val="004A3D98"/>
    <w:rsid w:val="004B0A16"/>
    <w:rsid w:val="004B257E"/>
    <w:rsid w:val="004B2A84"/>
    <w:rsid w:val="004B49D8"/>
    <w:rsid w:val="004B58B3"/>
    <w:rsid w:val="004B612B"/>
    <w:rsid w:val="004B6375"/>
    <w:rsid w:val="004C03FB"/>
    <w:rsid w:val="004C37EA"/>
    <w:rsid w:val="004C3B02"/>
    <w:rsid w:val="004C56E1"/>
    <w:rsid w:val="004C6972"/>
    <w:rsid w:val="004C6A35"/>
    <w:rsid w:val="004C6AF1"/>
    <w:rsid w:val="004C7055"/>
    <w:rsid w:val="004C772F"/>
    <w:rsid w:val="004D251F"/>
    <w:rsid w:val="004D2963"/>
    <w:rsid w:val="004D3296"/>
    <w:rsid w:val="004D6A70"/>
    <w:rsid w:val="004D737B"/>
    <w:rsid w:val="004D74A5"/>
    <w:rsid w:val="004E040C"/>
    <w:rsid w:val="004E21F3"/>
    <w:rsid w:val="004E5384"/>
    <w:rsid w:val="004E6031"/>
    <w:rsid w:val="004F03C0"/>
    <w:rsid w:val="004F1269"/>
    <w:rsid w:val="004F16B4"/>
    <w:rsid w:val="004F2CB8"/>
    <w:rsid w:val="004F3A42"/>
    <w:rsid w:val="004F3ECC"/>
    <w:rsid w:val="004F730D"/>
    <w:rsid w:val="004F750B"/>
    <w:rsid w:val="004F78C1"/>
    <w:rsid w:val="00500874"/>
    <w:rsid w:val="00500B6C"/>
    <w:rsid w:val="00501187"/>
    <w:rsid w:val="00501F2F"/>
    <w:rsid w:val="00502470"/>
    <w:rsid w:val="00505722"/>
    <w:rsid w:val="0051036B"/>
    <w:rsid w:val="00511100"/>
    <w:rsid w:val="00511B8F"/>
    <w:rsid w:val="00514794"/>
    <w:rsid w:val="00514851"/>
    <w:rsid w:val="005151F6"/>
    <w:rsid w:val="00515721"/>
    <w:rsid w:val="00516030"/>
    <w:rsid w:val="00516252"/>
    <w:rsid w:val="00516E88"/>
    <w:rsid w:val="00517328"/>
    <w:rsid w:val="00517ED5"/>
    <w:rsid w:val="005201AD"/>
    <w:rsid w:val="00521D2E"/>
    <w:rsid w:val="0052218D"/>
    <w:rsid w:val="00522944"/>
    <w:rsid w:val="00524D6E"/>
    <w:rsid w:val="00526235"/>
    <w:rsid w:val="0052690C"/>
    <w:rsid w:val="005269B8"/>
    <w:rsid w:val="00526E50"/>
    <w:rsid w:val="005271A7"/>
    <w:rsid w:val="00527E54"/>
    <w:rsid w:val="00531C41"/>
    <w:rsid w:val="00532CB0"/>
    <w:rsid w:val="00535C78"/>
    <w:rsid w:val="00536F72"/>
    <w:rsid w:val="0054156D"/>
    <w:rsid w:val="005431DC"/>
    <w:rsid w:val="00543EFE"/>
    <w:rsid w:val="00544928"/>
    <w:rsid w:val="00544CF7"/>
    <w:rsid w:val="0054527D"/>
    <w:rsid w:val="00546F5C"/>
    <w:rsid w:val="00550839"/>
    <w:rsid w:val="00551359"/>
    <w:rsid w:val="005522EE"/>
    <w:rsid w:val="00552A87"/>
    <w:rsid w:val="00552BB9"/>
    <w:rsid w:val="005547D3"/>
    <w:rsid w:val="00554917"/>
    <w:rsid w:val="00560A52"/>
    <w:rsid w:val="005625E2"/>
    <w:rsid w:val="005630E8"/>
    <w:rsid w:val="0056565F"/>
    <w:rsid w:val="00565F3A"/>
    <w:rsid w:val="00566FBD"/>
    <w:rsid w:val="005700AD"/>
    <w:rsid w:val="005704DC"/>
    <w:rsid w:val="00571DBE"/>
    <w:rsid w:val="0057225C"/>
    <w:rsid w:val="005777E4"/>
    <w:rsid w:val="005802C2"/>
    <w:rsid w:val="0058388D"/>
    <w:rsid w:val="00583B57"/>
    <w:rsid w:val="00584B1B"/>
    <w:rsid w:val="005852EE"/>
    <w:rsid w:val="00586BCA"/>
    <w:rsid w:val="00590A3C"/>
    <w:rsid w:val="00592E35"/>
    <w:rsid w:val="00595739"/>
    <w:rsid w:val="00597457"/>
    <w:rsid w:val="005977B3"/>
    <w:rsid w:val="005A0421"/>
    <w:rsid w:val="005A148F"/>
    <w:rsid w:val="005A3C72"/>
    <w:rsid w:val="005A4274"/>
    <w:rsid w:val="005A443E"/>
    <w:rsid w:val="005A7768"/>
    <w:rsid w:val="005A7C18"/>
    <w:rsid w:val="005B1A2E"/>
    <w:rsid w:val="005B1C4C"/>
    <w:rsid w:val="005B3567"/>
    <w:rsid w:val="005B377A"/>
    <w:rsid w:val="005B3E83"/>
    <w:rsid w:val="005B5FD0"/>
    <w:rsid w:val="005B6475"/>
    <w:rsid w:val="005B6C8F"/>
    <w:rsid w:val="005B6FC3"/>
    <w:rsid w:val="005B74A2"/>
    <w:rsid w:val="005C182E"/>
    <w:rsid w:val="005C3231"/>
    <w:rsid w:val="005C4E95"/>
    <w:rsid w:val="005C6424"/>
    <w:rsid w:val="005C7F04"/>
    <w:rsid w:val="005D00FA"/>
    <w:rsid w:val="005D1757"/>
    <w:rsid w:val="005D2FF8"/>
    <w:rsid w:val="005D3665"/>
    <w:rsid w:val="005D36CD"/>
    <w:rsid w:val="005D4568"/>
    <w:rsid w:val="005D50AF"/>
    <w:rsid w:val="005D5737"/>
    <w:rsid w:val="005D6957"/>
    <w:rsid w:val="005D6F6F"/>
    <w:rsid w:val="005E045D"/>
    <w:rsid w:val="005E22D6"/>
    <w:rsid w:val="005E367B"/>
    <w:rsid w:val="005E4848"/>
    <w:rsid w:val="005E6A4A"/>
    <w:rsid w:val="005E75BD"/>
    <w:rsid w:val="005F0B63"/>
    <w:rsid w:val="005F4525"/>
    <w:rsid w:val="005F4F73"/>
    <w:rsid w:val="005F6D2C"/>
    <w:rsid w:val="005F746A"/>
    <w:rsid w:val="00600F07"/>
    <w:rsid w:val="0060107E"/>
    <w:rsid w:val="00602B25"/>
    <w:rsid w:val="00603734"/>
    <w:rsid w:val="00603E20"/>
    <w:rsid w:val="00604E08"/>
    <w:rsid w:val="00612F79"/>
    <w:rsid w:val="00613D2A"/>
    <w:rsid w:val="006146A0"/>
    <w:rsid w:val="006153A5"/>
    <w:rsid w:val="0061597D"/>
    <w:rsid w:val="00617B89"/>
    <w:rsid w:val="00621343"/>
    <w:rsid w:val="00621677"/>
    <w:rsid w:val="006241AB"/>
    <w:rsid w:val="00624617"/>
    <w:rsid w:val="006252A1"/>
    <w:rsid w:val="00625763"/>
    <w:rsid w:val="0062750C"/>
    <w:rsid w:val="0063033F"/>
    <w:rsid w:val="00630D6D"/>
    <w:rsid w:val="00633330"/>
    <w:rsid w:val="00635459"/>
    <w:rsid w:val="006361CC"/>
    <w:rsid w:val="006377E6"/>
    <w:rsid w:val="0064012F"/>
    <w:rsid w:val="00642ABF"/>
    <w:rsid w:val="00643255"/>
    <w:rsid w:val="00644D84"/>
    <w:rsid w:val="006454FC"/>
    <w:rsid w:val="00646E47"/>
    <w:rsid w:val="0064795D"/>
    <w:rsid w:val="00647A22"/>
    <w:rsid w:val="00647B0B"/>
    <w:rsid w:val="006527E8"/>
    <w:rsid w:val="00654A4E"/>
    <w:rsid w:val="006550DB"/>
    <w:rsid w:val="00656453"/>
    <w:rsid w:val="00656E4A"/>
    <w:rsid w:val="00657984"/>
    <w:rsid w:val="00661845"/>
    <w:rsid w:val="006623F2"/>
    <w:rsid w:val="00662557"/>
    <w:rsid w:val="00663875"/>
    <w:rsid w:val="006638B7"/>
    <w:rsid w:val="00664490"/>
    <w:rsid w:val="00664802"/>
    <w:rsid w:val="0066599F"/>
    <w:rsid w:val="00667564"/>
    <w:rsid w:val="00667C9C"/>
    <w:rsid w:val="0067117F"/>
    <w:rsid w:val="00671D0D"/>
    <w:rsid w:val="006721A3"/>
    <w:rsid w:val="00672F54"/>
    <w:rsid w:val="0067371A"/>
    <w:rsid w:val="00674972"/>
    <w:rsid w:val="0067578C"/>
    <w:rsid w:val="006819A4"/>
    <w:rsid w:val="006819C9"/>
    <w:rsid w:val="00681B03"/>
    <w:rsid w:val="00681B43"/>
    <w:rsid w:val="00681FA5"/>
    <w:rsid w:val="00682BF8"/>
    <w:rsid w:val="00684258"/>
    <w:rsid w:val="00690198"/>
    <w:rsid w:val="0069043C"/>
    <w:rsid w:val="00691738"/>
    <w:rsid w:val="006922FA"/>
    <w:rsid w:val="0069258C"/>
    <w:rsid w:val="006950FB"/>
    <w:rsid w:val="006959B8"/>
    <w:rsid w:val="006962C8"/>
    <w:rsid w:val="006970E5"/>
    <w:rsid w:val="006975F4"/>
    <w:rsid w:val="00697E2E"/>
    <w:rsid w:val="006A185E"/>
    <w:rsid w:val="006A2A77"/>
    <w:rsid w:val="006A3B92"/>
    <w:rsid w:val="006A5675"/>
    <w:rsid w:val="006A660D"/>
    <w:rsid w:val="006A7222"/>
    <w:rsid w:val="006B0F0D"/>
    <w:rsid w:val="006B1BB1"/>
    <w:rsid w:val="006B28BC"/>
    <w:rsid w:val="006B305D"/>
    <w:rsid w:val="006B3139"/>
    <w:rsid w:val="006B4D85"/>
    <w:rsid w:val="006B4DDE"/>
    <w:rsid w:val="006B7785"/>
    <w:rsid w:val="006B79C9"/>
    <w:rsid w:val="006C18E4"/>
    <w:rsid w:val="006C19DD"/>
    <w:rsid w:val="006C23BA"/>
    <w:rsid w:val="006C4EE6"/>
    <w:rsid w:val="006C6584"/>
    <w:rsid w:val="006C712B"/>
    <w:rsid w:val="006C7888"/>
    <w:rsid w:val="006D2560"/>
    <w:rsid w:val="006D2636"/>
    <w:rsid w:val="006D2B74"/>
    <w:rsid w:val="006D351A"/>
    <w:rsid w:val="006D427A"/>
    <w:rsid w:val="006D512D"/>
    <w:rsid w:val="006D6CE6"/>
    <w:rsid w:val="006D7849"/>
    <w:rsid w:val="006E333D"/>
    <w:rsid w:val="006E3DD2"/>
    <w:rsid w:val="006E4D7A"/>
    <w:rsid w:val="006E6AEF"/>
    <w:rsid w:val="006E70A9"/>
    <w:rsid w:val="006F3E9E"/>
    <w:rsid w:val="006F43E9"/>
    <w:rsid w:val="006F5A0D"/>
    <w:rsid w:val="006F672E"/>
    <w:rsid w:val="006F6E45"/>
    <w:rsid w:val="006F727D"/>
    <w:rsid w:val="006F72F8"/>
    <w:rsid w:val="007027F7"/>
    <w:rsid w:val="007034B4"/>
    <w:rsid w:val="00703924"/>
    <w:rsid w:val="0070675C"/>
    <w:rsid w:val="00706F96"/>
    <w:rsid w:val="00710F61"/>
    <w:rsid w:val="00711222"/>
    <w:rsid w:val="0071247F"/>
    <w:rsid w:val="00712ABC"/>
    <w:rsid w:val="007130C4"/>
    <w:rsid w:val="0071554B"/>
    <w:rsid w:val="00715E5F"/>
    <w:rsid w:val="00717186"/>
    <w:rsid w:val="00720E6F"/>
    <w:rsid w:val="00720F15"/>
    <w:rsid w:val="007211EA"/>
    <w:rsid w:val="007222C3"/>
    <w:rsid w:val="00723017"/>
    <w:rsid w:val="0072395F"/>
    <w:rsid w:val="00723D0A"/>
    <w:rsid w:val="00723F24"/>
    <w:rsid w:val="00724886"/>
    <w:rsid w:val="0072489B"/>
    <w:rsid w:val="00727098"/>
    <w:rsid w:val="0073078A"/>
    <w:rsid w:val="00730F82"/>
    <w:rsid w:val="00732BDE"/>
    <w:rsid w:val="00733FE1"/>
    <w:rsid w:val="00734891"/>
    <w:rsid w:val="007366C5"/>
    <w:rsid w:val="007374D2"/>
    <w:rsid w:val="007377F0"/>
    <w:rsid w:val="00741ADC"/>
    <w:rsid w:val="00743942"/>
    <w:rsid w:val="0075160B"/>
    <w:rsid w:val="00751A75"/>
    <w:rsid w:val="00751D1D"/>
    <w:rsid w:val="007540B5"/>
    <w:rsid w:val="00754CCD"/>
    <w:rsid w:val="0075792D"/>
    <w:rsid w:val="00761D30"/>
    <w:rsid w:val="0076291B"/>
    <w:rsid w:val="00762FC3"/>
    <w:rsid w:val="00765629"/>
    <w:rsid w:val="00766122"/>
    <w:rsid w:val="00766FA5"/>
    <w:rsid w:val="0077097D"/>
    <w:rsid w:val="007710BD"/>
    <w:rsid w:val="00771D0A"/>
    <w:rsid w:val="00771F6F"/>
    <w:rsid w:val="0077463D"/>
    <w:rsid w:val="007748AA"/>
    <w:rsid w:val="00774973"/>
    <w:rsid w:val="007821FE"/>
    <w:rsid w:val="0078322B"/>
    <w:rsid w:val="007841E9"/>
    <w:rsid w:val="007938EB"/>
    <w:rsid w:val="007966FF"/>
    <w:rsid w:val="007974BB"/>
    <w:rsid w:val="007A0F30"/>
    <w:rsid w:val="007A2D7B"/>
    <w:rsid w:val="007A6E08"/>
    <w:rsid w:val="007A7457"/>
    <w:rsid w:val="007A7F62"/>
    <w:rsid w:val="007B14D6"/>
    <w:rsid w:val="007B3910"/>
    <w:rsid w:val="007B3C9C"/>
    <w:rsid w:val="007B44BB"/>
    <w:rsid w:val="007B7078"/>
    <w:rsid w:val="007B7085"/>
    <w:rsid w:val="007B7923"/>
    <w:rsid w:val="007C0BF5"/>
    <w:rsid w:val="007C0E1B"/>
    <w:rsid w:val="007C1981"/>
    <w:rsid w:val="007C2780"/>
    <w:rsid w:val="007C2B80"/>
    <w:rsid w:val="007C3D66"/>
    <w:rsid w:val="007C4422"/>
    <w:rsid w:val="007C44A7"/>
    <w:rsid w:val="007C6B91"/>
    <w:rsid w:val="007C7A2F"/>
    <w:rsid w:val="007D026B"/>
    <w:rsid w:val="007D0629"/>
    <w:rsid w:val="007D26CE"/>
    <w:rsid w:val="007D27FE"/>
    <w:rsid w:val="007D31CF"/>
    <w:rsid w:val="007D41C7"/>
    <w:rsid w:val="007D53BD"/>
    <w:rsid w:val="007D583A"/>
    <w:rsid w:val="007D5A92"/>
    <w:rsid w:val="007D5A96"/>
    <w:rsid w:val="007D6072"/>
    <w:rsid w:val="007D623A"/>
    <w:rsid w:val="007D6FFC"/>
    <w:rsid w:val="007E1409"/>
    <w:rsid w:val="007E21A4"/>
    <w:rsid w:val="007E22F6"/>
    <w:rsid w:val="007E272A"/>
    <w:rsid w:val="007E4243"/>
    <w:rsid w:val="007E6901"/>
    <w:rsid w:val="007F1272"/>
    <w:rsid w:val="007F2564"/>
    <w:rsid w:val="007F263E"/>
    <w:rsid w:val="007F282B"/>
    <w:rsid w:val="007F2AAC"/>
    <w:rsid w:val="007F4F85"/>
    <w:rsid w:val="007F5A25"/>
    <w:rsid w:val="00800D01"/>
    <w:rsid w:val="00801F03"/>
    <w:rsid w:val="00802388"/>
    <w:rsid w:val="00803078"/>
    <w:rsid w:val="0080330F"/>
    <w:rsid w:val="0080387C"/>
    <w:rsid w:val="00804197"/>
    <w:rsid w:val="008065E9"/>
    <w:rsid w:val="00806A80"/>
    <w:rsid w:val="00806A98"/>
    <w:rsid w:val="00812A0A"/>
    <w:rsid w:val="0081505F"/>
    <w:rsid w:val="00817F31"/>
    <w:rsid w:val="008206D3"/>
    <w:rsid w:val="00820E36"/>
    <w:rsid w:val="00820FA1"/>
    <w:rsid w:val="00822236"/>
    <w:rsid w:val="00824270"/>
    <w:rsid w:val="00824416"/>
    <w:rsid w:val="00826808"/>
    <w:rsid w:val="008271D6"/>
    <w:rsid w:val="0083038C"/>
    <w:rsid w:val="0083321B"/>
    <w:rsid w:val="0083562C"/>
    <w:rsid w:val="00835814"/>
    <w:rsid w:val="00835C77"/>
    <w:rsid w:val="00840861"/>
    <w:rsid w:val="00840D86"/>
    <w:rsid w:val="008411DD"/>
    <w:rsid w:val="00841A7E"/>
    <w:rsid w:val="00842A67"/>
    <w:rsid w:val="00842BDE"/>
    <w:rsid w:val="00843E51"/>
    <w:rsid w:val="00844A9C"/>
    <w:rsid w:val="00846869"/>
    <w:rsid w:val="00850227"/>
    <w:rsid w:val="008505DC"/>
    <w:rsid w:val="008514B2"/>
    <w:rsid w:val="00851514"/>
    <w:rsid w:val="00851CEA"/>
    <w:rsid w:val="00852F6F"/>
    <w:rsid w:val="0085401D"/>
    <w:rsid w:val="008563DE"/>
    <w:rsid w:val="00861D5D"/>
    <w:rsid w:val="00864E26"/>
    <w:rsid w:val="00865C47"/>
    <w:rsid w:val="00866A68"/>
    <w:rsid w:val="0087000F"/>
    <w:rsid w:val="0087012A"/>
    <w:rsid w:val="00871278"/>
    <w:rsid w:val="00873256"/>
    <w:rsid w:val="00873521"/>
    <w:rsid w:val="00873BE9"/>
    <w:rsid w:val="0087446D"/>
    <w:rsid w:val="00874C0A"/>
    <w:rsid w:val="00875C4E"/>
    <w:rsid w:val="00876451"/>
    <w:rsid w:val="00876638"/>
    <w:rsid w:val="00876BAC"/>
    <w:rsid w:val="008773FD"/>
    <w:rsid w:val="00877441"/>
    <w:rsid w:val="00877960"/>
    <w:rsid w:val="00881825"/>
    <w:rsid w:val="00881CDB"/>
    <w:rsid w:val="0088204B"/>
    <w:rsid w:val="00882160"/>
    <w:rsid w:val="00882228"/>
    <w:rsid w:val="00882541"/>
    <w:rsid w:val="00884B6F"/>
    <w:rsid w:val="008860D8"/>
    <w:rsid w:val="0088693F"/>
    <w:rsid w:val="00886A54"/>
    <w:rsid w:val="008870A9"/>
    <w:rsid w:val="008876F5"/>
    <w:rsid w:val="008909EF"/>
    <w:rsid w:val="008915AB"/>
    <w:rsid w:val="0089163D"/>
    <w:rsid w:val="0089342F"/>
    <w:rsid w:val="008951C0"/>
    <w:rsid w:val="008954F9"/>
    <w:rsid w:val="00895EBD"/>
    <w:rsid w:val="00897434"/>
    <w:rsid w:val="008A54C0"/>
    <w:rsid w:val="008A6493"/>
    <w:rsid w:val="008A7C5C"/>
    <w:rsid w:val="008B0376"/>
    <w:rsid w:val="008B1A11"/>
    <w:rsid w:val="008B1FE4"/>
    <w:rsid w:val="008B26C3"/>
    <w:rsid w:val="008B2B98"/>
    <w:rsid w:val="008B47AD"/>
    <w:rsid w:val="008C0317"/>
    <w:rsid w:val="008C0FDB"/>
    <w:rsid w:val="008C1228"/>
    <w:rsid w:val="008C3749"/>
    <w:rsid w:val="008C5623"/>
    <w:rsid w:val="008C7273"/>
    <w:rsid w:val="008C7355"/>
    <w:rsid w:val="008C76EF"/>
    <w:rsid w:val="008D087B"/>
    <w:rsid w:val="008D3538"/>
    <w:rsid w:val="008D4114"/>
    <w:rsid w:val="008D4CEC"/>
    <w:rsid w:val="008D56B6"/>
    <w:rsid w:val="008D63FA"/>
    <w:rsid w:val="008D68F2"/>
    <w:rsid w:val="008D7414"/>
    <w:rsid w:val="008E1798"/>
    <w:rsid w:val="008E3B37"/>
    <w:rsid w:val="008E4523"/>
    <w:rsid w:val="008E5C9F"/>
    <w:rsid w:val="008E5CB8"/>
    <w:rsid w:val="008F05FC"/>
    <w:rsid w:val="008F065F"/>
    <w:rsid w:val="008F2252"/>
    <w:rsid w:val="008F41A5"/>
    <w:rsid w:val="008F5DA7"/>
    <w:rsid w:val="0090041D"/>
    <w:rsid w:val="009010AE"/>
    <w:rsid w:val="00902AD3"/>
    <w:rsid w:val="009063EE"/>
    <w:rsid w:val="009110B6"/>
    <w:rsid w:val="00914C01"/>
    <w:rsid w:val="009157D0"/>
    <w:rsid w:val="009177CC"/>
    <w:rsid w:val="00920898"/>
    <w:rsid w:val="00925081"/>
    <w:rsid w:val="00925FDA"/>
    <w:rsid w:val="00926EF9"/>
    <w:rsid w:val="00927C0D"/>
    <w:rsid w:val="009302CF"/>
    <w:rsid w:val="00930FAD"/>
    <w:rsid w:val="00931051"/>
    <w:rsid w:val="0093168F"/>
    <w:rsid w:val="00935557"/>
    <w:rsid w:val="00935C10"/>
    <w:rsid w:val="00936A06"/>
    <w:rsid w:val="00937ED6"/>
    <w:rsid w:val="009407EE"/>
    <w:rsid w:val="00941D53"/>
    <w:rsid w:val="00943C02"/>
    <w:rsid w:val="00944515"/>
    <w:rsid w:val="00944B21"/>
    <w:rsid w:val="00946BA7"/>
    <w:rsid w:val="00950C9D"/>
    <w:rsid w:val="009535F2"/>
    <w:rsid w:val="00953D45"/>
    <w:rsid w:val="009545D0"/>
    <w:rsid w:val="00954B28"/>
    <w:rsid w:val="00956AF8"/>
    <w:rsid w:val="0096173A"/>
    <w:rsid w:val="0096178E"/>
    <w:rsid w:val="00961D38"/>
    <w:rsid w:val="00967988"/>
    <w:rsid w:val="00970C57"/>
    <w:rsid w:val="00971CBC"/>
    <w:rsid w:val="00973EC5"/>
    <w:rsid w:val="00975194"/>
    <w:rsid w:val="00975822"/>
    <w:rsid w:val="00975BC1"/>
    <w:rsid w:val="00976073"/>
    <w:rsid w:val="00977115"/>
    <w:rsid w:val="00977E42"/>
    <w:rsid w:val="00980379"/>
    <w:rsid w:val="0098178F"/>
    <w:rsid w:val="0098301B"/>
    <w:rsid w:val="00984F5B"/>
    <w:rsid w:val="00986703"/>
    <w:rsid w:val="00987EBC"/>
    <w:rsid w:val="009900C0"/>
    <w:rsid w:val="00990840"/>
    <w:rsid w:val="00991E1A"/>
    <w:rsid w:val="009931A9"/>
    <w:rsid w:val="0099334E"/>
    <w:rsid w:val="009939DA"/>
    <w:rsid w:val="00994377"/>
    <w:rsid w:val="00994AD7"/>
    <w:rsid w:val="00996F0B"/>
    <w:rsid w:val="009A08C3"/>
    <w:rsid w:val="009A118B"/>
    <w:rsid w:val="009A17EE"/>
    <w:rsid w:val="009A28A9"/>
    <w:rsid w:val="009A2CBE"/>
    <w:rsid w:val="009A2D0F"/>
    <w:rsid w:val="009A4B39"/>
    <w:rsid w:val="009A4C67"/>
    <w:rsid w:val="009A53A4"/>
    <w:rsid w:val="009A585C"/>
    <w:rsid w:val="009A7343"/>
    <w:rsid w:val="009B0C4E"/>
    <w:rsid w:val="009B13A5"/>
    <w:rsid w:val="009B32AE"/>
    <w:rsid w:val="009B3C1F"/>
    <w:rsid w:val="009B4CF1"/>
    <w:rsid w:val="009B56A4"/>
    <w:rsid w:val="009B7EBE"/>
    <w:rsid w:val="009C0F3A"/>
    <w:rsid w:val="009C339C"/>
    <w:rsid w:val="009C3C44"/>
    <w:rsid w:val="009C3F3D"/>
    <w:rsid w:val="009C5043"/>
    <w:rsid w:val="009C5954"/>
    <w:rsid w:val="009C67B7"/>
    <w:rsid w:val="009C6F59"/>
    <w:rsid w:val="009C707C"/>
    <w:rsid w:val="009D13DF"/>
    <w:rsid w:val="009D2288"/>
    <w:rsid w:val="009D30BA"/>
    <w:rsid w:val="009D4BE6"/>
    <w:rsid w:val="009D53B7"/>
    <w:rsid w:val="009E0997"/>
    <w:rsid w:val="009E1227"/>
    <w:rsid w:val="009E4F3F"/>
    <w:rsid w:val="009E5CBC"/>
    <w:rsid w:val="009F419D"/>
    <w:rsid w:val="009F4B62"/>
    <w:rsid w:val="009F5EB0"/>
    <w:rsid w:val="009F7E27"/>
    <w:rsid w:val="00A00744"/>
    <w:rsid w:val="00A01D62"/>
    <w:rsid w:val="00A03082"/>
    <w:rsid w:val="00A05144"/>
    <w:rsid w:val="00A07856"/>
    <w:rsid w:val="00A07B39"/>
    <w:rsid w:val="00A07B72"/>
    <w:rsid w:val="00A07C71"/>
    <w:rsid w:val="00A12C4C"/>
    <w:rsid w:val="00A12D38"/>
    <w:rsid w:val="00A13A5B"/>
    <w:rsid w:val="00A14AE0"/>
    <w:rsid w:val="00A15565"/>
    <w:rsid w:val="00A17DF0"/>
    <w:rsid w:val="00A20B49"/>
    <w:rsid w:val="00A2281E"/>
    <w:rsid w:val="00A263CB"/>
    <w:rsid w:val="00A26BD5"/>
    <w:rsid w:val="00A26D54"/>
    <w:rsid w:val="00A26FB5"/>
    <w:rsid w:val="00A3569C"/>
    <w:rsid w:val="00A365CB"/>
    <w:rsid w:val="00A36CB1"/>
    <w:rsid w:val="00A418C9"/>
    <w:rsid w:val="00A43DE3"/>
    <w:rsid w:val="00A4447F"/>
    <w:rsid w:val="00A445F5"/>
    <w:rsid w:val="00A44717"/>
    <w:rsid w:val="00A44E80"/>
    <w:rsid w:val="00A46AD6"/>
    <w:rsid w:val="00A47212"/>
    <w:rsid w:val="00A47230"/>
    <w:rsid w:val="00A478BA"/>
    <w:rsid w:val="00A50231"/>
    <w:rsid w:val="00A5026F"/>
    <w:rsid w:val="00A50857"/>
    <w:rsid w:val="00A5271D"/>
    <w:rsid w:val="00A53BDC"/>
    <w:rsid w:val="00A55459"/>
    <w:rsid w:val="00A56F83"/>
    <w:rsid w:val="00A5701E"/>
    <w:rsid w:val="00A5703B"/>
    <w:rsid w:val="00A6022C"/>
    <w:rsid w:val="00A60483"/>
    <w:rsid w:val="00A608EC"/>
    <w:rsid w:val="00A6228E"/>
    <w:rsid w:val="00A650C9"/>
    <w:rsid w:val="00A67932"/>
    <w:rsid w:val="00A70196"/>
    <w:rsid w:val="00A70267"/>
    <w:rsid w:val="00A70751"/>
    <w:rsid w:val="00A717E2"/>
    <w:rsid w:val="00A72512"/>
    <w:rsid w:val="00A73CB8"/>
    <w:rsid w:val="00A8012A"/>
    <w:rsid w:val="00A82936"/>
    <w:rsid w:val="00A82F6C"/>
    <w:rsid w:val="00A859DF"/>
    <w:rsid w:val="00A85C92"/>
    <w:rsid w:val="00A870D6"/>
    <w:rsid w:val="00A87888"/>
    <w:rsid w:val="00A917F9"/>
    <w:rsid w:val="00A94D53"/>
    <w:rsid w:val="00A94FA2"/>
    <w:rsid w:val="00A96068"/>
    <w:rsid w:val="00A97ABC"/>
    <w:rsid w:val="00AA0E15"/>
    <w:rsid w:val="00AA2EFD"/>
    <w:rsid w:val="00AA3558"/>
    <w:rsid w:val="00AA4725"/>
    <w:rsid w:val="00AA48EE"/>
    <w:rsid w:val="00AA4EDD"/>
    <w:rsid w:val="00AA6167"/>
    <w:rsid w:val="00AA6AC8"/>
    <w:rsid w:val="00AA771F"/>
    <w:rsid w:val="00AB2271"/>
    <w:rsid w:val="00AB2CF2"/>
    <w:rsid w:val="00AB43AE"/>
    <w:rsid w:val="00AB472C"/>
    <w:rsid w:val="00AB4F4D"/>
    <w:rsid w:val="00AB526F"/>
    <w:rsid w:val="00AB6DDC"/>
    <w:rsid w:val="00AB6F5C"/>
    <w:rsid w:val="00AB736D"/>
    <w:rsid w:val="00AB7814"/>
    <w:rsid w:val="00AB7A87"/>
    <w:rsid w:val="00AC032F"/>
    <w:rsid w:val="00AC174C"/>
    <w:rsid w:val="00AC1AEB"/>
    <w:rsid w:val="00AC1E1B"/>
    <w:rsid w:val="00AC2935"/>
    <w:rsid w:val="00AC37F7"/>
    <w:rsid w:val="00AC7A13"/>
    <w:rsid w:val="00AD05A9"/>
    <w:rsid w:val="00AD169A"/>
    <w:rsid w:val="00AD1B7B"/>
    <w:rsid w:val="00AD3FAB"/>
    <w:rsid w:val="00AD41F3"/>
    <w:rsid w:val="00AD6D10"/>
    <w:rsid w:val="00AE0056"/>
    <w:rsid w:val="00AE011F"/>
    <w:rsid w:val="00AE49B2"/>
    <w:rsid w:val="00AE5D81"/>
    <w:rsid w:val="00AE6678"/>
    <w:rsid w:val="00AE67FB"/>
    <w:rsid w:val="00AE6F3B"/>
    <w:rsid w:val="00AF03AB"/>
    <w:rsid w:val="00AF228E"/>
    <w:rsid w:val="00AF2BBD"/>
    <w:rsid w:val="00AF39E2"/>
    <w:rsid w:val="00AF476A"/>
    <w:rsid w:val="00AF4E3F"/>
    <w:rsid w:val="00AF6B60"/>
    <w:rsid w:val="00B044AA"/>
    <w:rsid w:val="00B04933"/>
    <w:rsid w:val="00B06224"/>
    <w:rsid w:val="00B062BC"/>
    <w:rsid w:val="00B06BB5"/>
    <w:rsid w:val="00B07B9B"/>
    <w:rsid w:val="00B11BCB"/>
    <w:rsid w:val="00B11DB9"/>
    <w:rsid w:val="00B150FF"/>
    <w:rsid w:val="00B15894"/>
    <w:rsid w:val="00B161E8"/>
    <w:rsid w:val="00B20088"/>
    <w:rsid w:val="00B214D2"/>
    <w:rsid w:val="00B24BED"/>
    <w:rsid w:val="00B252DB"/>
    <w:rsid w:val="00B3021D"/>
    <w:rsid w:val="00B35808"/>
    <w:rsid w:val="00B36ED7"/>
    <w:rsid w:val="00B37F5A"/>
    <w:rsid w:val="00B435A1"/>
    <w:rsid w:val="00B43ED3"/>
    <w:rsid w:val="00B44664"/>
    <w:rsid w:val="00B44829"/>
    <w:rsid w:val="00B45144"/>
    <w:rsid w:val="00B451AB"/>
    <w:rsid w:val="00B46113"/>
    <w:rsid w:val="00B47324"/>
    <w:rsid w:val="00B506B0"/>
    <w:rsid w:val="00B51AEA"/>
    <w:rsid w:val="00B54237"/>
    <w:rsid w:val="00B569CD"/>
    <w:rsid w:val="00B56ACF"/>
    <w:rsid w:val="00B573AC"/>
    <w:rsid w:val="00B60012"/>
    <w:rsid w:val="00B6081E"/>
    <w:rsid w:val="00B62668"/>
    <w:rsid w:val="00B62BAA"/>
    <w:rsid w:val="00B634B2"/>
    <w:rsid w:val="00B639CA"/>
    <w:rsid w:val="00B6575B"/>
    <w:rsid w:val="00B657A8"/>
    <w:rsid w:val="00B6610A"/>
    <w:rsid w:val="00B67907"/>
    <w:rsid w:val="00B67B06"/>
    <w:rsid w:val="00B67DBF"/>
    <w:rsid w:val="00B722DD"/>
    <w:rsid w:val="00B731A3"/>
    <w:rsid w:val="00B732DA"/>
    <w:rsid w:val="00B7472B"/>
    <w:rsid w:val="00B7597F"/>
    <w:rsid w:val="00B82F35"/>
    <w:rsid w:val="00B83216"/>
    <w:rsid w:val="00B832A6"/>
    <w:rsid w:val="00B84C79"/>
    <w:rsid w:val="00B84F42"/>
    <w:rsid w:val="00B8774F"/>
    <w:rsid w:val="00B87755"/>
    <w:rsid w:val="00B90A08"/>
    <w:rsid w:val="00B95CA8"/>
    <w:rsid w:val="00B968A5"/>
    <w:rsid w:val="00B97838"/>
    <w:rsid w:val="00BA0196"/>
    <w:rsid w:val="00BA13CB"/>
    <w:rsid w:val="00BA3BBE"/>
    <w:rsid w:val="00BA4012"/>
    <w:rsid w:val="00BA5A24"/>
    <w:rsid w:val="00BA5B1A"/>
    <w:rsid w:val="00BA6958"/>
    <w:rsid w:val="00BB0281"/>
    <w:rsid w:val="00BB0F62"/>
    <w:rsid w:val="00BB1085"/>
    <w:rsid w:val="00BB1ED6"/>
    <w:rsid w:val="00BB2A96"/>
    <w:rsid w:val="00BB449E"/>
    <w:rsid w:val="00BB689E"/>
    <w:rsid w:val="00BB7063"/>
    <w:rsid w:val="00BB73B7"/>
    <w:rsid w:val="00BB7CDF"/>
    <w:rsid w:val="00BC085B"/>
    <w:rsid w:val="00BC10E1"/>
    <w:rsid w:val="00BC2152"/>
    <w:rsid w:val="00BC2D6F"/>
    <w:rsid w:val="00BC4E4A"/>
    <w:rsid w:val="00BC50DB"/>
    <w:rsid w:val="00BC56DE"/>
    <w:rsid w:val="00BC66BD"/>
    <w:rsid w:val="00BC77DB"/>
    <w:rsid w:val="00BD2C81"/>
    <w:rsid w:val="00BD2EAC"/>
    <w:rsid w:val="00BD3736"/>
    <w:rsid w:val="00BD6EAF"/>
    <w:rsid w:val="00BD6EB5"/>
    <w:rsid w:val="00BE1300"/>
    <w:rsid w:val="00BE1683"/>
    <w:rsid w:val="00BE3013"/>
    <w:rsid w:val="00BF168A"/>
    <w:rsid w:val="00BF1922"/>
    <w:rsid w:val="00BF19BB"/>
    <w:rsid w:val="00BF33DA"/>
    <w:rsid w:val="00BF7A03"/>
    <w:rsid w:val="00BF7B90"/>
    <w:rsid w:val="00C012F6"/>
    <w:rsid w:val="00C01D4E"/>
    <w:rsid w:val="00C0302B"/>
    <w:rsid w:val="00C03CAD"/>
    <w:rsid w:val="00C049CE"/>
    <w:rsid w:val="00C0532B"/>
    <w:rsid w:val="00C05EA5"/>
    <w:rsid w:val="00C06E27"/>
    <w:rsid w:val="00C104E7"/>
    <w:rsid w:val="00C10E7B"/>
    <w:rsid w:val="00C1300D"/>
    <w:rsid w:val="00C15360"/>
    <w:rsid w:val="00C15933"/>
    <w:rsid w:val="00C15A99"/>
    <w:rsid w:val="00C17599"/>
    <w:rsid w:val="00C17F06"/>
    <w:rsid w:val="00C20A84"/>
    <w:rsid w:val="00C20C14"/>
    <w:rsid w:val="00C21989"/>
    <w:rsid w:val="00C23395"/>
    <w:rsid w:val="00C23529"/>
    <w:rsid w:val="00C25F3C"/>
    <w:rsid w:val="00C27135"/>
    <w:rsid w:val="00C278ED"/>
    <w:rsid w:val="00C340D3"/>
    <w:rsid w:val="00C40918"/>
    <w:rsid w:val="00C41E45"/>
    <w:rsid w:val="00C4210E"/>
    <w:rsid w:val="00C426D0"/>
    <w:rsid w:val="00C42A6E"/>
    <w:rsid w:val="00C435C6"/>
    <w:rsid w:val="00C438AC"/>
    <w:rsid w:val="00C50BB5"/>
    <w:rsid w:val="00C51262"/>
    <w:rsid w:val="00C52AFF"/>
    <w:rsid w:val="00C5494C"/>
    <w:rsid w:val="00C55487"/>
    <w:rsid w:val="00C608BD"/>
    <w:rsid w:val="00C61C94"/>
    <w:rsid w:val="00C622D9"/>
    <w:rsid w:val="00C65C68"/>
    <w:rsid w:val="00C6604D"/>
    <w:rsid w:val="00C70ACB"/>
    <w:rsid w:val="00C71F77"/>
    <w:rsid w:val="00C7335D"/>
    <w:rsid w:val="00C73C2B"/>
    <w:rsid w:val="00C74431"/>
    <w:rsid w:val="00C75148"/>
    <w:rsid w:val="00C76626"/>
    <w:rsid w:val="00C80FED"/>
    <w:rsid w:val="00C81438"/>
    <w:rsid w:val="00C8408F"/>
    <w:rsid w:val="00C85066"/>
    <w:rsid w:val="00C85942"/>
    <w:rsid w:val="00C867F3"/>
    <w:rsid w:val="00C86BBA"/>
    <w:rsid w:val="00C87649"/>
    <w:rsid w:val="00C87921"/>
    <w:rsid w:val="00C87992"/>
    <w:rsid w:val="00C902DF"/>
    <w:rsid w:val="00C9103E"/>
    <w:rsid w:val="00C9335B"/>
    <w:rsid w:val="00C93DFB"/>
    <w:rsid w:val="00C93F0D"/>
    <w:rsid w:val="00C94768"/>
    <w:rsid w:val="00C94865"/>
    <w:rsid w:val="00C94C78"/>
    <w:rsid w:val="00C955A2"/>
    <w:rsid w:val="00C95D33"/>
    <w:rsid w:val="00C96C14"/>
    <w:rsid w:val="00CA054A"/>
    <w:rsid w:val="00CA33F1"/>
    <w:rsid w:val="00CA3BA9"/>
    <w:rsid w:val="00CA4735"/>
    <w:rsid w:val="00CA4A69"/>
    <w:rsid w:val="00CA5030"/>
    <w:rsid w:val="00CA52C4"/>
    <w:rsid w:val="00CA6550"/>
    <w:rsid w:val="00CA683D"/>
    <w:rsid w:val="00CA695B"/>
    <w:rsid w:val="00CA6CA8"/>
    <w:rsid w:val="00CB0FBB"/>
    <w:rsid w:val="00CB20A9"/>
    <w:rsid w:val="00CB24AE"/>
    <w:rsid w:val="00CB2584"/>
    <w:rsid w:val="00CB38F3"/>
    <w:rsid w:val="00CB40CB"/>
    <w:rsid w:val="00CB54B9"/>
    <w:rsid w:val="00CB57B7"/>
    <w:rsid w:val="00CC178D"/>
    <w:rsid w:val="00CC1E81"/>
    <w:rsid w:val="00CC1EE4"/>
    <w:rsid w:val="00CC23B2"/>
    <w:rsid w:val="00CC3323"/>
    <w:rsid w:val="00CC3BB2"/>
    <w:rsid w:val="00CC41B9"/>
    <w:rsid w:val="00CC5F2A"/>
    <w:rsid w:val="00CD291E"/>
    <w:rsid w:val="00CD52D4"/>
    <w:rsid w:val="00CD68C9"/>
    <w:rsid w:val="00CE180E"/>
    <w:rsid w:val="00CE3380"/>
    <w:rsid w:val="00CE54C5"/>
    <w:rsid w:val="00CE5B7C"/>
    <w:rsid w:val="00CE5DAE"/>
    <w:rsid w:val="00CE5DB0"/>
    <w:rsid w:val="00CE651E"/>
    <w:rsid w:val="00CE6C6D"/>
    <w:rsid w:val="00CF06F9"/>
    <w:rsid w:val="00CF10D2"/>
    <w:rsid w:val="00CF1A3A"/>
    <w:rsid w:val="00CF247A"/>
    <w:rsid w:val="00CF3AD5"/>
    <w:rsid w:val="00CF487D"/>
    <w:rsid w:val="00CF6866"/>
    <w:rsid w:val="00CF7141"/>
    <w:rsid w:val="00CF78ED"/>
    <w:rsid w:val="00D04D29"/>
    <w:rsid w:val="00D04E33"/>
    <w:rsid w:val="00D05FBD"/>
    <w:rsid w:val="00D064DF"/>
    <w:rsid w:val="00D06B70"/>
    <w:rsid w:val="00D07C00"/>
    <w:rsid w:val="00D07F82"/>
    <w:rsid w:val="00D10535"/>
    <w:rsid w:val="00D1053B"/>
    <w:rsid w:val="00D107EB"/>
    <w:rsid w:val="00D11FCF"/>
    <w:rsid w:val="00D12A0B"/>
    <w:rsid w:val="00D12B1F"/>
    <w:rsid w:val="00D12E8D"/>
    <w:rsid w:val="00D13119"/>
    <w:rsid w:val="00D17D89"/>
    <w:rsid w:val="00D21B9E"/>
    <w:rsid w:val="00D21DAD"/>
    <w:rsid w:val="00D22CAD"/>
    <w:rsid w:val="00D23BB9"/>
    <w:rsid w:val="00D24AE3"/>
    <w:rsid w:val="00D27CE6"/>
    <w:rsid w:val="00D30AAE"/>
    <w:rsid w:val="00D30AC6"/>
    <w:rsid w:val="00D31437"/>
    <w:rsid w:val="00D31B4A"/>
    <w:rsid w:val="00D31F34"/>
    <w:rsid w:val="00D32777"/>
    <w:rsid w:val="00D3528D"/>
    <w:rsid w:val="00D474C1"/>
    <w:rsid w:val="00D50746"/>
    <w:rsid w:val="00D51CCD"/>
    <w:rsid w:val="00D51FDD"/>
    <w:rsid w:val="00D5375D"/>
    <w:rsid w:val="00D54B55"/>
    <w:rsid w:val="00D5607C"/>
    <w:rsid w:val="00D56B51"/>
    <w:rsid w:val="00D56CF5"/>
    <w:rsid w:val="00D56FF1"/>
    <w:rsid w:val="00D5731D"/>
    <w:rsid w:val="00D5776D"/>
    <w:rsid w:val="00D578D6"/>
    <w:rsid w:val="00D60310"/>
    <w:rsid w:val="00D60D57"/>
    <w:rsid w:val="00D62059"/>
    <w:rsid w:val="00D621EB"/>
    <w:rsid w:val="00D636B1"/>
    <w:rsid w:val="00D636B9"/>
    <w:rsid w:val="00D648D1"/>
    <w:rsid w:val="00D65B28"/>
    <w:rsid w:val="00D66FEF"/>
    <w:rsid w:val="00D67868"/>
    <w:rsid w:val="00D678B8"/>
    <w:rsid w:val="00D71B5E"/>
    <w:rsid w:val="00D71B8D"/>
    <w:rsid w:val="00D73562"/>
    <w:rsid w:val="00D73F80"/>
    <w:rsid w:val="00D75776"/>
    <w:rsid w:val="00D840ED"/>
    <w:rsid w:val="00D856CC"/>
    <w:rsid w:val="00D86E7F"/>
    <w:rsid w:val="00D8714E"/>
    <w:rsid w:val="00D939CD"/>
    <w:rsid w:val="00D93D56"/>
    <w:rsid w:val="00D95A5E"/>
    <w:rsid w:val="00D96997"/>
    <w:rsid w:val="00D974A4"/>
    <w:rsid w:val="00DA31AA"/>
    <w:rsid w:val="00DA7419"/>
    <w:rsid w:val="00DB2458"/>
    <w:rsid w:val="00DB2565"/>
    <w:rsid w:val="00DB4A15"/>
    <w:rsid w:val="00DB512A"/>
    <w:rsid w:val="00DB52DE"/>
    <w:rsid w:val="00DB5D83"/>
    <w:rsid w:val="00DB6D48"/>
    <w:rsid w:val="00DC12D2"/>
    <w:rsid w:val="00DC2E14"/>
    <w:rsid w:val="00DC346F"/>
    <w:rsid w:val="00DC4298"/>
    <w:rsid w:val="00DC45C8"/>
    <w:rsid w:val="00DC4BD4"/>
    <w:rsid w:val="00DC57A2"/>
    <w:rsid w:val="00DC5907"/>
    <w:rsid w:val="00DC743C"/>
    <w:rsid w:val="00DC7476"/>
    <w:rsid w:val="00DC7582"/>
    <w:rsid w:val="00DD6D97"/>
    <w:rsid w:val="00DE05CB"/>
    <w:rsid w:val="00DE2D19"/>
    <w:rsid w:val="00DE5150"/>
    <w:rsid w:val="00DF0244"/>
    <w:rsid w:val="00DF5DBD"/>
    <w:rsid w:val="00DF66A5"/>
    <w:rsid w:val="00DF66BB"/>
    <w:rsid w:val="00DF6B9C"/>
    <w:rsid w:val="00E00D6B"/>
    <w:rsid w:val="00E01876"/>
    <w:rsid w:val="00E04511"/>
    <w:rsid w:val="00E04588"/>
    <w:rsid w:val="00E12E07"/>
    <w:rsid w:val="00E133E4"/>
    <w:rsid w:val="00E136A0"/>
    <w:rsid w:val="00E14C5C"/>
    <w:rsid w:val="00E15224"/>
    <w:rsid w:val="00E155E4"/>
    <w:rsid w:val="00E173B1"/>
    <w:rsid w:val="00E17D4E"/>
    <w:rsid w:val="00E2025B"/>
    <w:rsid w:val="00E20BEF"/>
    <w:rsid w:val="00E21628"/>
    <w:rsid w:val="00E22B4E"/>
    <w:rsid w:val="00E2384E"/>
    <w:rsid w:val="00E23864"/>
    <w:rsid w:val="00E23D46"/>
    <w:rsid w:val="00E24717"/>
    <w:rsid w:val="00E27C21"/>
    <w:rsid w:val="00E30DFE"/>
    <w:rsid w:val="00E31068"/>
    <w:rsid w:val="00E31134"/>
    <w:rsid w:val="00E31187"/>
    <w:rsid w:val="00E314C9"/>
    <w:rsid w:val="00E323AF"/>
    <w:rsid w:val="00E35847"/>
    <w:rsid w:val="00E35C5F"/>
    <w:rsid w:val="00E35F37"/>
    <w:rsid w:val="00E36530"/>
    <w:rsid w:val="00E36BDF"/>
    <w:rsid w:val="00E36C12"/>
    <w:rsid w:val="00E36E1B"/>
    <w:rsid w:val="00E370CE"/>
    <w:rsid w:val="00E37551"/>
    <w:rsid w:val="00E41420"/>
    <w:rsid w:val="00E41837"/>
    <w:rsid w:val="00E42CC9"/>
    <w:rsid w:val="00E42F37"/>
    <w:rsid w:val="00E435EA"/>
    <w:rsid w:val="00E44412"/>
    <w:rsid w:val="00E45ECB"/>
    <w:rsid w:val="00E50290"/>
    <w:rsid w:val="00E50698"/>
    <w:rsid w:val="00E51241"/>
    <w:rsid w:val="00E51E77"/>
    <w:rsid w:val="00E523CF"/>
    <w:rsid w:val="00E5242C"/>
    <w:rsid w:val="00E5383E"/>
    <w:rsid w:val="00E53914"/>
    <w:rsid w:val="00E546B8"/>
    <w:rsid w:val="00E577AF"/>
    <w:rsid w:val="00E57B38"/>
    <w:rsid w:val="00E60AFE"/>
    <w:rsid w:val="00E60E37"/>
    <w:rsid w:val="00E6191F"/>
    <w:rsid w:val="00E61CD0"/>
    <w:rsid w:val="00E61DC1"/>
    <w:rsid w:val="00E63A6A"/>
    <w:rsid w:val="00E646BB"/>
    <w:rsid w:val="00E6471A"/>
    <w:rsid w:val="00E66BC9"/>
    <w:rsid w:val="00E66F66"/>
    <w:rsid w:val="00E671A0"/>
    <w:rsid w:val="00E67487"/>
    <w:rsid w:val="00E67B1B"/>
    <w:rsid w:val="00E70B9E"/>
    <w:rsid w:val="00E715DD"/>
    <w:rsid w:val="00E71A17"/>
    <w:rsid w:val="00E729CB"/>
    <w:rsid w:val="00E747A4"/>
    <w:rsid w:val="00E75799"/>
    <w:rsid w:val="00E75D40"/>
    <w:rsid w:val="00E778C9"/>
    <w:rsid w:val="00E801E7"/>
    <w:rsid w:val="00E80CE1"/>
    <w:rsid w:val="00E82604"/>
    <w:rsid w:val="00E84284"/>
    <w:rsid w:val="00E847F7"/>
    <w:rsid w:val="00E84F2A"/>
    <w:rsid w:val="00E851EF"/>
    <w:rsid w:val="00E858EC"/>
    <w:rsid w:val="00E86B42"/>
    <w:rsid w:val="00E876B4"/>
    <w:rsid w:val="00E8784C"/>
    <w:rsid w:val="00E911CE"/>
    <w:rsid w:val="00E92E13"/>
    <w:rsid w:val="00E977BB"/>
    <w:rsid w:val="00E97D6B"/>
    <w:rsid w:val="00EA0076"/>
    <w:rsid w:val="00EA2A8C"/>
    <w:rsid w:val="00EA522C"/>
    <w:rsid w:val="00EA5D17"/>
    <w:rsid w:val="00EA6EDF"/>
    <w:rsid w:val="00EA7E98"/>
    <w:rsid w:val="00EB0598"/>
    <w:rsid w:val="00EB1FDC"/>
    <w:rsid w:val="00EB2FE6"/>
    <w:rsid w:val="00EB32C2"/>
    <w:rsid w:val="00EB4D6D"/>
    <w:rsid w:val="00EB6FE4"/>
    <w:rsid w:val="00EC05AB"/>
    <w:rsid w:val="00EC09D8"/>
    <w:rsid w:val="00EC2995"/>
    <w:rsid w:val="00EC34B4"/>
    <w:rsid w:val="00EC36DF"/>
    <w:rsid w:val="00EC41E6"/>
    <w:rsid w:val="00EC4971"/>
    <w:rsid w:val="00EC4B50"/>
    <w:rsid w:val="00EC5F26"/>
    <w:rsid w:val="00EC5F3B"/>
    <w:rsid w:val="00ED00DD"/>
    <w:rsid w:val="00ED53EC"/>
    <w:rsid w:val="00ED551F"/>
    <w:rsid w:val="00ED6A74"/>
    <w:rsid w:val="00EE101B"/>
    <w:rsid w:val="00EE121E"/>
    <w:rsid w:val="00EE18B8"/>
    <w:rsid w:val="00EE3021"/>
    <w:rsid w:val="00EE3133"/>
    <w:rsid w:val="00EE341C"/>
    <w:rsid w:val="00EE39F1"/>
    <w:rsid w:val="00EE3EF2"/>
    <w:rsid w:val="00EE41A2"/>
    <w:rsid w:val="00EE44DF"/>
    <w:rsid w:val="00EE56DF"/>
    <w:rsid w:val="00EE5F47"/>
    <w:rsid w:val="00EE6402"/>
    <w:rsid w:val="00EF131D"/>
    <w:rsid w:val="00EF30BF"/>
    <w:rsid w:val="00EF3656"/>
    <w:rsid w:val="00EF41A1"/>
    <w:rsid w:val="00F00652"/>
    <w:rsid w:val="00F007C9"/>
    <w:rsid w:val="00F023A3"/>
    <w:rsid w:val="00F02990"/>
    <w:rsid w:val="00F042B0"/>
    <w:rsid w:val="00F05217"/>
    <w:rsid w:val="00F05E21"/>
    <w:rsid w:val="00F06E5D"/>
    <w:rsid w:val="00F11300"/>
    <w:rsid w:val="00F12C49"/>
    <w:rsid w:val="00F140B4"/>
    <w:rsid w:val="00F14876"/>
    <w:rsid w:val="00F15A3D"/>
    <w:rsid w:val="00F16FAE"/>
    <w:rsid w:val="00F21E99"/>
    <w:rsid w:val="00F21F01"/>
    <w:rsid w:val="00F223B8"/>
    <w:rsid w:val="00F229FC"/>
    <w:rsid w:val="00F26C87"/>
    <w:rsid w:val="00F278BA"/>
    <w:rsid w:val="00F314BB"/>
    <w:rsid w:val="00F31801"/>
    <w:rsid w:val="00F32EF5"/>
    <w:rsid w:val="00F33359"/>
    <w:rsid w:val="00F33632"/>
    <w:rsid w:val="00F33687"/>
    <w:rsid w:val="00F33C75"/>
    <w:rsid w:val="00F356BB"/>
    <w:rsid w:val="00F35C86"/>
    <w:rsid w:val="00F36671"/>
    <w:rsid w:val="00F37FCB"/>
    <w:rsid w:val="00F41E40"/>
    <w:rsid w:val="00F42347"/>
    <w:rsid w:val="00F42C9D"/>
    <w:rsid w:val="00F432DD"/>
    <w:rsid w:val="00F435FF"/>
    <w:rsid w:val="00F463AD"/>
    <w:rsid w:val="00F47937"/>
    <w:rsid w:val="00F5230E"/>
    <w:rsid w:val="00F5239F"/>
    <w:rsid w:val="00F52F25"/>
    <w:rsid w:val="00F54E2C"/>
    <w:rsid w:val="00F55194"/>
    <w:rsid w:val="00F559C1"/>
    <w:rsid w:val="00F56485"/>
    <w:rsid w:val="00F6146C"/>
    <w:rsid w:val="00F62866"/>
    <w:rsid w:val="00F62ADA"/>
    <w:rsid w:val="00F6346B"/>
    <w:rsid w:val="00F65B64"/>
    <w:rsid w:val="00F67B7D"/>
    <w:rsid w:val="00F70C0D"/>
    <w:rsid w:val="00F73FDB"/>
    <w:rsid w:val="00F80823"/>
    <w:rsid w:val="00F80D63"/>
    <w:rsid w:val="00F819B9"/>
    <w:rsid w:val="00F82184"/>
    <w:rsid w:val="00F82937"/>
    <w:rsid w:val="00F834BC"/>
    <w:rsid w:val="00F83B56"/>
    <w:rsid w:val="00F86EAB"/>
    <w:rsid w:val="00F86EC1"/>
    <w:rsid w:val="00F87082"/>
    <w:rsid w:val="00F871D4"/>
    <w:rsid w:val="00F908EE"/>
    <w:rsid w:val="00F90A5C"/>
    <w:rsid w:val="00F90EE4"/>
    <w:rsid w:val="00F916C9"/>
    <w:rsid w:val="00F92D4C"/>
    <w:rsid w:val="00F930EA"/>
    <w:rsid w:val="00F93E2E"/>
    <w:rsid w:val="00F9484F"/>
    <w:rsid w:val="00F973B5"/>
    <w:rsid w:val="00FA1896"/>
    <w:rsid w:val="00FA27DB"/>
    <w:rsid w:val="00FA4D54"/>
    <w:rsid w:val="00FA669F"/>
    <w:rsid w:val="00FA6DD0"/>
    <w:rsid w:val="00FA7995"/>
    <w:rsid w:val="00FB0ADF"/>
    <w:rsid w:val="00FB1699"/>
    <w:rsid w:val="00FB226D"/>
    <w:rsid w:val="00FB54BE"/>
    <w:rsid w:val="00FB7773"/>
    <w:rsid w:val="00FB7C0D"/>
    <w:rsid w:val="00FC0301"/>
    <w:rsid w:val="00FC0B36"/>
    <w:rsid w:val="00FC40A1"/>
    <w:rsid w:val="00FC43AF"/>
    <w:rsid w:val="00FD1B41"/>
    <w:rsid w:val="00FD2A6B"/>
    <w:rsid w:val="00FE219A"/>
    <w:rsid w:val="00FE3FB1"/>
    <w:rsid w:val="00FE40B8"/>
    <w:rsid w:val="00FE43A0"/>
    <w:rsid w:val="00FE5292"/>
    <w:rsid w:val="00FE5398"/>
    <w:rsid w:val="00FE58B5"/>
    <w:rsid w:val="00FE6248"/>
    <w:rsid w:val="00FE7D22"/>
    <w:rsid w:val="00FF14C2"/>
    <w:rsid w:val="00FF340E"/>
    <w:rsid w:val="00FF508A"/>
    <w:rsid w:val="00FF54C2"/>
    <w:rsid w:val="00FF608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EB0"/>
    <w:pPr>
      <w:spacing w:line="480" w:lineRule="auto"/>
      <w:ind w:firstLine="720"/>
      <w:jc w:val="both"/>
    </w:pPr>
    <w:rPr>
      <w:rFonts w:ascii="Calibri" w:hAnsi="Calibri" w:cs="Times New Roman"/>
      <w:sz w:val="22"/>
      <w:szCs w:val="22"/>
    </w:rPr>
  </w:style>
  <w:style w:type="paragraph" w:styleId="Heading1">
    <w:name w:val="heading 1"/>
    <w:basedOn w:val="Normal"/>
    <w:next w:val="Normal"/>
    <w:link w:val="Heading1Char"/>
    <w:uiPriority w:val="9"/>
    <w:qFormat/>
    <w:rsid w:val="00202543"/>
    <w:pPr>
      <w:spacing w:before="600" w:after="120"/>
      <w:ind w:firstLine="0"/>
      <w:contextualSpacing/>
      <w:outlineLvl w:val="0"/>
    </w:pPr>
    <w:rPr>
      <w:rFonts w:asciiTheme="minorHAnsi" w:hAnsiTheme="minorHAnsi" w:cstheme="minorBidi"/>
      <w:b/>
      <w:bCs/>
      <w:sz w:val="28"/>
      <w:szCs w:val="28"/>
    </w:rPr>
  </w:style>
  <w:style w:type="paragraph" w:styleId="Heading2">
    <w:name w:val="heading 2"/>
    <w:basedOn w:val="Normal"/>
    <w:next w:val="Normal"/>
    <w:link w:val="Heading2Char"/>
    <w:uiPriority w:val="9"/>
    <w:unhideWhenUsed/>
    <w:qFormat/>
    <w:rsid w:val="00CB40CB"/>
    <w:pPr>
      <w:keepNext/>
      <w:keepLines/>
      <w:spacing w:before="40" w:line="360" w:lineRule="auto"/>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autoRedefine/>
    <w:uiPriority w:val="9"/>
    <w:qFormat/>
    <w:rsid w:val="008954F9"/>
    <w:pPr>
      <w:spacing w:before="320" w:after="120" w:line="360" w:lineRule="auto"/>
      <w:ind w:firstLine="0"/>
      <w:outlineLvl w:val="2"/>
    </w:pPr>
    <w:rPr>
      <w:rFonts w:asciiTheme="minorHAnsi" w:hAnsiTheme="minorHAnsi" w:cstheme="minorBidi"/>
      <w:bCs/>
      <w:i/>
      <w:lang w:val="nl-NL"/>
    </w:rPr>
  </w:style>
  <w:style w:type="paragraph" w:styleId="Heading4">
    <w:name w:val="heading 4"/>
    <w:basedOn w:val="Normal"/>
    <w:next w:val="Normal"/>
    <w:link w:val="Heading4Char"/>
    <w:autoRedefine/>
    <w:uiPriority w:val="9"/>
    <w:qFormat/>
    <w:rsid w:val="002D142D"/>
    <w:pPr>
      <w:spacing w:before="200"/>
      <w:outlineLvl w:val="3"/>
    </w:pPr>
    <w:rPr>
      <w:rFonts w:asciiTheme="majorHAnsi" w:hAnsiTheme="majorHAnsi" w:cstheme="minorBidi"/>
      <w:b/>
      <w:bCs/>
      <w:i/>
      <w:i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2543"/>
    <w:rPr>
      <w:b/>
      <w:bCs/>
      <w:sz w:val="28"/>
      <w:szCs w:val="28"/>
    </w:rPr>
  </w:style>
  <w:style w:type="character" w:customStyle="1" w:styleId="Heading4Char">
    <w:name w:val="Heading 4 Char"/>
    <w:link w:val="Heading4"/>
    <w:uiPriority w:val="9"/>
    <w:rsid w:val="002D142D"/>
    <w:rPr>
      <w:rFonts w:asciiTheme="majorHAnsi" w:hAnsiTheme="majorHAnsi"/>
      <w:b/>
      <w:bCs/>
      <w:i/>
      <w:iCs/>
      <w:sz w:val="22"/>
      <w:szCs w:val="22"/>
      <w:lang w:val="nl-NL"/>
    </w:rPr>
  </w:style>
  <w:style w:type="character" w:customStyle="1" w:styleId="Heading3Char">
    <w:name w:val="Heading 3 Char"/>
    <w:link w:val="Heading3"/>
    <w:uiPriority w:val="9"/>
    <w:rsid w:val="008954F9"/>
    <w:rPr>
      <w:bCs/>
      <w:i/>
      <w:sz w:val="22"/>
      <w:szCs w:val="22"/>
      <w:lang w:val="nl-NL"/>
    </w:rPr>
  </w:style>
  <w:style w:type="paragraph" w:styleId="Title">
    <w:name w:val="Title"/>
    <w:basedOn w:val="Normal"/>
    <w:next w:val="Normal"/>
    <w:link w:val="TitleChar"/>
    <w:uiPriority w:val="10"/>
    <w:qFormat/>
    <w:rsid w:val="00441FDB"/>
    <w:pPr>
      <w:spacing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441FDB"/>
    <w:rPr>
      <w:rFonts w:asciiTheme="majorHAnsi" w:eastAsiaTheme="majorEastAsia" w:hAnsiTheme="majorHAnsi" w:cstheme="majorBidi"/>
      <w:b/>
      <w:spacing w:val="-10"/>
      <w:kern w:val="28"/>
      <w:sz w:val="36"/>
      <w:szCs w:val="56"/>
    </w:rPr>
  </w:style>
  <w:style w:type="paragraph" w:styleId="NoSpacing">
    <w:name w:val="No Spacing"/>
    <w:uiPriority w:val="1"/>
    <w:qFormat/>
    <w:rsid w:val="00441FDB"/>
    <w:pPr>
      <w:jc w:val="both"/>
    </w:pPr>
    <w:rPr>
      <w:rFonts w:ascii="Calibri" w:hAnsi="Calibri" w:cs="Times New Roman"/>
      <w:sz w:val="22"/>
      <w:szCs w:val="22"/>
    </w:rPr>
  </w:style>
  <w:style w:type="character" w:styleId="SubtleReference">
    <w:name w:val="Subtle Reference"/>
    <w:basedOn w:val="DefaultParagraphFont"/>
    <w:uiPriority w:val="31"/>
    <w:qFormat/>
    <w:rsid w:val="00441FDB"/>
    <w:rPr>
      <w:rFonts w:asciiTheme="minorHAnsi" w:hAnsiTheme="minorHAnsi"/>
      <w:b w:val="0"/>
      <w:i/>
      <w:caps w:val="0"/>
      <w:smallCaps/>
      <w:color w:val="000000" w:themeColor="text1"/>
      <w:sz w:val="20"/>
    </w:rPr>
  </w:style>
  <w:style w:type="character" w:styleId="Hyperlink">
    <w:name w:val="Hyperlink"/>
    <w:basedOn w:val="DefaultParagraphFont"/>
    <w:uiPriority w:val="99"/>
    <w:unhideWhenUsed/>
    <w:rsid w:val="00441FDB"/>
    <w:rPr>
      <w:color w:val="5F5F5F" w:themeColor="hyperlink"/>
      <w:u w:val="single"/>
    </w:rPr>
  </w:style>
  <w:style w:type="character" w:customStyle="1" w:styleId="Heading2Char">
    <w:name w:val="Heading 2 Char"/>
    <w:basedOn w:val="DefaultParagraphFont"/>
    <w:link w:val="Heading2"/>
    <w:uiPriority w:val="9"/>
    <w:rsid w:val="00CB40CB"/>
    <w:rPr>
      <w:rFonts w:asciiTheme="majorHAnsi" w:eastAsiaTheme="majorEastAsia" w:hAnsiTheme="majorHAnsi" w:cstheme="majorBidi"/>
      <w:color w:val="A5A5A5" w:themeColor="accent1" w:themeShade="BF"/>
      <w:sz w:val="26"/>
      <w:szCs w:val="26"/>
    </w:rPr>
  </w:style>
  <w:style w:type="paragraph" w:styleId="Header">
    <w:name w:val="header"/>
    <w:basedOn w:val="Normal"/>
    <w:link w:val="HeaderChar"/>
    <w:uiPriority w:val="99"/>
    <w:unhideWhenUsed/>
    <w:rsid w:val="007938EB"/>
    <w:pPr>
      <w:tabs>
        <w:tab w:val="center" w:pos="4680"/>
        <w:tab w:val="right" w:pos="9360"/>
      </w:tabs>
      <w:spacing w:line="240" w:lineRule="auto"/>
    </w:pPr>
  </w:style>
  <w:style w:type="character" w:customStyle="1" w:styleId="HeaderChar">
    <w:name w:val="Header Char"/>
    <w:basedOn w:val="DefaultParagraphFont"/>
    <w:link w:val="Header"/>
    <w:uiPriority w:val="99"/>
    <w:rsid w:val="007938EB"/>
    <w:rPr>
      <w:rFonts w:ascii="Calibri" w:hAnsi="Calibri" w:cs="Times New Roman"/>
      <w:sz w:val="22"/>
      <w:szCs w:val="22"/>
    </w:rPr>
  </w:style>
  <w:style w:type="paragraph" w:styleId="Footer">
    <w:name w:val="footer"/>
    <w:basedOn w:val="Normal"/>
    <w:link w:val="FooterChar"/>
    <w:uiPriority w:val="99"/>
    <w:unhideWhenUsed/>
    <w:rsid w:val="007938EB"/>
    <w:pPr>
      <w:tabs>
        <w:tab w:val="center" w:pos="4680"/>
        <w:tab w:val="right" w:pos="9360"/>
      </w:tabs>
      <w:spacing w:line="240" w:lineRule="auto"/>
    </w:pPr>
  </w:style>
  <w:style w:type="character" w:customStyle="1" w:styleId="FooterChar">
    <w:name w:val="Footer Char"/>
    <w:basedOn w:val="DefaultParagraphFont"/>
    <w:link w:val="Footer"/>
    <w:uiPriority w:val="99"/>
    <w:rsid w:val="007938EB"/>
    <w:rPr>
      <w:rFonts w:ascii="Calibri" w:hAnsi="Calibri" w:cs="Times New Roman"/>
      <w:sz w:val="22"/>
      <w:szCs w:val="22"/>
    </w:rPr>
  </w:style>
  <w:style w:type="character" w:styleId="PageNumber">
    <w:name w:val="page number"/>
    <w:basedOn w:val="DefaultParagraphFont"/>
    <w:uiPriority w:val="99"/>
    <w:semiHidden/>
    <w:unhideWhenUsed/>
    <w:rsid w:val="007938EB"/>
  </w:style>
  <w:style w:type="paragraph" w:styleId="BalloonText">
    <w:name w:val="Balloon Text"/>
    <w:basedOn w:val="Normal"/>
    <w:link w:val="BalloonTextChar"/>
    <w:uiPriority w:val="99"/>
    <w:semiHidden/>
    <w:unhideWhenUsed/>
    <w:rsid w:val="003E60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01C"/>
    <w:rPr>
      <w:rFonts w:ascii="Tahoma" w:hAnsi="Tahoma" w:cs="Tahoma"/>
      <w:sz w:val="16"/>
      <w:szCs w:val="16"/>
    </w:rPr>
  </w:style>
  <w:style w:type="character" w:styleId="CommentReference">
    <w:name w:val="annotation reference"/>
    <w:basedOn w:val="DefaultParagraphFont"/>
    <w:uiPriority w:val="99"/>
    <w:semiHidden/>
    <w:unhideWhenUsed/>
    <w:rsid w:val="009B32AE"/>
    <w:rPr>
      <w:sz w:val="16"/>
      <w:szCs w:val="16"/>
    </w:rPr>
  </w:style>
  <w:style w:type="paragraph" w:styleId="CommentText">
    <w:name w:val="annotation text"/>
    <w:basedOn w:val="Normal"/>
    <w:link w:val="CommentTextChar"/>
    <w:uiPriority w:val="99"/>
    <w:semiHidden/>
    <w:unhideWhenUsed/>
    <w:rsid w:val="009B32AE"/>
    <w:pPr>
      <w:spacing w:line="240" w:lineRule="auto"/>
    </w:pPr>
    <w:rPr>
      <w:sz w:val="20"/>
      <w:szCs w:val="20"/>
    </w:rPr>
  </w:style>
  <w:style w:type="character" w:customStyle="1" w:styleId="CommentTextChar">
    <w:name w:val="Comment Text Char"/>
    <w:basedOn w:val="DefaultParagraphFont"/>
    <w:link w:val="CommentText"/>
    <w:uiPriority w:val="99"/>
    <w:semiHidden/>
    <w:rsid w:val="009B32A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32AE"/>
    <w:rPr>
      <w:b/>
      <w:bCs/>
    </w:rPr>
  </w:style>
  <w:style w:type="character" w:customStyle="1" w:styleId="CommentSubjectChar">
    <w:name w:val="Comment Subject Char"/>
    <w:basedOn w:val="CommentTextChar"/>
    <w:link w:val="CommentSubject"/>
    <w:uiPriority w:val="99"/>
    <w:semiHidden/>
    <w:rsid w:val="009B32AE"/>
    <w:rPr>
      <w:rFonts w:ascii="Calibri" w:hAnsi="Calibri" w:cs="Times New Roman"/>
      <w:b/>
      <w:bCs/>
      <w:sz w:val="20"/>
      <w:szCs w:val="20"/>
    </w:rPr>
  </w:style>
  <w:style w:type="paragraph" w:styleId="FootnoteText">
    <w:name w:val="footnote text"/>
    <w:basedOn w:val="Normal"/>
    <w:link w:val="FootnoteTextChar"/>
    <w:uiPriority w:val="99"/>
    <w:unhideWhenUsed/>
    <w:rsid w:val="00935C10"/>
    <w:pPr>
      <w:spacing w:line="240" w:lineRule="auto"/>
    </w:pPr>
    <w:rPr>
      <w:sz w:val="24"/>
      <w:szCs w:val="24"/>
    </w:rPr>
  </w:style>
  <w:style w:type="character" w:customStyle="1" w:styleId="FootnoteTextChar">
    <w:name w:val="Footnote Text Char"/>
    <w:basedOn w:val="DefaultParagraphFont"/>
    <w:link w:val="FootnoteText"/>
    <w:uiPriority w:val="99"/>
    <w:rsid w:val="00935C10"/>
    <w:rPr>
      <w:rFonts w:ascii="Calibri" w:hAnsi="Calibri" w:cs="Times New Roman"/>
    </w:rPr>
  </w:style>
  <w:style w:type="character" w:styleId="FootnoteReference">
    <w:name w:val="footnote reference"/>
    <w:basedOn w:val="DefaultParagraphFont"/>
    <w:uiPriority w:val="99"/>
    <w:unhideWhenUsed/>
    <w:rsid w:val="00935C10"/>
    <w:rPr>
      <w:vertAlign w:val="superscript"/>
    </w:rPr>
  </w:style>
  <w:style w:type="paragraph" w:styleId="Revision">
    <w:name w:val="Revision"/>
    <w:hidden/>
    <w:uiPriority w:val="99"/>
    <w:semiHidden/>
    <w:rsid w:val="00F6146C"/>
    <w:rPr>
      <w:rFonts w:ascii="Calibri" w:hAnsi="Calibri" w:cs="Times New Roman"/>
      <w:sz w:val="22"/>
      <w:szCs w:val="22"/>
    </w:rPr>
  </w:style>
  <w:style w:type="table" w:styleId="TableGrid">
    <w:name w:val="Table Grid"/>
    <w:basedOn w:val="TableNormal"/>
    <w:uiPriority w:val="39"/>
    <w:rsid w:val="00AE49B2"/>
    <w:tblPr>
      <w:tblInd w:w="0" w:type="dxa"/>
      <w:tblCellMar>
        <w:top w:w="0" w:type="dxa"/>
        <w:left w:w="108" w:type="dxa"/>
        <w:bottom w:w="0" w:type="dxa"/>
        <w:right w:w="108" w:type="dxa"/>
      </w:tblCellMar>
    </w:tblPr>
  </w:style>
  <w:style w:type="paragraph" w:customStyle="1" w:styleId="MediumShading1-Accent11">
    <w:name w:val="Medium Shading 1 - Accent 11"/>
    <w:basedOn w:val="Normal"/>
    <w:link w:val="Gemiddeldearcering1-accent1Teken"/>
    <w:uiPriority w:val="1"/>
    <w:qFormat/>
    <w:rsid w:val="003A629E"/>
    <w:pPr>
      <w:spacing w:line="240" w:lineRule="auto"/>
    </w:pPr>
    <w:rPr>
      <w:rFonts w:eastAsia="Times New Roman"/>
      <w:lang w:eastAsia="nl-NL"/>
    </w:rPr>
  </w:style>
  <w:style w:type="character" w:customStyle="1" w:styleId="Gemiddeldearcering1-accent1Teken">
    <w:name w:val="Gemiddelde arcering 1 - accent 1 Teken"/>
    <w:link w:val="MediumShading1-Accent11"/>
    <w:uiPriority w:val="1"/>
    <w:rsid w:val="003A629E"/>
    <w:rPr>
      <w:rFonts w:ascii="Calibri" w:eastAsia="Times New Roman" w:hAnsi="Calibri" w:cs="Times New Roman"/>
      <w:sz w:val="22"/>
      <w:szCs w:val="22"/>
      <w:lang w:eastAsia="nl-NL"/>
    </w:rPr>
  </w:style>
  <w:style w:type="paragraph" w:styleId="ListParagraph">
    <w:name w:val="List Paragraph"/>
    <w:basedOn w:val="Normal"/>
    <w:uiPriority w:val="34"/>
    <w:qFormat/>
    <w:rsid w:val="00D54B55"/>
    <w:pPr>
      <w:ind w:left="720"/>
      <w:contextualSpacing/>
    </w:pPr>
  </w:style>
  <w:style w:type="paragraph" w:styleId="DocumentMap">
    <w:name w:val="Document Map"/>
    <w:basedOn w:val="Normal"/>
    <w:link w:val="DocumentMapChar"/>
    <w:uiPriority w:val="99"/>
    <w:semiHidden/>
    <w:unhideWhenUsed/>
    <w:rsid w:val="00C41E45"/>
    <w:pPr>
      <w:spacing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C41E45"/>
    <w:rPr>
      <w:rFonts w:ascii="Times New Roman" w:hAnsi="Times New Roman" w:cs="Times New Roman"/>
    </w:rPr>
  </w:style>
  <w:style w:type="character" w:styleId="FollowedHyperlink">
    <w:name w:val="FollowedHyperlink"/>
    <w:basedOn w:val="DefaultParagraphFont"/>
    <w:uiPriority w:val="99"/>
    <w:semiHidden/>
    <w:unhideWhenUsed/>
    <w:rsid w:val="00662557"/>
    <w:rPr>
      <w:color w:val="919191" w:themeColor="followedHyperlink"/>
      <w:u w:val="single"/>
    </w:rPr>
  </w:style>
</w:styles>
</file>

<file path=word/webSettings.xml><?xml version="1.0" encoding="utf-8"?>
<w:webSettings xmlns:r="http://schemas.openxmlformats.org/officeDocument/2006/relationships" xmlns:w="http://schemas.openxmlformats.org/wordprocessingml/2006/main">
  <w:divs>
    <w:div w:id="279112">
      <w:bodyDiv w:val="1"/>
      <w:marLeft w:val="0"/>
      <w:marRight w:val="0"/>
      <w:marTop w:val="0"/>
      <w:marBottom w:val="0"/>
      <w:divBdr>
        <w:top w:val="none" w:sz="0" w:space="0" w:color="auto"/>
        <w:left w:val="none" w:sz="0" w:space="0" w:color="auto"/>
        <w:bottom w:val="none" w:sz="0" w:space="0" w:color="auto"/>
        <w:right w:val="none" w:sz="0" w:space="0" w:color="auto"/>
      </w:divBdr>
    </w:div>
    <w:div w:id="7029938">
      <w:bodyDiv w:val="1"/>
      <w:marLeft w:val="0"/>
      <w:marRight w:val="0"/>
      <w:marTop w:val="0"/>
      <w:marBottom w:val="0"/>
      <w:divBdr>
        <w:top w:val="none" w:sz="0" w:space="0" w:color="auto"/>
        <w:left w:val="none" w:sz="0" w:space="0" w:color="auto"/>
        <w:bottom w:val="none" w:sz="0" w:space="0" w:color="auto"/>
        <w:right w:val="none" w:sz="0" w:space="0" w:color="auto"/>
      </w:divBdr>
    </w:div>
    <w:div w:id="10836813">
      <w:bodyDiv w:val="1"/>
      <w:marLeft w:val="0"/>
      <w:marRight w:val="0"/>
      <w:marTop w:val="0"/>
      <w:marBottom w:val="0"/>
      <w:divBdr>
        <w:top w:val="none" w:sz="0" w:space="0" w:color="auto"/>
        <w:left w:val="none" w:sz="0" w:space="0" w:color="auto"/>
        <w:bottom w:val="none" w:sz="0" w:space="0" w:color="auto"/>
        <w:right w:val="none" w:sz="0" w:space="0" w:color="auto"/>
      </w:divBdr>
    </w:div>
    <w:div w:id="13074252">
      <w:bodyDiv w:val="1"/>
      <w:marLeft w:val="0"/>
      <w:marRight w:val="0"/>
      <w:marTop w:val="0"/>
      <w:marBottom w:val="0"/>
      <w:divBdr>
        <w:top w:val="none" w:sz="0" w:space="0" w:color="auto"/>
        <w:left w:val="none" w:sz="0" w:space="0" w:color="auto"/>
        <w:bottom w:val="none" w:sz="0" w:space="0" w:color="auto"/>
        <w:right w:val="none" w:sz="0" w:space="0" w:color="auto"/>
      </w:divBdr>
    </w:div>
    <w:div w:id="14623530">
      <w:bodyDiv w:val="1"/>
      <w:marLeft w:val="0"/>
      <w:marRight w:val="0"/>
      <w:marTop w:val="0"/>
      <w:marBottom w:val="0"/>
      <w:divBdr>
        <w:top w:val="none" w:sz="0" w:space="0" w:color="auto"/>
        <w:left w:val="none" w:sz="0" w:space="0" w:color="auto"/>
        <w:bottom w:val="none" w:sz="0" w:space="0" w:color="auto"/>
        <w:right w:val="none" w:sz="0" w:space="0" w:color="auto"/>
      </w:divBdr>
    </w:div>
    <w:div w:id="15891585">
      <w:bodyDiv w:val="1"/>
      <w:marLeft w:val="0"/>
      <w:marRight w:val="0"/>
      <w:marTop w:val="0"/>
      <w:marBottom w:val="0"/>
      <w:divBdr>
        <w:top w:val="none" w:sz="0" w:space="0" w:color="auto"/>
        <w:left w:val="none" w:sz="0" w:space="0" w:color="auto"/>
        <w:bottom w:val="none" w:sz="0" w:space="0" w:color="auto"/>
        <w:right w:val="none" w:sz="0" w:space="0" w:color="auto"/>
      </w:divBdr>
    </w:div>
    <w:div w:id="27223860">
      <w:bodyDiv w:val="1"/>
      <w:marLeft w:val="0"/>
      <w:marRight w:val="0"/>
      <w:marTop w:val="0"/>
      <w:marBottom w:val="0"/>
      <w:divBdr>
        <w:top w:val="none" w:sz="0" w:space="0" w:color="auto"/>
        <w:left w:val="none" w:sz="0" w:space="0" w:color="auto"/>
        <w:bottom w:val="none" w:sz="0" w:space="0" w:color="auto"/>
        <w:right w:val="none" w:sz="0" w:space="0" w:color="auto"/>
      </w:divBdr>
    </w:div>
    <w:div w:id="42488803">
      <w:bodyDiv w:val="1"/>
      <w:marLeft w:val="0"/>
      <w:marRight w:val="0"/>
      <w:marTop w:val="0"/>
      <w:marBottom w:val="0"/>
      <w:divBdr>
        <w:top w:val="none" w:sz="0" w:space="0" w:color="auto"/>
        <w:left w:val="none" w:sz="0" w:space="0" w:color="auto"/>
        <w:bottom w:val="none" w:sz="0" w:space="0" w:color="auto"/>
        <w:right w:val="none" w:sz="0" w:space="0" w:color="auto"/>
      </w:divBdr>
    </w:div>
    <w:div w:id="68237950">
      <w:bodyDiv w:val="1"/>
      <w:marLeft w:val="0"/>
      <w:marRight w:val="0"/>
      <w:marTop w:val="0"/>
      <w:marBottom w:val="0"/>
      <w:divBdr>
        <w:top w:val="none" w:sz="0" w:space="0" w:color="auto"/>
        <w:left w:val="none" w:sz="0" w:space="0" w:color="auto"/>
        <w:bottom w:val="none" w:sz="0" w:space="0" w:color="auto"/>
        <w:right w:val="none" w:sz="0" w:space="0" w:color="auto"/>
      </w:divBdr>
    </w:div>
    <w:div w:id="69468968">
      <w:bodyDiv w:val="1"/>
      <w:marLeft w:val="0"/>
      <w:marRight w:val="0"/>
      <w:marTop w:val="0"/>
      <w:marBottom w:val="0"/>
      <w:divBdr>
        <w:top w:val="none" w:sz="0" w:space="0" w:color="auto"/>
        <w:left w:val="none" w:sz="0" w:space="0" w:color="auto"/>
        <w:bottom w:val="none" w:sz="0" w:space="0" w:color="auto"/>
        <w:right w:val="none" w:sz="0" w:space="0" w:color="auto"/>
      </w:divBdr>
    </w:div>
    <w:div w:id="73210749">
      <w:bodyDiv w:val="1"/>
      <w:marLeft w:val="0"/>
      <w:marRight w:val="0"/>
      <w:marTop w:val="0"/>
      <w:marBottom w:val="0"/>
      <w:divBdr>
        <w:top w:val="none" w:sz="0" w:space="0" w:color="auto"/>
        <w:left w:val="none" w:sz="0" w:space="0" w:color="auto"/>
        <w:bottom w:val="none" w:sz="0" w:space="0" w:color="auto"/>
        <w:right w:val="none" w:sz="0" w:space="0" w:color="auto"/>
      </w:divBdr>
    </w:div>
    <w:div w:id="79375764">
      <w:bodyDiv w:val="1"/>
      <w:marLeft w:val="0"/>
      <w:marRight w:val="0"/>
      <w:marTop w:val="0"/>
      <w:marBottom w:val="0"/>
      <w:divBdr>
        <w:top w:val="none" w:sz="0" w:space="0" w:color="auto"/>
        <w:left w:val="none" w:sz="0" w:space="0" w:color="auto"/>
        <w:bottom w:val="none" w:sz="0" w:space="0" w:color="auto"/>
        <w:right w:val="none" w:sz="0" w:space="0" w:color="auto"/>
      </w:divBdr>
    </w:div>
    <w:div w:id="89474707">
      <w:bodyDiv w:val="1"/>
      <w:marLeft w:val="0"/>
      <w:marRight w:val="0"/>
      <w:marTop w:val="0"/>
      <w:marBottom w:val="0"/>
      <w:divBdr>
        <w:top w:val="none" w:sz="0" w:space="0" w:color="auto"/>
        <w:left w:val="none" w:sz="0" w:space="0" w:color="auto"/>
        <w:bottom w:val="none" w:sz="0" w:space="0" w:color="auto"/>
        <w:right w:val="none" w:sz="0" w:space="0" w:color="auto"/>
      </w:divBdr>
    </w:div>
    <w:div w:id="102581357">
      <w:bodyDiv w:val="1"/>
      <w:marLeft w:val="0"/>
      <w:marRight w:val="0"/>
      <w:marTop w:val="0"/>
      <w:marBottom w:val="0"/>
      <w:divBdr>
        <w:top w:val="none" w:sz="0" w:space="0" w:color="auto"/>
        <w:left w:val="none" w:sz="0" w:space="0" w:color="auto"/>
        <w:bottom w:val="none" w:sz="0" w:space="0" w:color="auto"/>
        <w:right w:val="none" w:sz="0" w:space="0" w:color="auto"/>
      </w:divBdr>
    </w:div>
    <w:div w:id="112793592">
      <w:bodyDiv w:val="1"/>
      <w:marLeft w:val="0"/>
      <w:marRight w:val="0"/>
      <w:marTop w:val="0"/>
      <w:marBottom w:val="0"/>
      <w:divBdr>
        <w:top w:val="none" w:sz="0" w:space="0" w:color="auto"/>
        <w:left w:val="none" w:sz="0" w:space="0" w:color="auto"/>
        <w:bottom w:val="none" w:sz="0" w:space="0" w:color="auto"/>
        <w:right w:val="none" w:sz="0" w:space="0" w:color="auto"/>
      </w:divBdr>
    </w:div>
    <w:div w:id="124128925">
      <w:bodyDiv w:val="1"/>
      <w:marLeft w:val="0"/>
      <w:marRight w:val="0"/>
      <w:marTop w:val="0"/>
      <w:marBottom w:val="0"/>
      <w:divBdr>
        <w:top w:val="none" w:sz="0" w:space="0" w:color="auto"/>
        <w:left w:val="none" w:sz="0" w:space="0" w:color="auto"/>
        <w:bottom w:val="none" w:sz="0" w:space="0" w:color="auto"/>
        <w:right w:val="none" w:sz="0" w:space="0" w:color="auto"/>
      </w:divBdr>
    </w:div>
    <w:div w:id="144057773">
      <w:bodyDiv w:val="1"/>
      <w:marLeft w:val="0"/>
      <w:marRight w:val="0"/>
      <w:marTop w:val="0"/>
      <w:marBottom w:val="0"/>
      <w:divBdr>
        <w:top w:val="none" w:sz="0" w:space="0" w:color="auto"/>
        <w:left w:val="none" w:sz="0" w:space="0" w:color="auto"/>
        <w:bottom w:val="none" w:sz="0" w:space="0" w:color="auto"/>
        <w:right w:val="none" w:sz="0" w:space="0" w:color="auto"/>
      </w:divBdr>
    </w:div>
    <w:div w:id="147331196">
      <w:bodyDiv w:val="1"/>
      <w:marLeft w:val="0"/>
      <w:marRight w:val="0"/>
      <w:marTop w:val="0"/>
      <w:marBottom w:val="0"/>
      <w:divBdr>
        <w:top w:val="none" w:sz="0" w:space="0" w:color="auto"/>
        <w:left w:val="none" w:sz="0" w:space="0" w:color="auto"/>
        <w:bottom w:val="none" w:sz="0" w:space="0" w:color="auto"/>
        <w:right w:val="none" w:sz="0" w:space="0" w:color="auto"/>
      </w:divBdr>
    </w:div>
    <w:div w:id="165630824">
      <w:bodyDiv w:val="1"/>
      <w:marLeft w:val="0"/>
      <w:marRight w:val="0"/>
      <w:marTop w:val="0"/>
      <w:marBottom w:val="0"/>
      <w:divBdr>
        <w:top w:val="none" w:sz="0" w:space="0" w:color="auto"/>
        <w:left w:val="none" w:sz="0" w:space="0" w:color="auto"/>
        <w:bottom w:val="none" w:sz="0" w:space="0" w:color="auto"/>
        <w:right w:val="none" w:sz="0" w:space="0" w:color="auto"/>
      </w:divBdr>
    </w:div>
    <w:div w:id="171847592">
      <w:bodyDiv w:val="1"/>
      <w:marLeft w:val="0"/>
      <w:marRight w:val="0"/>
      <w:marTop w:val="0"/>
      <w:marBottom w:val="0"/>
      <w:divBdr>
        <w:top w:val="none" w:sz="0" w:space="0" w:color="auto"/>
        <w:left w:val="none" w:sz="0" w:space="0" w:color="auto"/>
        <w:bottom w:val="none" w:sz="0" w:space="0" w:color="auto"/>
        <w:right w:val="none" w:sz="0" w:space="0" w:color="auto"/>
      </w:divBdr>
    </w:div>
    <w:div w:id="179246533">
      <w:bodyDiv w:val="1"/>
      <w:marLeft w:val="0"/>
      <w:marRight w:val="0"/>
      <w:marTop w:val="0"/>
      <w:marBottom w:val="0"/>
      <w:divBdr>
        <w:top w:val="none" w:sz="0" w:space="0" w:color="auto"/>
        <w:left w:val="none" w:sz="0" w:space="0" w:color="auto"/>
        <w:bottom w:val="none" w:sz="0" w:space="0" w:color="auto"/>
        <w:right w:val="none" w:sz="0" w:space="0" w:color="auto"/>
      </w:divBdr>
    </w:div>
    <w:div w:id="181752148">
      <w:bodyDiv w:val="1"/>
      <w:marLeft w:val="0"/>
      <w:marRight w:val="0"/>
      <w:marTop w:val="0"/>
      <w:marBottom w:val="0"/>
      <w:divBdr>
        <w:top w:val="none" w:sz="0" w:space="0" w:color="auto"/>
        <w:left w:val="none" w:sz="0" w:space="0" w:color="auto"/>
        <w:bottom w:val="none" w:sz="0" w:space="0" w:color="auto"/>
        <w:right w:val="none" w:sz="0" w:space="0" w:color="auto"/>
      </w:divBdr>
    </w:div>
    <w:div w:id="194541264">
      <w:bodyDiv w:val="1"/>
      <w:marLeft w:val="0"/>
      <w:marRight w:val="0"/>
      <w:marTop w:val="0"/>
      <w:marBottom w:val="0"/>
      <w:divBdr>
        <w:top w:val="none" w:sz="0" w:space="0" w:color="auto"/>
        <w:left w:val="none" w:sz="0" w:space="0" w:color="auto"/>
        <w:bottom w:val="none" w:sz="0" w:space="0" w:color="auto"/>
        <w:right w:val="none" w:sz="0" w:space="0" w:color="auto"/>
      </w:divBdr>
    </w:div>
    <w:div w:id="215701962">
      <w:bodyDiv w:val="1"/>
      <w:marLeft w:val="0"/>
      <w:marRight w:val="0"/>
      <w:marTop w:val="0"/>
      <w:marBottom w:val="0"/>
      <w:divBdr>
        <w:top w:val="none" w:sz="0" w:space="0" w:color="auto"/>
        <w:left w:val="none" w:sz="0" w:space="0" w:color="auto"/>
        <w:bottom w:val="none" w:sz="0" w:space="0" w:color="auto"/>
        <w:right w:val="none" w:sz="0" w:space="0" w:color="auto"/>
      </w:divBdr>
    </w:div>
    <w:div w:id="273445219">
      <w:bodyDiv w:val="1"/>
      <w:marLeft w:val="0"/>
      <w:marRight w:val="0"/>
      <w:marTop w:val="0"/>
      <w:marBottom w:val="0"/>
      <w:divBdr>
        <w:top w:val="none" w:sz="0" w:space="0" w:color="auto"/>
        <w:left w:val="none" w:sz="0" w:space="0" w:color="auto"/>
        <w:bottom w:val="none" w:sz="0" w:space="0" w:color="auto"/>
        <w:right w:val="none" w:sz="0" w:space="0" w:color="auto"/>
      </w:divBdr>
    </w:div>
    <w:div w:id="277565625">
      <w:bodyDiv w:val="1"/>
      <w:marLeft w:val="0"/>
      <w:marRight w:val="0"/>
      <w:marTop w:val="0"/>
      <w:marBottom w:val="0"/>
      <w:divBdr>
        <w:top w:val="none" w:sz="0" w:space="0" w:color="auto"/>
        <w:left w:val="none" w:sz="0" w:space="0" w:color="auto"/>
        <w:bottom w:val="none" w:sz="0" w:space="0" w:color="auto"/>
        <w:right w:val="none" w:sz="0" w:space="0" w:color="auto"/>
      </w:divBdr>
    </w:div>
    <w:div w:id="281887261">
      <w:bodyDiv w:val="1"/>
      <w:marLeft w:val="0"/>
      <w:marRight w:val="0"/>
      <w:marTop w:val="0"/>
      <w:marBottom w:val="0"/>
      <w:divBdr>
        <w:top w:val="none" w:sz="0" w:space="0" w:color="auto"/>
        <w:left w:val="none" w:sz="0" w:space="0" w:color="auto"/>
        <w:bottom w:val="none" w:sz="0" w:space="0" w:color="auto"/>
        <w:right w:val="none" w:sz="0" w:space="0" w:color="auto"/>
      </w:divBdr>
    </w:div>
    <w:div w:id="282418278">
      <w:bodyDiv w:val="1"/>
      <w:marLeft w:val="0"/>
      <w:marRight w:val="0"/>
      <w:marTop w:val="0"/>
      <w:marBottom w:val="0"/>
      <w:divBdr>
        <w:top w:val="none" w:sz="0" w:space="0" w:color="auto"/>
        <w:left w:val="none" w:sz="0" w:space="0" w:color="auto"/>
        <w:bottom w:val="none" w:sz="0" w:space="0" w:color="auto"/>
        <w:right w:val="none" w:sz="0" w:space="0" w:color="auto"/>
      </w:divBdr>
    </w:div>
    <w:div w:id="293483667">
      <w:bodyDiv w:val="1"/>
      <w:marLeft w:val="0"/>
      <w:marRight w:val="0"/>
      <w:marTop w:val="0"/>
      <w:marBottom w:val="0"/>
      <w:divBdr>
        <w:top w:val="none" w:sz="0" w:space="0" w:color="auto"/>
        <w:left w:val="none" w:sz="0" w:space="0" w:color="auto"/>
        <w:bottom w:val="none" w:sz="0" w:space="0" w:color="auto"/>
        <w:right w:val="none" w:sz="0" w:space="0" w:color="auto"/>
      </w:divBdr>
    </w:div>
    <w:div w:id="301545665">
      <w:bodyDiv w:val="1"/>
      <w:marLeft w:val="0"/>
      <w:marRight w:val="0"/>
      <w:marTop w:val="0"/>
      <w:marBottom w:val="0"/>
      <w:divBdr>
        <w:top w:val="none" w:sz="0" w:space="0" w:color="auto"/>
        <w:left w:val="none" w:sz="0" w:space="0" w:color="auto"/>
        <w:bottom w:val="none" w:sz="0" w:space="0" w:color="auto"/>
        <w:right w:val="none" w:sz="0" w:space="0" w:color="auto"/>
      </w:divBdr>
    </w:div>
    <w:div w:id="305012941">
      <w:bodyDiv w:val="1"/>
      <w:marLeft w:val="0"/>
      <w:marRight w:val="0"/>
      <w:marTop w:val="0"/>
      <w:marBottom w:val="0"/>
      <w:divBdr>
        <w:top w:val="none" w:sz="0" w:space="0" w:color="auto"/>
        <w:left w:val="none" w:sz="0" w:space="0" w:color="auto"/>
        <w:bottom w:val="none" w:sz="0" w:space="0" w:color="auto"/>
        <w:right w:val="none" w:sz="0" w:space="0" w:color="auto"/>
      </w:divBdr>
    </w:div>
    <w:div w:id="324549508">
      <w:bodyDiv w:val="1"/>
      <w:marLeft w:val="0"/>
      <w:marRight w:val="0"/>
      <w:marTop w:val="0"/>
      <w:marBottom w:val="0"/>
      <w:divBdr>
        <w:top w:val="none" w:sz="0" w:space="0" w:color="auto"/>
        <w:left w:val="none" w:sz="0" w:space="0" w:color="auto"/>
        <w:bottom w:val="none" w:sz="0" w:space="0" w:color="auto"/>
        <w:right w:val="none" w:sz="0" w:space="0" w:color="auto"/>
      </w:divBdr>
    </w:div>
    <w:div w:id="338314146">
      <w:bodyDiv w:val="1"/>
      <w:marLeft w:val="0"/>
      <w:marRight w:val="0"/>
      <w:marTop w:val="0"/>
      <w:marBottom w:val="0"/>
      <w:divBdr>
        <w:top w:val="none" w:sz="0" w:space="0" w:color="auto"/>
        <w:left w:val="none" w:sz="0" w:space="0" w:color="auto"/>
        <w:bottom w:val="none" w:sz="0" w:space="0" w:color="auto"/>
        <w:right w:val="none" w:sz="0" w:space="0" w:color="auto"/>
      </w:divBdr>
    </w:div>
    <w:div w:id="349140185">
      <w:bodyDiv w:val="1"/>
      <w:marLeft w:val="0"/>
      <w:marRight w:val="0"/>
      <w:marTop w:val="0"/>
      <w:marBottom w:val="0"/>
      <w:divBdr>
        <w:top w:val="none" w:sz="0" w:space="0" w:color="auto"/>
        <w:left w:val="none" w:sz="0" w:space="0" w:color="auto"/>
        <w:bottom w:val="none" w:sz="0" w:space="0" w:color="auto"/>
        <w:right w:val="none" w:sz="0" w:space="0" w:color="auto"/>
      </w:divBdr>
    </w:div>
    <w:div w:id="376318016">
      <w:bodyDiv w:val="1"/>
      <w:marLeft w:val="0"/>
      <w:marRight w:val="0"/>
      <w:marTop w:val="0"/>
      <w:marBottom w:val="0"/>
      <w:divBdr>
        <w:top w:val="none" w:sz="0" w:space="0" w:color="auto"/>
        <w:left w:val="none" w:sz="0" w:space="0" w:color="auto"/>
        <w:bottom w:val="none" w:sz="0" w:space="0" w:color="auto"/>
        <w:right w:val="none" w:sz="0" w:space="0" w:color="auto"/>
      </w:divBdr>
    </w:div>
    <w:div w:id="379131719">
      <w:bodyDiv w:val="1"/>
      <w:marLeft w:val="0"/>
      <w:marRight w:val="0"/>
      <w:marTop w:val="0"/>
      <w:marBottom w:val="0"/>
      <w:divBdr>
        <w:top w:val="none" w:sz="0" w:space="0" w:color="auto"/>
        <w:left w:val="none" w:sz="0" w:space="0" w:color="auto"/>
        <w:bottom w:val="none" w:sz="0" w:space="0" w:color="auto"/>
        <w:right w:val="none" w:sz="0" w:space="0" w:color="auto"/>
      </w:divBdr>
    </w:div>
    <w:div w:id="381758073">
      <w:bodyDiv w:val="1"/>
      <w:marLeft w:val="0"/>
      <w:marRight w:val="0"/>
      <w:marTop w:val="0"/>
      <w:marBottom w:val="0"/>
      <w:divBdr>
        <w:top w:val="none" w:sz="0" w:space="0" w:color="auto"/>
        <w:left w:val="none" w:sz="0" w:space="0" w:color="auto"/>
        <w:bottom w:val="none" w:sz="0" w:space="0" w:color="auto"/>
        <w:right w:val="none" w:sz="0" w:space="0" w:color="auto"/>
      </w:divBdr>
    </w:div>
    <w:div w:id="397672578">
      <w:bodyDiv w:val="1"/>
      <w:marLeft w:val="0"/>
      <w:marRight w:val="0"/>
      <w:marTop w:val="0"/>
      <w:marBottom w:val="0"/>
      <w:divBdr>
        <w:top w:val="none" w:sz="0" w:space="0" w:color="auto"/>
        <w:left w:val="none" w:sz="0" w:space="0" w:color="auto"/>
        <w:bottom w:val="none" w:sz="0" w:space="0" w:color="auto"/>
        <w:right w:val="none" w:sz="0" w:space="0" w:color="auto"/>
      </w:divBdr>
    </w:div>
    <w:div w:id="399526136">
      <w:bodyDiv w:val="1"/>
      <w:marLeft w:val="0"/>
      <w:marRight w:val="0"/>
      <w:marTop w:val="0"/>
      <w:marBottom w:val="0"/>
      <w:divBdr>
        <w:top w:val="none" w:sz="0" w:space="0" w:color="auto"/>
        <w:left w:val="none" w:sz="0" w:space="0" w:color="auto"/>
        <w:bottom w:val="none" w:sz="0" w:space="0" w:color="auto"/>
        <w:right w:val="none" w:sz="0" w:space="0" w:color="auto"/>
      </w:divBdr>
    </w:div>
    <w:div w:id="401559472">
      <w:bodyDiv w:val="1"/>
      <w:marLeft w:val="0"/>
      <w:marRight w:val="0"/>
      <w:marTop w:val="0"/>
      <w:marBottom w:val="0"/>
      <w:divBdr>
        <w:top w:val="none" w:sz="0" w:space="0" w:color="auto"/>
        <w:left w:val="none" w:sz="0" w:space="0" w:color="auto"/>
        <w:bottom w:val="none" w:sz="0" w:space="0" w:color="auto"/>
        <w:right w:val="none" w:sz="0" w:space="0" w:color="auto"/>
      </w:divBdr>
    </w:div>
    <w:div w:id="413668958">
      <w:bodyDiv w:val="1"/>
      <w:marLeft w:val="0"/>
      <w:marRight w:val="0"/>
      <w:marTop w:val="0"/>
      <w:marBottom w:val="0"/>
      <w:divBdr>
        <w:top w:val="none" w:sz="0" w:space="0" w:color="auto"/>
        <w:left w:val="none" w:sz="0" w:space="0" w:color="auto"/>
        <w:bottom w:val="none" w:sz="0" w:space="0" w:color="auto"/>
        <w:right w:val="none" w:sz="0" w:space="0" w:color="auto"/>
      </w:divBdr>
    </w:div>
    <w:div w:id="430322975">
      <w:bodyDiv w:val="1"/>
      <w:marLeft w:val="0"/>
      <w:marRight w:val="0"/>
      <w:marTop w:val="0"/>
      <w:marBottom w:val="0"/>
      <w:divBdr>
        <w:top w:val="none" w:sz="0" w:space="0" w:color="auto"/>
        <w:left w:val="none" w:sz="0" w:space="0" w:color="auto"/>
        <w:bottom w:val="none" w:sz="0" w:space="0" w:color="auto"/>
        <w:right w:val="none" w:sz="0" w:space="0" w:color="auto"/>
      </w:divBdr>
    </w:div>
    <w:div w:id="442960620">
      <w:bodyDiv w:val="1"/>
      <w:marLeft w:val="0"/>
      <w:marRight w:val="0"/>
      <w:marTop w:val="0"/>
      <w:marBottom w:val="0"/>
      <w:divBdr>
        <w:top w:val="none" w:sz="0" w:space="0" w:color="auto"/>
        <w:left w:val="none" w:sz="0" w:space="0" w:color="auto"/>
        <w:bottom w:val="none" w:sz="0" w:space="0" w:color="auto"/>
        <w:right w:val="none" w:sz="0" w:space="0" w:color="auto"/>
      </w:divBdr>
    </w:div>
    <w:div w:id="449591158">
      <w:bodyDiv w:val="1"/>
      <w:marLeft w:val="0"/>
      <w:marRight w:val="0"/>
      <w:marTop w:val="0"/>
      <w:marBottom w:val="0"/>
      <w:divBdr>
        <w:top w:val="none" w:sz="0" w:space="0" w:color="auto"/>
        <w:left w:val="none" w:sz="0" w:space="0" w:color="auto"/>
        <w:bottom w:val="none" w:sz="0" w:space="0" w:color="auto"/>
        <w:right w:val="none" w:sz="0" w:space="0" w:color="auto"/>
      </w:divBdr>
    </w:div>
    <w:div w:id="453526286">
      <w:bodyDiv w:val="1"/>
      <w:marLeft w:val="0"/>
      <w:marRight w:val="0"/>
      <w:marTop w:val="0"/>
      <w:marBottom w:val="0"/>
      <w:divBdr>
        <w:top w:val="none" w:sz="0" w:space="0" w:color="auto"/>
        <w:left w:val="none" w:sz="0" w:space="0" w:color="auto"/>
        <w:bottom w:val="none" w:sz="0" w:space="0" w:color="auto"/>
        <w:right w:val="none" w:sz="0" w:space="0" w:color="auto"/>
      </w:divBdr>
    </w:div>
    <w:div w:id="461533985">
      <w:bodyDiv w:val="1"/>
      <w:marLeft w:val="0"/>
      <w:marRight w:val="0"/>
      <w:marTop w:val="0"/>
      <w:marBottom w:val="0"/>
      <w:divBdr>
        <w:top w:val="none" w:sz="0" w:space="0" w:color="auto"/>
        <w:left w:val="none" w:sz="0" w:space="0" w:color="auto"/>
        <w:bottom w:val="none" w:sz="0" w:space="0" w:color="auto"/>
        <w:right w:val="none" w:sz="0" w:space="0" w:color="auto"/>
      </w:divBdr>
    </w:div>
    <w:div w:id="464205931">
      <w:bodyDiv w:val="1"/>
      <w:marLeft w:val="0"/>
      <w:marRight w:val="0"/>
      <w:marTop w:val="0"/>
      <w:marBottom w:val="0"/>
      <w:divBdr>
        <w:top w:val="none" w:sz="0" w:space="0" w:color="auto"/>
        <w:left w:val="none" w:sz="0" w:space="0" w:color="auto"/>
        <w:bottom w:val="none" w:sz="0" w:space="0" w:color="auto"/>
        <w:right w:val="none" w:sz="0" w:space="0" w:color="auto"/>
      </w:divBdr>
    </w:div>
    <w:div w:id="465467208">
      <w:bodyDiv w:val="1"/>
      <w:marLeft w:val="0"/>
      <w:marRight w:val="0"/>
      <w:marTop w:val="0"/>
      <w:marBottom w:val="0"/>
      <w:divBdr>
        <w:top w:val="none" w:sz="0" w:space="0" w:color="auto"/>
        <w:left w:val="none" w:sz="0" w:space="0" w:color="auto"/>
        <w:bottom w:val="none" w:sz="0" w:space="0" w:color="auto"/>
        <w:right w:val="none" w:sz="0" w:space="0" w:color="auto"/>
      </w:divBdr>
    </w:div>
    <w:div w:id="467280643">
      <w:bodyDiv w:val="1"/>
      <w:marLeft w:val="0"/>
      <w:marRight w:val="0"/>
      <w:marTop w:val="0"/>
      <w:marBottom w:val="0"/>
      <w:divBdr>
        <w:top w:val="none" w:sz="0" w:space="0" w:color="auto"/>
        <w:left w:val="none" w:sz="0" w:space="0" w:color="auto"/>
        <w:bottom w:val="none" w:sz="0" w:space="0" w:color="auto"/>
        <w:right w:val="none" w:sz="0" w:space="0" w:color="auto"/>
      </w:divBdr>
    </w:div>
    <w:div w:id="477914453">
      <w:bodyDiv w:val="1"/>
      <w:marLeft w:val="0"/>
      <w:marRight w:val="0"/>
      <w:marTop w:val="0"/>
      <w:marBottom w:val="0"/>
      <w:divBdr>
        <w:top w:val="none" w:sz="0" w:space="0" w:color="auto"/>
        <w:left w:val="none" w:sz="0" w:space="0" w:color="auto"/>
        <w:bottom w:val="none" w:sz="0" w:space="0" w:color="auto"/>
        <w:right w:val="none" w:sz="0" w:space="0" w:color="auto"/>
      </w:divBdr>
    </w:div>
    <w:div w:id="480197463">
      <w:bodyDiv w:val="1"/>
      <w:marLeft w:val="0"/>
      <w:marRight w:val="0"/>
      <w:marTop w:val="0"/>
      <w:marBottom w:val="0"/>
      <w:divBdr>
        <w:top w:val="none" w:sz="0" w:space="0" w:color="auto"/>
        <w:left w:val="none" w:sz="0" w:space="0" w:color="auto"/>
        <w:bottom w:val="none" w:sz="0" w:space="0" w:color="auto"/>
        <w:right w:val="none" w:sz="0" w:space="0" w:color="auto"/>
      </w:divBdr>
    </w:div>
    <w:div w:id="506867027">
      <w:bodyDiv w:val="1"/>
      <w:marLeft w:val="0"/>
      <w:marRight w:val="0"/>
      <w:marTop w:val="0"/>
      <w:marBottom w:val="0"/>
      <w:divBdr>
        <w:top w:val="none" w:sz="0" w:space="0" w:color="auto"/>
        <w:left w:val="none" w:sz="0" w:space="0" w:color="auto"/>
        <w:bottom w:val="none" w:sz="0" w:space="0" w:color="auto"/>
        <w:right w:val="none" w:sz="0" w:space="0" w:color="auto"/>
      </w:divBdr>
    </w:div>
    <w:div w:id="518929284">
      <w:bodyDiv w:val="1"/>
      <w:marLeft w:val="0"/>
      <w:marRight w:val="0"/>
      <w:marTop w:val="0"/>
      <w:marBottom w:val="0"/>
      <w:divBdr>
        <w:top w:val="none" w:sz="0" w:space="0" w:color="auto"/>
        <w:left w:val="none" w:sz="0" w:space="0" w:color="auto"/>
        <w:bottom w:val="none" w:sz="0" w:space="0" w:color="auto"/>
        <w:right w:val="none" w:sz="0" w:space="0" w:color="auto"/>
      </w:divBdr>
    </w:div>
    <w:div w:id="536741124">
      <w:bodyDiv w:val="1"/>
      <w:marLeft w:val="0"/>
      <w:marRight w:val="0"/>
      <w:marTop w:val="0"/>
      <w:marBottom w:val="0"/>
      <w:divBdr>
        <w:top w:val="none" w:sz="0" w:space="0" w:color="auto"/>
        <w:left w:val="none" w:sz="0" w:space="0" w:color="auto"/>
        <w:bottom w:val="none" w:sz="0" w:space="0" w:color="auto"/>
        <w:right w:val="none" w:sz="0" w:space="0" w:color="auto"/>
      </w:divBdr>
    </w:div>
    <w:div w:id="553082706">
      <w:bodyDiv w:val="1"/>
      <w:marLeft w:val="0"/>
      <w:marRight w:val="0"/>
      <w:marTop w:val="0"/>
      <w:marBottom w:val="0"/>
      <w:divBdr>
        <w:top w:val="none" w:sz="0" w:space="0" w:color="auto"/>
        <w:left w:val="none" w:sz="0" w:space="0" w:color="auto"/>
        <w:bottom w:val="none" w:sz="0" w:space="0" w:color="auto"/>
        <w:right w:val="none" w:sz="0" w:space="0" w:color="auto"/>
      </w:divBdr>
    </w:div>
    <w:div w:id="589631018">
      <w:bodyDiv w:val="1"/>
      <w:marLeft w:val="0"/>
      <w:marRight w:val="0"/>
      <w:marTop w:val="0"/>
      <w:marBottom w:val="0"/>
      <w:divBdr>
        <w:top w:val="none" w:sz="0" w:space="0" w:color="auto"/>
        <w:left w:val="none" w:sz="0" w:space="0" w:color="auto"/>
        <w:bottom w:val="none" w:sz="0" w:space="0" w:color="auto"/>
        <w:right w:val="none" w:sz="0" w:space="0" w:color="auto"/>
      </w:divBdr>
    </w:div>
    <w:div w:id="591550107">
      <w:bodyDiv w:val="1"/>
      <w:marLeft w:val="0"/>
      <w:marRight w:val="0"/>
      <w:marTop w:val="0"/>
      <w:marBottom w:val="0"/>
      <w:divBdr>
        <w:top w:val="none" w:sz="0" w:space="0" w:color="auto"/>
        <w:left w:val="none" w:sz="0" w:space="0" w:color="auto"/>
        <w:bottom w:val="none" w:sz="0" w:space="0" w:color="auto"/>
        <w:right w:val="none" w:sz="0" w:space="0" w:color="auto"/>
      </w:divBdr>
    </w:div>
    <w:div w:id="603463342">
      <w:bodyDiv w:val="1"/>
      <w:marLeft w:val="0"/>
      <w:marRight w:val="0"/>
      <w:marTop w:val="0"/>
      <w:marBottom w:val="0"/>
      <w:divBdr>
        <w:top w:val="none" w:sz="0" w:space="0" w:color="auto"/>
        <w:left w:val="none" w:sz="0" w:space="0" w:color="auto"/>
        <w:bottom w:val="none" w:sz="0" w:space="0" w:color="auto"/>
        <w:right w:val="none" w:sz="0" w:space="0" w:color="auto"/>
      </w:divBdr>
    </w:div>
    <w:div w:id="614219915">
      <w:bodyDiv w:val="1"/>
      <w:marLeft w:val="0"/>
      <w:marRight w:val="0"/>
      <w:marTop w:val="0"/>
      <w:marBottom w:val="0"/>
      <w:divBdr>
        <w:top w:val="none" w:sz="0" w:space="0" w:color="auto"/>
        <w:left w:val="none" w:sz="0" w:space="0" w:color="auto"/>
        <w:bottom w:val="none" w:sz="0" w:space="0" w:color="auto"/>
        <w:right w:val="none" w:sz="0" w:space="0" w:color="auto"/>
      </w:divBdr>
    </w:div>
    <w:div w:id="626550290">
      <w:bodyDiv w:val="1"/>
      <w:marLeft w:val="0"/>
      <w:marRight w:val="0"/>
      <w:marTop w:val="0"/>
      <w:marBottom w:val="0"/>
      <w:divBdr>
        <w:top w:val="none" w:sz="0" w:space="0" w:color="auto"/>
        <w:left w:val="none" w:sz="0" w:space="0" w:color="auto"/>
        <w:bottom w:val="none" w:sz="0" w:space="0" w:color="auto"/>
        <w:right w:val="none" w:sz="0" w:space="0" w:color="auto"/>
      </w:divBdr>
    </w:div>
    <w:div w:id="636230384">
      <w:bodyDiv w:val="1"/>
      <w:marLeft w:val="0"/>
      <w:marRight w:val="0"/>
      <w:marTop w:val="0"/>
      <w:marBottom w:val="0"/>
      <w:divBdr>
        <w:top w:val="none" w:sz="0" w:space="0" w:color="auto"/>
        <w:left w:val="none" w:sz="0" w:space="0" w:color="auto"/>
        <w:bottom w:val="none" w:sz="0" w:space="0" w:color="auto"/>
        <w:right w:val="none" w:sz="0" w:space="0" w:color="auto"/>
      </w:divBdr>
    </w:div>
    <w:div w:id="649989023">
      <w:bodyDiv w:val="1"/>
      <w:marLeft w:val="0"/>
      <w:marRight w:val="0"/>
      <w:marTop w:val="0"/>
      <w:marBottom w:val="0"/>
      <w:divBdr>
        <w:top w:val="none" w:sz="0" w:space="0" w:color="auto"/>
        <w:left w:val="none" w:sz="0" w:space="0" w:color="auto"/>
        <w:bottom w:val="none" w:sz="0" w:space="0" w:color="auto"/>
        <w:right w:val="none" w:sz="0" w:space="0" w:color="auto"/>
      </w:divBdr>
    </w:div>
    <w:div w:id="652685328">
      <w:bodyDiv w:val="1"/>
      <w:marLeft w:val="0"/>
      <w:marRight w:val="0"/>
      <w:marTop w:val="0"/>
      <w:marBottom w:val="0"/>
      <w:divBdr>
        <w:top w:val="none" w:sz="0" w:space="0" w:color="auto"/>
        <w:left w:val="none" w:sz="0" w:space="0" w:color="auto"/>
        <w:bottom w:val="none" w:sz="0" w:space="0" w:color="auto"/>
        <w:right w:val="none" w:sz="0" w:space="0" w:color="auto"/>
      </w:divBdr>
    </w:div>
    <w:div w:id="675183570">
      <w:bodyDiv w:val="1"/>
      <w:marLeft w:val="0"/>
      <w:marRight w:val="0"/>
      <w:marTop w:val="0"/>
      <w:marBottom w:val="0"/>
      <w:divBdr>
        <w:top w:val="none" w:sz="0" w:space="0" w:color="auto"/>
        <w:left w:val="none" w:sz="0" w:space="0" w:color="auto"/>
        <w:bottom w:val="none" w:sz="0" w:space="0" w:color="auto"/>
        <w:right w:val="none" w:sz="0" w:space="0" w:color="auto"/>
      </w:divBdr>
    </w:div>
    <w:div w:id="679114793">
      <w:bodyDiv w:val="1"/>
      <w:marLeft w:val="0"/>
      <w:marRight w:val="0"/>
      <w:marTop w:val="0"/>
      <w:marBottom w:val="0"/>
      <w:divBdr>
        <w:top w:val="none" w:sz="0" w:space="0" w:color="auto"/>
        <w:left w:val="none" w:sz="0" w:space="0" w:color="auto"/>
        <w:bottom w:val="none" w:sz="0" w:space="0" w:color="auto"/>
        <w:right w:val="none" w:sz="0" w:space="0" w:color="auto"/>
      </w:divBdr>
    </w:div>
    <w:div w:id="683097175">
      <w:bodyDiv w:val="1"/>
      <w:marLeft w:val="0"/>
      <w:marRight w:val="0"/>
      <w:marTop w:val="0"/>
      <w:marBottom w:val="0"/>
      <w:divBdr>
        <w:top w:val="none" w:sz="0" w:space="0" w:color="auto"/>
        <w:left w:val="none" w:sz="0" w:space="0" w:color="auto"/>
        <w:bottom w:val="none" w:sz="0" w:space="0" w:color="auto"/>
        <w:right w:val="none" w:sz="0" w:space="0" w:color="auto"/>
      </w:divBdr>
    </w:div>
    <w:div w:id="696933333">
      <w:bodyDiv w:val="1"/>
      <w:marLeft w:val="0"/>
      <w:marRight w:val="0"/>
      <w:marTop w:val="0"/>
      <w:marBottom w:val="0"/>
      <w:divBdr>
        <w:top w:val="none" w:sz="0" w:space="0" w:color="auto"/>
        <w:left w:val="none" w:sz="0" w:space="0" w:color="auto"/>
        <w:bottom w:val="none" w:sz="0" w:space="0" w:color="auto"/>
        <w:right w:val="none" w:sz="0" w:space="0" w:color="auto"/>
      </w:divBdr>
    </w:div>
    <w:div w:id="708070496">
      <w:bodyDiv w:val="1"/>
      <w:marLeft w:val="0"/>
      <w:marRight w:val="0"/>
      <w:marTop w:val="0"/>
      <w:marBottom w:val="0"/>
      <w:divBdr>
        <w:top w:val="none" w:sz="0" w:space="0" w:color="auto"/>
        <w:left w:val="none" w:sz="0" w:space="0" w:color="auto"/>
        <w:bottom w:val="none" w:sz="0" w:space="0" w:color="auto"/>
        <w:right w:val="none" w:sz="0" w:space="0" w:color="auto"/>
      </w:divBdr>
    </w:div>
    <w:div w:id="719281725">
      <w:bodyDiv w:val="1"/>
      <w:marLeft w:val="0"/>
      <w:marRight w:val="0"/>
      <w:marTop w:val="0"/>
      <w:marBottom w:val="0"/>
      <w:divBdr>
        <w:top w:val="none" w:sz="0" w:space="0" w:color="auto"/>
        <w:left w:val="none" w:sz="0" w:space="0" w:color="auto"/>
        <w:bottom w:val="none" w:sz="0" w:space="0" w:color="auto"/>
        <w:right w:val="none" w:sz="0" w:space="0" w:color="auto"/>
      </w:divBdr>
    </w:div>
    <w:div w:id="726105125">
      <w:bodyDiv w:val="1"/>
      <w:marLeft w:val="0"/>
      <w:marRight w:val="0"/>
      <w:marTop w:val="0"/>
      <w:marBottom w:val="0"/>
      <w:divBdr>
        <w:top w:val="none" w:sz="0" w:space="0" w:color="auto"/>
        <w:left w:val="none" w:sz="0" w:space="0" w:color="auto"/>
        <w:bottom w:val="none" w:sz="0" w:space="0" w:color="auto"/>
        <w:right w:val="none" w:sz="0" w:space="0" w:color="auto"/>
      </w:divBdr>
    </w:div>
    <w:div w:id="727414260">
      <w:bodyDiv w:val="1"/>
      <w:marLeft w:val="0"/>
      <w:marRight w:val="0"/>
      <w:marTop w:val="0"/>
      <w:marBottom w:val="0"/>
      <w:divBdr>
        <w:top w:val="none" w:sz="0" w:space="0" w:color="auto"/>
        <w:left w:val="none" w:sz="0" w:space="0" w:color="auto"/>
        <w:bottom w:val="none" w:sz="0" w:space="0" w:color="auto"/>
        <w:right w:val="none" w:sz="0" w:space="0" w:color="auto"/>
      </w:divBdr>
    </w:div>
    <w:div w:id="740098802">
      <w:bodyDiv w:val="1"/>
      <w:marLeft w:val="0"/>
      <w:marRight w:val="0"/>
      <w:marTop w:val="0"/>
      <w:marBottom w:val="0"/>
      <w:divBdr>
        <w:top w:val="none" w:sz="0" w:space="0" w:color="auto"/>
        <w:left w:val="none" w:sz="0" w:space="0" w:color="auto"/>
        <w:bottom w:val="none" w:sz="0" w:space="0" w:color="auto"/>
        <w:right w:val="none" w:sz="0" w:space="0" w:color="auto"/>
      </w:divBdr>
    </w:div>
    <w:div w:id="747922701">
      <w:bodyDiv w:val="1"/>
      <w:marLeft w:val="0"/>
      <w:marRight w:val="0"/>
      <w:marTop w:val="0"/>
      <w:marBottom w:val="0"/>
      <w:divBdr>
        <w:top w:val="none" w:sz="0" w:space="0" w:color="auto"/>
        <w:left w:val="none" w:sz="0" w:space="0" w:color="auto"/>
        <w:bottom w:val="none" w:sz="0" w:space="0" w:color="auto"/>
        <w:right w:val="none" w:sz="0" w:space="0" w:color="auto"/>
      </w:divBdr>
    </w:div>
    <w:div w:id="748962817">
      <w:bodyDiv w:val="1"/>
      <w:marLeft w:val="0"/>
      <w:marRight w:val="0"/>
      <w:marTop w:val="0"/>
      <w:marBottom w:val="0"/>
      <w:divBdr>
        <w:top w:val="none" w:sz="0" w:space="0" w:color="auto"/>
        <w:left w:val="none" w:sz="0" w:space="0" w:color="auto"/>
        <w:bottom w:val="none" w:sz="0" w:space="0" w:color="auto"/>
        <w:right w:val="none" w:sz="0" w:space="0" w:color="auto"/>
      </w:divBdr>
    </w:div>
    <w:div w:id="754059397">
      <w:bodyDiv w:val="1"/>
      <w:marLeft w:val="0"/>
      <w:marRight w:val="0"/>
      <w:marTop w:val="0"/>
      <w:marBottom w:val="0"/>
      <w:divBdr>
        <w:top w:val="none" w:sz="0" w:space="0" w:color="auto"/>
        <w:left w:val="none" w:sz="0" w:space="0" w:color="auto"/>
        <w:bottom w:val="none" w:sz="0" w:space="0" w:color="auto"/>
        <w:right w:val="none" w:sz="0" w:space="0" w:color="auto"/>
      </w:divBdr>
    </w:div>
    <w:div w:id="764496324">
      <w:bodyDiv w:val="1"/>
      <w:marLeft w:val="0"/>
      <w:marRight w:val="0"/>
      <w:marTop w:val="0"/>
      <w:marBottom w:val="0"/>
      <w:divBdr>
        <w:top w:val="none" w:sz="0" w:space="0" w:color="auto"/>
        <w:left w:val="none" w:sz="0" w:space="0" w:color="auto"/>
        <w:bottom w:val="none" w:sz="0" w:space="0" w:color="auto"/>
        <w:right w:val="none" w:sz="0" w:space="0" w:color="auto"/>
      </w:divBdr>
    </w:div>
    <w:div w:id="773134223">
      <w:bodyDiv w:val="1"/>
      <w:marLeft w:val="0"/>
      <w:marRight w:val="0"/>
      <w:marTop w:val="0"/>
      <w:marBottom w:val="0"/>
      <w:divBdr>
        <w:top w:val="none" w:sz="0" w:space="0" w:color="auto"/>
        <w:left w:val="none" w:sz="0" w:space="0" w:color="auto"/>
        <w:bottom w:val="none" w:sz="0" w:space="0" w:color="auto"/>
        <w:right w:val="none" w:sz="0" w:space="0" w:color="auto"/>
      </w:divBdr>
    </w:div>
    <w:div w:id="781730605">
      <w:bodyDiv w:val="1"/>
      <w:marLeft w:val="0"/>
      <w:marRight w:val="0"/>
      <w:marTop w:val="0"/>
      <w:marBottom w:val="0"/>
      <w:divBdr>
        <w:top w:val="none" w:sz="0" w:space="0" w:color="auto"/>
        <w:left w:val="none" w:sz="0" w:space="0" w:color="auto"/>
        <w:bottom w:val="none" w:sz="0" w:space="0" w:color="auto"/>
        <w:right w:val="none" w:sz="0" w:space="0" w:color="auto"/>
      </w:divBdr>
    </w:div>
    <w:div w:id="789520255">
      <w:bodyDiv w:val="1"/>
      <w:marLeft w:val="0"/>
      <w:marRight w:val="0"/>
      <w:marTop w:val="0"/>
      <w:marBottom w:val="0"/>
      <w:divBdr>
        <w:top w:val="none" w:sz="0" w:space="0" w:color="auto"/>
        <w:left w:val="none" w:sz="0" w:space="0" w:color="auto"/>
        <w:bottom w:val="none" w:sz="0" w:space="0" w:color="auto"/>
        <w:right w:val="none" w:sz="0" w:space="0" w:color="auto"/>
      </w:divBdr>
    </w:div>
    <w:div w:id="801004098">
      <w:bodyDiv w:val="1"/>
      <w:marLeft w:val="0"/>
      <w:marRight w:val="0"/>
      <w:marTop w:val="0"/>
      <w:marBottom w:val="0"/>
      <w:divBdr>
        <w:top w:val="none" w:sz="0" w:space="0" w:color="auto"/>
        <w:left w:val="none" w:sz="0" w:space="0" w:color="auto"/>
        <w:bottom w:val="none" w:sz="0" w:space="0" w:color="auto"/>
        <w:right w:val="none" w:sz="0" w:space="0" w:color="auto"/>
      </w:divBdr>
    </w:div>
    <w:div w:id="815954271">
      <w:bodyDiv w:val="1"/>
      <w:marLeft w:val="0"/>
      <w:marRight w:val="0"/>
      <w:marTop w:val="0"/>
      <w:marBottom w:val="0"/>
      <w:divBdr>
        <w:top w:val="none" w:sz="0" w:space="0" w:color="auto"/>
        <w:left w:val="none" w:sz="0" w:space="0" w:color="auto"/>
        <w:bottom w:val="none" w:sz="0" w:space="0" w:color="auto"/>
        <w:right w:val="none" w:sz="0" w:space="0" w:color="auto"/>
      </w:divBdr>
    </w:div>
    <w:div w:id="875118068">
      <w:bodyDiv w:val="1"/>
      <w:marLeft w:val="0"/>
      <w:marRight w:val="0"/>
      <w:marTop w:val="0"/>
      <w:marBottom w:val="0"/>
      <w:divBdr>
        <w:top w:val="none" w:sz="0" w:space="0" w:color="auto"/>
        <w:left w:val="none" w:sz="0" w:space="0" w:color="auto"/>
        <w:bottom w:val="none" w:sz="0" w:space="0" w:color="auto"/>
        <w:right w:val="none" w:sz="0" w:space="0" w:color="auto"/>
      </w:divBdr>
    </w:div>
    <w:div w:id="892424060">
      <w:bodyDiv w:val="1"/>
      <w:marLeft w:val="0"/>
      <w:marRight w:val="0"/>
      <w:marTop w:val="0"/>
      <w:marBottom w:val="0"/>
      <w:divBdr>
        <w:top w:val="none" w:sz="0" w:space="0" w:color="auto"/>
        <w:left w:val="none" w:sz="0" w:space="0" w:color="auto"/>
        <w:bottom w:val="none" w:sz="0" w:space="0" w:color="auto"/>
        <w:right w:val="none" w:sz="0" w:space="0" w:color="auto"/>
      </w:divBdr>
    </w:div>
    <w:div w:id="897127919">
      <w:bodyDiv w:val="1"/>
      <w:marLeft w:val="0"/>
      <w:marRight w:val="0"/>
      <w:marTop w:val="0"/>
      <w:marBottom w:val="0"/>
      <w:divBdr>
        <w:top w:val="none" w:sz="0" w:space="0" w:color="auto"/>
        <w:left w:val="none" w:sz="0" w:space="0" w:color="auto"/>
        <w:bottom w:val="none" w:sz="0" w:space="0" w:color="auto"/>
        <w:right w:val="none" w:sz="0" w:space="0" w:color="auto"/>
      </w:divBdr>
    </w:div>
    <w:div w:id="908921701">
      <w:bodyDiv w:val="1"/>
      <w:marLeft w:val="0"/>
      <w:marRight w:val="0"/>
      <w:marTop w:val="0"/>
      <w:marBottom w:val="0"/>
      <w:divBdr>
        <w:top w:val="none" w:sz="0" w:space="0" w:color="auto"/>
        <w:left w:val="none" w:sz="0" w:space="0" w:color="auto"/>
        <w:bottom w:val="none" w:sz="0" w:space="0" w:color="auto"/>
        <w:right w:val="none" w:sz="0" w:space="0" w:color="auto"/>
      </w:divBdr>
    </w:div>
    <w:div w:id="913707583">
      <w:bodyDiv w:val="1"/>
      <w:marLeft w:val="0"/>
      <w:marRight w:val="0"/>
      <w:marTop w:val="0"/>
      <w:marBottom w:val="0"/>
      <w:divBdr>
        <w:top w:val="none" w:sz="0" w:space="0" w:color="auto"/>
        <w:left w:val="none" w:sz="0" w:space="0" w:color="auto"/>
        <w:bottom w:val="none" w:sz="0" w:space="0" w:color="auto"/>
        <w:right w:val="none" w:sz="0" w:space="0" w:color="auto"/>
      </w:divBdr>
    </w:div>
    <w:div w:id="938026115">
      <w:bodyDiv w:val="1"/>
      <w:marLeft w:val="0"/>
      <w:marRight w:val="0"/>
      <w:marTop w:val="0"/>
      <w:marBottom w:val="0"/>
      <w:divBdr>
        <w:top w:val="none" w:sz="0" w:space="0" w:color="auto"/>
        <w:left w:val="none" w:sz="0" w:space="0" w:color="auto"/>
        <w:bottom w:val="none" w:sz="0" w:space="0" w:color="auto"/>
        <w:right w:val="none" w:sz="0" w:space="0" w:color="auto"/>
      </w:divBdr>
    </w:div>
    <w:div w:id="949359504">
      <w:bodyDiv w:val="1"/>
      <w:marLeft w:val="0"/>
      <w:marRight w:val="0"/>
      <w:marTop w:val="0"/>
      <w:marBottom w:val="0"/>
      <w:divBdr>
        <w:top w:val="none" w:sz="0" w:space="0" w:color="auto"/>
        <w:left w:val="none" w:sz="0" w:space="0" w:color="auto"/>
        <w:bottom w:val="none" w:sz="0" w:space="0" w:color="auto"/>
        <w:right w:val="none" w:sz="0" w:space="0" w:color="auto"/>
      </w:divBdr>
    </w:div>
    <w:div w:id="950936163">
      <w:bodyDiv w:val="1"/>
      <w:marLeft w:val="0"/>
      <w:marRight w:val="0"/>
      <w:marTop w:val="0"/>
      <w:marBottom w:val="0"/>
      <w:divBdr>
        <w:top w:val="none" w:sz="0" w:space="0" w:color="auto"/>
        <w:left w:val="none" w:sz="0" w:space="0" w:color="auto"/>
        <w:bottom w:val="none" w:sz="0" w:space="0" w:color="auto"/>
        <w:right w:val="none" w:sz="0" w:space="0" w:color="auto"/>
      </w:divBdr>
    </w:div>
    <w:div w:id="980618376">
      <w:bodyDiv w:val="1"/>
      <w:marLeft w:val="0"/>
      <w:marRight w:val="0"/>
      <w:marTop w:val="0"/>
      <w:marBottom w:val="0"/>
      <w:divBdr>
        <w:top w:val="none" w:sz="0" w:space="0" w:color="auto"/>
        <w:left w:val="none" w:sz="0" w:space="0" w:color="auto"/>
        <w:bottom w:val="none" w:sz="0" w:space="0" w:color="auto"/>
        <w:right w:val="none" w:sz="0" w:space="0" w:color="auto"/>
      </w:divBdr>
    </w:div>
    <w:div w:id="981615455">
      <w:bodyDiv w:val="1"/>
      <w:marLeft w:val="0"/>
      <w:marRight w:val="0"/>
      <w:marTop w:val="0"/>
      <w:marBottom w:val="0"/>
      <w:divBdr>
        <w:top w:val="none" w:sz="0" w:space="0" w:color="auto"/>
        <w:left w:val="none" w:sz="0" w:space="0" w:color="auto"/>
        <w:bottom w:val="none" w:sz="0" w:space="0" w:color="auto"/>
        <w:right w:val="none" w:sz="0" w:space="0" w:color="auto"/>
      </w:divBdr>
    </w:div>
    <w:div w:id="987855148">
      <w:bodyDiv w:val="1"/>
      <w:marLeft w:val="0"/>
      <w:marRight w:val="0"/>
      <w:marTop w:val="0"/>
      <w:marBottom w:val="0"/>
      <w:divBdr>
        <w:top w:val="none" w:sz="0" w:space="0" w:color="auto"/>
        <w:left w:val="none" w:sz="0" w:space="0" w:color="auto"/>
        <w:bottom w:val="none" w:sz="0" w:space="0" w:color="auto"/>
        <w:right w:val="none" w:sz="0" w:space="0" w:color="auto"/>
      </w:divBdr>
    </w:div>
    <w:div w:id="996345489">
      <w:bodyDiv w:val="1"/>
      <w:marLeft w:val="0"/>
      <w:marRight w:val="0"/>
      <w:marTop w:val="0"/>
      <w:marBottom w:val="0"/>
      <w:divBdr>
        <w:top w:val="none" w:sz="0" w:space="0" w:color="auto"/>
        <w:left w:val="none" w:sz="0" w:space="0" w:color="auto"/>
        <w:bottom w:val="none" w:sz="0" w:space="0" w:color="auto"/>
        <w:right w:val="none" w:sz="0" w:space="0" w:color="auto"/>
      </w:divBdr>
    </w:div>
    <w:div w:id="998845866">
      <w:bodyDiv w:val="1"/>
      <w:marLeft w:val="0"/>
      <w:marRight w:val="0"/>
      <w:marTop w:val="0"/>
      <w:marBottom w:val="0"/>
      <w:divBdr>
        <w:top w:val="none" w:sz="0" w:space="0" w:color="auto"/>
        <w:left w:val="none" w:sz="0" w:space="0" w:color="auto"/>
        <w:bottom w:val="none" w:sz="0" w:space="0" w:color="auto"/>
        <w:right w:val="none" w:sz="0" w:space="0" w:color="auto"/>
      </w:divBdr>
    </w:div>
    <w:div w:id="1003627609">
      <w:bodyDiv w:val="1"/>
      <w:marLeft w:val="0"/>
      <w:marRight w:val="0"/>
      <w:marTop w:val="0"/>
      <w:marBottom w:val="0"/>
      <w:divBdr>
        <w:top w:val="none" w:sz="0" w:space="0" w:color="auto"/>
        <w:left w:val="none" w:sz="0" w:space="0" w:color="auto"/>
        <w:bottom w:val="none" w:sz="0" w:space="0" w:color="auto"/>
        <w:right w:val="none" w:sz="0" w:space="0" w:color="auto"/>
      </w:divBdr>
    </w:div>
    <w:div w:id="1025668184">
      <w:bodyDiv w:val="1"/>
      <w:marLeft w:val="0"/>
      <w:marRight w:val="0"/>
      <w:marTop w:val="0"/>
      <w:marBottom w:val="0"/>
      <w:divBdr>
        <w:top w:val="none" w:sz="0" w:space="0" w:color="auto"/>
        <w:left w:val="none" w:sz="0" w:space="0" w:color="auto"/>
        <w:bottom w:val="none" w:sz="0" w:space="0" w:color="auto"/>
        <w:right w:val="none" w:sz="0" w:space="0" w:color="auto"/>
      </w:divBdr>
    </w:div>
    <w:div w:id="1032192854">
      <w:bodyDiv w:val="1"/>
      <w:marLeft w:val="0"/>
      <w:marRight w:val="0"/>
      <w:marTop w:val="0"/>
      <w:marBottom w:val="0"/>
      <w:divBdr>
        <w:top w:val="none" w:sz="0" w:space="0" w:color="auto"/>
        <w:left w:val="none" w:sz="0" w:space="0" w:color="auto"/>
        <w:bottom w:val="none" w:sz="0" w:space="0" w:color="auto"/>
        <w:right w:val="none" w:sz="0" w:space="0" w:color="auto"/>
      </w:divBdr>
    </w:div>
    <w:div w:id="1032804074">
      <w:bodyDiv w:val="1"/>
      <w:marLeft w:val="0"/>
      <w:marRight w:val="0"/>
      <w:marTop w:val="0"/>
      <w:marBottom w:val="0"/>
      <w:divBdr>
        <w:top w:val="none" w:sz="0" w:space="0" w:color="auto"/>
        <w:left w:val="none" w:sz="0" w:space="0" w:color="auto"/>
        <w:bottom w:val="none" w:sz="0" w:space="0" w:color="auto"/>
        <w:right w:val="none" w:sz="0" w:space="0" w:color="auto"/>
      </w:divBdr>
    </w:div>
    <w:div w:id="1033849661">
      <w:bodyDiv w:val="1"/>
      <w:marLeft w:val="0"/>
      <w:marRight w:val="0"/>
      <w:marTop w:val="0"/>
      <w:marBottom w:val="0"/>
      <w:divBdr>
        <w:top w:val="none" w:sz="0" w:space="0" w:color="auto"/>
        <w:left w:val="none" w:sz="0" w:space="0" w:color="auto"/>
        <w:bottom w:val="none" w:sz="0" w:space="0" w:color="auto"/>
        <w:right w:val="none" w:sz="0" w:space="0" w:color="auto"/>
      </w:divBdr>
    </w:div>
    <w:div w:id="1034234642">
      <w:bodyDiv w:val="1"/>
      <w:marLeft w:val="0"/>
      <w:marRight w:val="0"/>
      <w:marTop w:val="0"/>
      <w:marBottom w:val="0"/>
      <w:divBdr>
        <w:top w:val="none" w:sz="0" w:space="0" w:color="auto"/>
        <w:left w:val="none" w:sz="0" w:space="0" w:color="auto"/>
        <w:bottom w:val="none" w:sz="0" w:space="0" w:color="auto"/>
        <w:right w:val="none" w:sz="0" w:space="0" w:color="auto"/>
      </w:divBdr>
    </w:div>
    <w:div w:id="1035891761">
      <w:bodyDiv w:val="1"/>
      <w:marLeft w:val="0"/>
      <w:marRight w:val="0"/>
      <w:marTop w:val="0"/>
      <w:marBottom w:val="0"/>
      <w:divBdr>
        <w:top w:val="none" w:sz="0" w:space="0" w:color="auto"/>
        <w:left w:val="none" w:sz="0" w:space="0" w:color="auto"/>
        <w:bottom w:val="none" w:sz="0" w:space="0" w:color="auto"/>
        <w:right w:val="none" w:sz="0" w:space="0" w:color="auto"/>
      </w:divBdr>
    </w:div>
    <w:div w:id="1036928157">
      <w:bodyDiv w:val="1"/>
      <w:marLeft w:val="0"/>
      <w:marRight w:val="0"/>
      <w:marTop w:val="0"/>
      <w:marBottom w:val="0"/>
      <w:divBdr>
        <w:top w:val="none" w:sz="0" w:space="0" w:color="auto"/>
        <w:left w:val="none" w:sz="0" w:space="0" w:color="auto"/>
        <w:bottom w:val="none" w:sz="0" w:space="0" w:color="auto"/>
        <w:right w:val="none" w:sz="0" w:space="0" w:color="auto"/>
      </w:divBdr>
    </w:div>
    <w:div w:id="1056783544">
      <w:bodyDiv w:val="1"/>
      <w:marLeft w:val="0"/>
      <w:marRight w:val="0"/>
      <w:marTop w:val="0"/>
      <w:marBottom w:val="0"/>
      <w:divBdr>
        <w:top w:val="none" w:sz="0" w:space="0" w:color="auto"/>
        <w:left w:val="none" w:sz="0" w:space="0" w:color="auto"/>
        <w:bottom w:val="none" w:sz="0" w:space="0" w:color="auto"/>
        <w:right w:val="none" w:sz="0" w:space="0" w:color="auto"/>
      </w:divBdr>
    </w:div>
    <w:div w:id="1059130977">
      <w:bodyDiv w:val="1"/>
      <w:marLeft w:val="0"/>
      <w:marRight w:val="0"/>
      <w:marTop w:val="0"/>
      <w:marBottom w:val="0"/>
      <w:divBdr>
        <w:top w:val="none" w:sz="0" w:space="0" w:color="auto"/>
        <w:left w:val="none" w:sz="0" w:space="0" w:color="auto"/>
        <w:bottom w:val="none" w:sz="0" w:space="0" w:color="auto"/>
        <w:right w:val="none" w:sz="0" w:space="0" w:color="auto"/>
      </w:divBdr>
    </w:div>
    <w:div w:id="1065377599">
      <w:bodyDiv w:val="1"/>
      <w:marLeft w:val="0"/>
      <w:marRight w:val="0"/>
      <w:marTop w:val="0"/>
      <w:marBottom w:val="0"/>
      <w:divBdr>
        <w:top w:val="none" w:sz="0" w:space="0" w:color="auto"/>
        <w:left w:val="none" w:sz="0" w:space="0" w:color="auto"/>
        <w:bottom w:val="none" w:sz="0" w:space="0" w:color="auto"/>
        <w:right w:val="none" w:sz="0" w:space="0" w:color="auto"/>
      </w:divBdr>
    </w:div>
    <w:div w:id="1118644485">
      <w:bodyDiv w:val="1"/>
      <w:marLeft w:val="0"/>
      <w:marRight w:val="0"/>
      <w:marTop w:val="0"/>
      <w:marBottom w:val="0"/>
      <w:divBdr>
        <w:top w:val="none" w:sz="0" w:space="0" w:color="auto"/>
        <w:left w:val="none" w:sz="0" w:space="0" w:color="auto"/>
        <w:bottom w:val="none" w:sz="0" w:space="0" w:color="auto"/>
        <w:right w:val="none" w:sz="0" w:space="0" w:color="auto"/>
      </w:divBdr>
    </w:div>
    <w:div w:id="1122109245">
      <w:bodyDiv w:val="1"/>
      <w:marLeft w:val="0"/>
      <w:marRight w:val="0"/>
      <w:marTop w:val="0"/>
      <w:marBottom w:val="0"/>
      <w:divBdr>
        <w:top w:val="none" w:sz="0" w:space="0" w:color="auto"/>
        <w:left w:val="none" w:sz="0" w:space="0" w:color="auto"/>
        <w:bottom w:val="none" w:sz="0" w:space="0" w:color="auto"/>
        <w:right w:val="none" w:sz="0" w:space="0" w:color="auto"/>
      </w:divBdr>
    </w:div>
    <w:div w:id="1127161901">
      <w:bodyDiv w:val="1"/>
      <w:marLeft w:val="0"/>
      <w:marRight w:val="0"/>
      <w:marTop w:val="0"/>
      <w:marBottom w:val="0"/>
      <w:divBdr>
        <w:top w:val="none" w:sz="0" w:space="0" w:color="auto"/>
        <w:left w:val="none" w:sz="0" w:space="0" w:color="auto"/>
        <w:bottom w:val="none" w:sz="0" w:space="0" w:color="auto"/>
        <w:right w:val="none" w:sz="0" w:space="0" w:color="auto"/>
      </w:divBdr>
    </w:div>
    <w:div w:id="1133669834">
      <w:bodyDiv w:val="1"/>
      <w:marLeft w:val="0"/>
      <w:marRight w:val="0"/>
      <w:marTop w:val="0"/>
      <w:marBottom w:val="0"/>
      <w:divBdr>
        <w:top w:val="none" w:sz="0" w:space="0" w:color="auto"/>
        <w:left w:val="none" w:sz="0" w:space="0" w:color="auto"/>
        <w:bottom w:val="none" w:sz="0" w:space="0" w:color="auto"/>
        <w:right w:val="none" w:sz="0" w:space="0" w:color="auto"/>
      </w:divBdr>
    </w:div>
    <w:div w:id="1143229430">
      <w:bodyDiv w:val="1"/>
      <w:marLeft w:val="0"/>
      <w:marRight w:val="0"/>
      <w:marTop w:val="0"/>
      <w:marBottom w:val="0"/>
      <w:divBdr>
        <w:top w:val="none" w:sz="0" w:space="0" w:color="auto"/>
        <w:left w:val="none" w:sz="0" w:space="0" w:color="auto"/>
        <w:bottom w:val="none" w:sz="0" w:space="0" w:color="auto"/>
        <w:right w:val="none" w:sz="0" w:space="0" w:color="auto"/>
      </w:divBdr>
    </w:div>
    <w:div w:id="1150484878">
      <w:bodyDiv w:val="1"/>
      <w:marLeft w:val="0"/>
      <w:marRight w:val="0"/>
      <w:marTop w:val="0"/>
      <w:marBottom w:val="0"/>
      <w:divBdr>
        <w:top w:val="none" w:sz="0" w:space="0" w:color="auto"/>
        <w:left w:val="none" w:sz="0" w:space="0" w:color="auto"/>
        <w:bottom w:val="none" w:sz="0" w:space="0" w:color="auto"/>
        <w:right w:val="none" w:sz="0" w:space="0" w:color="auto"/>
      </w:divBdr>
    </w:div>
    <w:div w:id="1159689533">
      <w:bodyDiv w:val="1"/>
      <w:marLeft w:val="0"/>
      <w:marRight w:val="0"/>
      <w:marTop w:val="0"/>
      <w:marBottom w:val="0"/>
      <w:divBdr>
        <w:top w:val="none" w:sz="0" w:space="0" w:color="auto"/>
        <w:left w:val="none" w:sz="0" w:space="0" w:color="auto"/>
        <w:bottom w:val="none" w:sz="0" w:space="0" w:color="auto"/>
        <w:right w:val="none" w:sz="0" w:space="0" w:color="auto"/>
      </w:divBdr>
    </w:div>
    <w:div w:id="1162771841">
      <w:bodyDiv w:val="1"/>
      <w:marLeft w:val="0"/>
      <w:marRight w:val="0"/>
      <w:marTop w:val="0"/>
      <w:marBottom w:val="0"/>
      <w:divBdr>
        <w:top w:val="none" w:sz="0" w:space="0" w:color="auto"/>
        <w:left w:val="none" w:sz="0" w:space="0" w:color="auto"/>
        <w:bottom w:val="none" w:sz="0" w:space="0" w:color="auto"/>
        <w:right w:val="none" w:sz="0" w:space="0" w:color="auto"/>
      </w:divBdr>
    </w:div>
    <w:div w:id="1165898013">
      <w:bodyDiv w:val="1"/>
      <w:marLeft w:val="0"/>
      <w:marRight w:val="0"/>
      <w:marTop w:val="0"/>
      <w:marBottom w:val="0"/>
      <w:divBdr>
        <w:top w:val="none" w:sz="0" w:space="0" w:color="auto"/>
        <w:left w:val="none" w:sz="0" w:space="0" w:color="auto"/>
        <w:bottom w:val="none" w:sz="0" w:space="0" w:color="auto"/>
        <w:right w:val="none" w:sz="0" w:space="0" w:color="auto"/>
      </w:divBdr>
    </w:div>
    <w:div w:id="1194879226">
      <w:bodyDiv w:val="1"/>
      <w:marLeft w:val="0"/>
      <w:marRight w:val="0"/>
      <w:marTop w:val="0"/>
      <w:marBottom w:val="0"/>
      <w:divBdr>
        <w:top w:val="none" w:sz="0" w:space="0" w:color="auto"/>
        <w:left w:val="none" w:sz="0" w:space="0" w:color="auto"/>
        <w:bottom w:val="none" w:sz="0" w:space="0" w:color="auto"/>
        <w:right w:val="none" w:sz="0" w:space="0" w:color="auto"/>
      </w:divBdr>
    </w:div>
    <w:div w:id="1200052601">
      <w:bodyDiv w:val="1"/>
      <w:marLeft w:val="0"/>
      <w:marRight w:val="0"/>
      <w:marTop w:val="0"/>
      <w:marBottom w:val="0"/>
      <w:divBdr>
        <w:top w:val="none" w:sz="0" w:space="0" w:color="auto"/>
        <w:left w:val="none" w:sz="0" w:space="0" w:color="auto"/>
        <w:bottom w:val="none" w:sz="0" w:space="0" w:color="auto"/>
        <w:right w:val="none" w:sz="0" w:space="0" w:color="auto"/>
      </w:divBdr>
    </w:div>
    <w:div w:id="1207447068">
      <w:bodyDiv w:val="1"/>
      <w:marLeft w:val="0"/>
      <w:marRight w:val="0"/>
      <w:marTop w:val="0"/>
      <w:marBottom w:val="0"/>
      <w:divBdr>
        <w:top w:val="none" w:sz="0" w:space="0" w:color="auto"/>
        <w:left w:val="none" w:sz="0" w:space="0" w:color="auto"/>
        <w:bottom w:val="none" w:sz="0" w:space="0" w:color="auto"/>
        <w:right w:val="none" w:sz="0" w:space="0" w:color="auto"/>
      </w:divBdr>
    </w:div>
    <w:div w:id="1213075043">
      <w:bodyDiv w:val="1"/>
      <w:marLeft w:val="0"/>
      <w:marRight w:val="0"/>
      <w:marTop w:val="0"/>
      <w:marBottom w:val="0"/>
      <w:divBdr>
        <w:top w:val="none" w:sz="0" w:space="0" w:color="auto"/>
        <w:left w:val="none" w:sz="0" w:space="0" w:color="auto"/>
        <w:bottom w:val="none" w:sz="0" w:space="0" w:color="auto"/>
        <w:right w:val="none" w:sz="0" w:space="0" w:color="auto"/>
      </w:divBdr>
    </w:div>
    <w:div w:id="1256014620">
      <w:bodyDiv w:val="1"/>
      <w:marLeft w:val="0"/>
      <w:marRight w:val="0"/>
      <w:marTop w:val="0"/>
      <w:marBottom w:val="0"/>
      <w:divBdr>
        <w:top w:val="none" w:sz="0" w:space="0" w:color="auto"/>
        <w:left w:val="none" w:sz="0" w:space="0" w:color="auto"/>
        <w:bottom w:val="none" w:sz="0" w:space="0" w:color="auto"/>
        <w:right w:val="none" w:sz="0" w:space="0" w:color="auto"/>
      </w:divBdr>
    </w:div>
    <w:div w:id="1268538863">
      <w:bodyDiv w:val="1"/>
      <w:marLeft w:val="0"/>
      <w:marRight w:val="0"/>
      <w:marTop w:val="0"/>
      <w:marBottom w:val="0"/>
      <w:divBdr>
        <w:top w:val="none" w:sz="0" w:space="0" w:color="auto"/>
        <w:left w:val="none" w:sz="0" w:space="0" w:color="auto"/>
        <w:bottom w:val="none" w:sz="0" w:space="0" w:color="auto"/>
        <w:right w:val="none" w:sz="0" w:space="0" w:color="auto"/>
      </w:divBdr>
    </w:div>
    <w:div w:id="1298141503">
      <w:bodyDiv w:val="1"/>
      <w:marLeft w:val="0"/>
      <w:marRight w:val="0"/>
      <w:marTop w:val="0"/>
      <w:marBottom w:val="0"/>
      <w:divBdr>
        <w:top w:val="none" w:sz="0" w:space="0" w:color="auto"/>
        <w:left w:val="none" w:sz="0" w:space="0" w:color="auto"/>
        <w:bottom w:val="none" w:sz="0" w:space="0" w:color="auto"/>
        <w:right w:val="none" w:sz="0" w:space="0" w:color="auto"/>
      </w:divBdr>
    </w:div>
    <w:div w:id="1304433867">
      <w:bodyDiv w:val="1"/>
      <w:marLeft w:val="0"/>
      <w:marRight w:val="0"/>
      <w:marTop w:val="0"/>
      <w:marBottom w:val="0"/>
      <w:divBdr>
        <w:top w:val="none" w:sz="0" w:space="0" w:color="auto"/>
        <w:left w:val="none" w:sz="0" w:space="0" w:color="auto"/>
        <w:bottom w:val="none" w:sz="0" w:space="0" w:color="auto"/>
        <w:right w:val="none" w:sz="0" w:space="0" w:color="auto"/>
      </w:divBdr>
    </w:div>
    <w:div w:id="1319723221">
      <w:bodyDiv w:val="1"/>
      <w:marLeft w:val="0"/>
      <w:marRight w:val="0"/>
      <w:marTop w:val="0"/>
      <w:marBottom w:val="0"/>
      <w:divBdr>
        <w:top w:val="none" w:sz="0" w:space="0" w:color="auto"/>
        <w:left w:val="none" w:sz="0" w:space="0" w:color="auto"/>
        <w:bottom w:val="none" w:sz="0" w:space="0" w:color="auto"/>
        <w:right w:val="none" w:sz="0" w:space="0" w:color="auto"/>
      </w:divBdr>
    </w:div>
    <w:div w:id="1320889712">
      <w:bodyDiv w:val="1"/>
      <w:marLeft w:val="0"/>
      <w:marRight w:val="0"/>
      <w:marTop w:val="0"/>
      <w:marBottom w:val="0"/>
      <w:divBdr>
        <w:top w:val="none" w:sz="0" w:space="0" w:color="auto"/>
        <w:left w:val="none" w:sz="0" w:space="0" w:color="auto"/>
        <w:bottom w:val="none" w:sz="0" w:space="0" w:color="auto"/>
        <w:right w:val="none" w:sz="0" w:space="0" w:color="auto"/>
      </w:divBdr>
    </w:div>
    <w:div w:id="1326787393">
      <w:bodyDiv w:val="1"/>
      <w:marLeft w:val="0"/>
      <w:marRight w:val="0"/>
      <w:marTop w:val="0"/>
      <w:marBottom w:val="0"/>
      <w:divBdr>
        <w:top w:val="none" w:sz="0" w:space="0" w:color="auto"/>
        <w:left w:val="none" w:sz="0" w:space="0" w:color="auto"/>
        <w:bottom w:val="none" w:sz="0" w:space="0" w:color="auto"/>
        <w:right w:val="none" w:sz="0" w:space="0" w:color="auto"/>
      </w:divBdr>
    </w:div>
    <w:div w:id="1335378817">
      <w:bodyDiv w:val="1"/>
      <w:marLeft w:val="0"/>
      <w:marRight w:val="0"/>
      <w:marTop w:val="0"/>
      <w:marBottom w:val="0"/>
      <w:divBdr>
        <w:top w:val="none" w:sz="0" w:space="0" w:color="auto"/>
        <w:left w:val="none" w:sz="0" w:space="0" w:color="auto"/>
        <w:bottom w:val="none" w:sz="0" w:space="0" w:color="auto"/>
        <w:right w:val="none" w:sz="0" w:space="0" w:color="auto"/>
      </w:divBdr>
    </w:div>
    <w:div w:id="1368793592">
      <w:bodyDiv w:val="1"/>
      <w:marLeft w:val="0"/>
      <w:marRight w:val="0"/>
      <w:marTop w:val="0"/>
      <w:marBottom w:val="0"/>
      <w:divBdr>
        <w:top w:val="none" w:sz="0" w:space="0" w:color="auto"/>
        <w:left w:val="none" w:sz="0" w:space="0" w:color="auto"/>
        <w:bottom w:val="none" w:sz="0" w:space="0" w:color="auto"/>
        <w:right w:val="none" w:sz="0" w:space="0" w:color="auto"/>
      </w:divBdr>
    </w:div>
    <w:div w:id="1369918625">
      <w:bodyDiv w:val="1"/>
      <w:marLeft w:val="0"/>
      <w:marRight w:val="0"/>
      <w:marTop w:val="0"/>
      <w:marBottom w:val="0"/>
      <w:divBdr>
        <w:top w:val="none" w:sz="0" w:space="0" w:color="auto"/>
        <w:left w:val="none" w:sz="0" w:space="0" w:color="auto"/>
        <w:bottom w:val="none" w:sz="0" w:space="0" w:color="auto"/>
        <w:right w:val="none" w:sz="0" w:space="0" w:color="auto"/>
      </w:divBdr>
    </w:div>
    <w:div w:id="1380858245">
      <w:bodyDiv w:val="1"/>
      <w:marLeft w:val="0"/>
      <w:marRight w:val="0"/>
      <w:marTop w:val="0"/>
      <w:marBottom w:val="0"/>
      <w:divBdr>
        <w:top w:val="none" w:sz="0" w:space="0" w:color="auto"/>
        <w:left w:val="none" w:sz="0" w:space="0" w:color="auto"/>
        <w:bottom w:val="none" w:sz="0" w:space="0" w:color="auto"/>
        <w:right w:val="none" w:sz="0" w:space="0" w:color="auto"/>
      </w:divBdr>
    </w:div>
    <w:div w:id="1403790138">
      <w:bodyDiv w:val="1"/>
      <w:marLeft w:val="0"/>
      <w:marRight w:val="0"/>
      <w:marTop w:val="0"/>
      <w:marBottom w:val="0"/>
      <w:divBdr>
        <w:top w:val="none" w:sz="0" w:space="0" w:color="auto"/>
        <w:left w:val="none" w:sz="0" w:space="0" w:color="auto"/>
        <w:bottom w:val="none" w:sz="0" w:space="0" w:color="auto"/>
        <w:right w:val="none" w:sz="0" w:space="0" w:color="auto"/>
      </w:divBdr>
    </w:div>
    <w:div w:id="1407535701">
      <w:bodyDiv w:val="1"/>
      <w:marLeft w:val="0"/>
      <w:marRight w:val="0"/>
      <w:marTop w:val="0"/>
      <w:marBottom w:val="0"/>
      <w:divBdr>
        <w:top w:val="none" w:sz="0" w:space="0" w:color="auto"/>
        <w:left w:val="none" w:sz="0" w:space="0" w:color="auto"/>
        <w:bottom w:val="none" w:sz="0" w:space="0" w:color="auto"/>
        <w:right w:val="none" w:sz="0" w:space="0" w:color="auto"/>
      </w:divBdr>
    </w:div>
    <w:div w:id="1409309790">
      <w:bodyDiv w:val="1"/>
      <w:marLeft w:val="0"/>
      <w:marRight w:val="0"/>
      <w:marTop w:val="0"/>
      <w:marBottom w:val="0"/>
      <w:divBdr>
        <w:top w:val="none" w:sz="0" w:space="0" w:color="auto"/>
        <w:left w:val="none" w:sz="0" w:space="0" w:color="auto"/>
        <w:bottom w:val="none" w:sz="0" w:space="0" w:color="auto"/>
        <w:right w:val="none" w:sz="0" w:space="0" w:color="auto"/>
      </w:divBdr>
    </w:div>
    <w:div w:id="1430153261">
      <w:bodyDiv w:val="1"/>
      <w:marLeft w:val="0"/>
      <w:marRight w:val="0"/>
      <w:marTop w:val="0"/>
      <w:marBottom w:val="0"/>
      <w:divBdr>
        <w:top w:val="none" w:sz="0" w:space="0" w:color="auto"/>
        <w:left w:val="none" w:sz="0" w:space="0" w:color="auto"/>
        <w:bottom w:val="none" w:sz="0" w:space="0" w:color="auto"/>
        <w:right w:val="none" w:sz="0" w:space="0" w:color="auto"/>
      </w:divBdr>
    </w:div>
    <w:div w:id="1434402732">
      <w:bodyDiv w:val="1"/>
      <w:marLeft w:val="0"/>
      <w:marRight w:val="0"/>
      <w:marTop w:val="0"/>
      <w:marBottom w:val="0"/>
      <w:divBdr>
        <w:top w:val="none" w:sz="0" w:space="0" w:color="auto"/>
        <w:left w:val="none" w:sz="0" w:space="0" w:color="auto"/>
        <w:bottom w:val="none" w:sz="0" w:space="0" w:color="auto"/>
        <w:right w:val="none" w:sz="0" w:space="0" w:color="auto"/>
      </w:divBdr>
    </w:div>
    <w:div w:id="1473522046">
      <w:bodyDiv w:val="1"/>
      <w:marLeft w:val="0"/>
      <w:marRight w:val="0"/>
      <w:marTop w:val="0"/>
      <w:marBottom w:val="0"/>
      <w:divBdr>
        <w:top w:val="none" w:sz="0" w:space="0" w:color="auto"/>
        <w:left w:val="none" w:sz="0" w:space="0" w:color="auto"/>
        <w:bottom w:val="none" w:sz="0" w:space="0" w:color="auto"/>
        <w:right w:val="none" w:sz="0" w:space="0" w:color="auto"/>
      </w:divBdr>
    </w:div>
    <w:div w:id="1483815353">
      <w:bodyDiv w:val="1"/>
      <w:marLeft w:val="0"/>
      <w:marRight w:val="0"/>
      <w:marTop w:val="0"/>
      <w:marBottom w:val="0"/>
      <w:divBdr>
        <w:top w:val="none" w:sz="0" w:space="0" w:color="auto"/>
        <w:left w:val="none" w:sz="0" w:space="0" w:color="auto"/>
        <w:bottom w:val="none" w:sz="0" w:space="0" w:color="auto"/>
        <w:right w:val="none" w:sz="0" w:space="0" w:color="auto"/>
      </w:divBdr>
    </w:div>
    <w:div w:id="1484083567">
      <w:bodyDiv w:val="1"/>
      <w:marLeft w:val="0"/>
      <w:marRight w:val="0"/>
      <w:marTop w:val="0"/>
      <w:marBottom w:val="0"/>
      <w:divBdr>
        <w:top w:val="none" w:sz="0" w:space="0" w:color="auto"/>
        <w:left w:val="none" w:sz="0" w:space="0" w:color="auto"/>
        <w:bottom w:val="none" w:sz="0" w:space="0" w:color="auto"/>
        <w:right w:val="none" w:sz="0" w:space="0" w:color="auto"/>
      </w:divBdr>
    </w:div>
    <w:div w:id="1503399829">
      <w:bodyDiv w:val="1"/>
      <w:marLeft w:val="0"/>
      <w:marRight w:val="0"/>
      <w:marTop w:val="0"/>
      <w:marBottom w:val="0"/>
      <w:divBdr>
        <w:top w:val="none" w:sz="0" w:space="0" w:color="auto"/>
        <w:left w:val="none" w:sz="0" w:space="0" w:color="auto"/>
        <w:bottom w:val="none" w:sz="0" w:space="0" w:color="auto"/>
        <w:right w:val="none" w:sz="0" w:space="0" w:color="auto"/>
      </w:divBdr>
    </w:div>
    <w:div w:id="1505242202">
      <w:bodyDiv w:val="1"/>
      <w:marLeft w:val="0"/>
      <w:marRight w:val="0"/>
      <w:marTop w:val="0"/>
      <w:marBottom w:val="0"/>
      <w:divBdr>
        <w:top w:val="none" w:sz="0" w:space="0" w:color="auto"/>
        <w:left w:val="none" w:sz="0" w:space="0" w:color="auto"/>
        <w:bottom w:val="none" w:sz="0" w:space="0" w:color="auto"/>
        <w:right w:val="none" w:sz="0" w:space="0" w:color="auto"/>
      </w:divBdr>
    </w:div>
    <w:div w:id="1507478113">
      <w:bodyDiv w:val="1"/>
      <w:marLeft w:val="0"/>
      <w:marRight w:val="0"/>
      <w:marTop w:val="0"/>
      <w:marBottom w:val="0"/>
      <w:divBdr>
        <w:top w:val="none" w:sz="0" w:space="0" w:color="auto"/>
        <w:left w:val="none" w:sz="0" w:space="0" w:color="auto"/>
        <w:bottom w:val="none" w:sz="0" w:space="0" w:color="auto"/>
        <w:right w:val="none" w:sz="0" w:space="0" w:color="auto"/>
      </w:divBdr>
    </w:div>
    <w:div w:id="1508904301">
      <w:bodyDiv w:val="1"/>
      <w:marLeft w:val="0"/>
      <w:marRight w:val="0"/>
      <w:marTop w:val="0"/>
      <w:marBottom w:val="0"/>
      <w:divBdr>
        <w:top w:val="none" w:sz="0" w:space="0" w:color="auto"/>
        <w:left w:val="none" w:sz="0" w:space="0" w:color="auto"/>
        <w:bottom w:val="none" w:sz="0" w:space="0" w:color="auto"/>
        <w:right w:val="none" w:sz="0" w:space="0" w:color="auto"/>
      </w:divBdr>
    </w:div>
    <w:div w:id="1515992257">
      <w:bodyDiv w:val="1"/>
      <w:marLeft w:val="0"/>
      <w:marRight w:val="0"/>
      <w:marTop w:val="0"/>
      <w:marBottom w:val="0"/>
      <w:divBdr>
        <w:top w:val="none" w:sz="0" w:space="0" w:color="auto"/>
        <w:left w:val="none" w:sz="0" w:space="0" w:color="auto"/>
        <w:bottom w:val="none" w:sz="0" w:space="0" w:color="auto"/>
        <w:right w:val="none" w:sz="0" w:space="0" w:color="auto"/>
      </w:divBdr>
    </w:div>
    <w:div w:id="1546915847">
      <w:bodyDiv w:val="1"/>
      <w:marLeft w:val="0"/>
      <w:marRight w:val="0"/>
      <w:marTop w:val="0"/>
      <w:marBottom w:val="0"/>
      <w:divBdr>
        <w:top w:val="none" w:sz="0" w:space="0" w:color="auto"/>
        <w:left w:val="none" w:sz="0" w:space="0" w:color="auto"/>
        <w:bottom w:val="none" w:sz="0" w:space="0" w:color="auto"/>
        <w:right w:val="none" w:sz="0" w:space="0" w:color="auto"/>
      </w:divBdr>
    </w:div>
    <w:div w:id="1552688124">
      <w:bodyDiv w:val="1"/>
      <w:marLeft w:val="0"/>
      <w:marRight w:val="0"/>
      <w:marTop w:val="0"/>
      <w:marBottom w:val="0"/>
      <w:divBdr>
        <w:top w:val="none" w:sz="0" w:space="0" w:color="auto"/>
        <w:left w:val="none" w:sz="0" w:space="0" w:color="auto"/>
        <w:bottom w:val="none" w:sz="0" w:space="0" w:color="auto"/>
        <w:right w:val="none" w:sz="0" w:space="0" w:color="auto"/>
      </w:divBdr>
    </w:div>
    <w:div w:id="1565291928">
      <w:bodyDiv w:val="1"/>
      <w:marLeft w:val="0"/>
      <w:marRight w:val="0"/>
      <w:marTop w:val="0"/>
      <w:marBottom w:val="0"/>
      <w:divBdr>
        <w:top w:val="none" w:sz="0" w:space="0" w:color="auto"/>
        <w:left w:val="none" w:sz="0" w:space="0" w:color="auto"/>
        <w:bottom w:val="none" w:sz="0" w:space="0" w:color="auto"/>
        <w:right w:val="none" w:sz="0" w:space="0" w:color="auto"/>
      </w:divBdr>
    </w:div>
    <w:div w:id="1570384665">
      <w:bodyDiv w:val="1"/>
      <w:marLeft w:val="0"/>
      <w:marRight w:val="0"/>
      <w:marTop w:val="0"/>
      <w:marBottom w:val="0"/>
      <w:divBdr>
        <w:top w:val="none" w:sz="0" w:space="0" w:color="auto"/>
        <w:left w:val="none" w:sz="0" w:space="0" w:color="auto"/>
        <w:bottom w:val="none" w:sz="0" w:space="0" w:color="auto"/>
        <w:right w:val="none" w:sz="0" w:space="0" w:color="auto"/>
      </w:divBdr>
    </w:div>
    <w:div w:id="1570575697">
      <w:bodyDiv w:val="1"/>
      <w:marLeft w:val="0"/>
      <w:marRight w:val="0"/>
      <w:marTop w:val="0"/>
      <w:marBottom w:val="0"/>
      <w:divBdr>
        <w:top w:val="none" w:sz="0" w:space="0" w:color="auto"/>
        <w:left w:val="none" w:sz="0" w:space="0" w:color="auto"/>
        <w:bottom w:val="none" w:sz="0" w:space="0" w:color="auto"/>
        <w:right w:val="none" w:sz="0" w:space="0" w:color="auto"/>
      </w:divBdr>
    </w:div>
    <w:div w:id="1589654009">
      <w:bodyDiv w:val="1"/>
      <w:marLeft w:val="0"/>
      <w:marRight w:val="0"/>
      <w:marTop w:val="0"/>
      <w:marBottom w:val="0"/>
      <w:divBdr>
        <w:top w:val="none" w:sz="0" w:space="0" w:color="auto"/>
        <w:left w:val="none" w:sz="0" w:space="0" w:color="auto"/>
        <w:bottom w:val="none" w:sz="0" w:space="0" w:color="auto"/>
        <w:right w:val="none" w:sz="0" w:space="0" w:color="auto"/>
      </w:divBdr>
    </w:div>
    <w:div w:id="1593705411">
      <w:bodyDiv w:val="1"/>
      <w:marLeft w:val="0"/>
      <w:marRight w:val="0"/>
      <w:marTop w:val="0"/>
      <w:marBottom w:val="0"/>
      <w:divBdr>
        <w:top w:val="none" w:sz="0" w:space="0" w:color="auto"/>
        <w:left w:val="none" w:sz="0" w:space="0" w:color="auto"/>
        <w:bottom w:val="none" w:sz="0" w:space="0" w:color="auto"/>
        <w:right w:val="none" w:sz="0" w:space="0" w:color="auto"/>
      </w:divBdr>
    </w:div>
    <w:div w:id="1598371793">
      <w:bodyDiv w:val="1"/>
      <w:marLeft w:val="0"/>
      <w:marRight w:val="0"/>
      <w:marTop w:val="0"/>
      <w:marBottom w:val="0"/>
      <w:divBdr>
        <w:top w:val="none" w:sz="0" w:space="0" w:color="auto"/>
        <w:left w:val="none" w:sz="0" w:space="0" w:color="auto"/>
        <w:bottom w:val="none" w:sz="0" w:space="0" w:color="auto"/>
        <w:right w:val="none" w:sz="0" w:space="0" w:color="auto"/>
      </w:divBdr>
    </w:div>
    <w:div w:id="1606032528">
      <w:bodyDiv w:val="1"/>
      <w:marLeft w:val="0"/>
      <w:marRight w:val="0"/>
      <w:marTop w:val="0"/>
      <w:marBottom w:val="0"/>
      <w:divBdr>
        <w:top w:val="none" w:sz="0" w:space="0" w:color="auto"/>
        <w:left w:val="none" w:sz="0" w:space="0" w:color="auto"/>
        <w:bottom w:val="none" w:sz="0" w:space="0" w:color="auto"/>
        <w:right w:val="none" w:sz="0" w:space="0" w:color="auto"/>
      </w:divBdr>
    </w:div>
    <w:div w:id="1640769625">
      <w:bodyDiv w:val="1"/>
      <w:marLeft w:val="0"/>
      <w:marRight w:val="0"/>
      <w:marTop w:val="0"/>
      <w:marBottom w:val="0"/>
      <w:divBdr>
        <w:top w:val="none" w:sz="0" w:space="0" w:color="auto"/>
        <w:left w:val="none" w:sz="0" w:space="0" w:color="auto"/>
        <w:bottom w:val="none" w:sz="0" w:space="0" w:color="auto"/>
        <w:right w:val="none" w:sz="0" w:space="0" w:color="auto"/>
      </w:divBdr>
    </w:div>
    <w:div w:id="1664889453">
      <w:bodyDiv w:val="1"/>
      <w:marLeft w:val="0"/>
      <w:marRight w:val="0"/>
      <w:marTop w:val="0"/>
      <w:marBottom w:val="0"/>
      <w:divBdr>
        <w:top w:val="none" w:sz="0" w:space="0" w:color="auto"/>
        <w:left w:val="none" w:sz="0" w:space="0" w:color="auto"/>
        <w:bottom w:val="none" w:sz="0" w:space="0" w:color="auto"/>
        <w:right w:val="none" w:sz="0" w:space="0" w:color="auto"/>
      </w:divBdr>
    </w:div>
    <w:div w:id="1695618825">
      <w:bodyDiv w:val="1"/>
      <w:marLeft w:val="0"/>
      <w:marRight w:val="0"/>
      <w:marTop w:val="0"/>
      <w:marBottom w:val="0"/>
      <w:divBdr>
        <w:top w:val="none" w:sz="0" w:space="0" w:color="auto"/>
        <w:left w:val="none" w:sz="0" w:space="0" w:color="auto"/>
        <w:bottom w:val="none" w:sz="0" w:space="0" w:color="auto"/>
        <w:right w:val="none" w:sz="0" w:space="0" w:color="auto"/>
      </w:divBdr>
    </w:div>
    <w:div w:id="1696611769">
      <w:bodyDiv w:val="1"/>
      <w:marLeft w:val="0"/>
      <w:marRight w:val="0"/>
      <w:marTop w:val="0"/>
      <w:marBottom w:val="0"/>
      <w:divBdr>
        <w:top w:val="none" w:sz="0" w:space="0" w:color="auto"/>
        <w:left w:val="none" w:sz="0" w:space="0" w:color="auto"/>
        <w:bottom w:val="none" w:sz="0" w:space="0" w:color="auto"/>
        <w:right w:val="none" w:sz="0" w:space="0" w:color="auto"/>
      </w:divBdr>
    </w:div>
    <w:div w:id="1715495991">
      <w:bodyDiv w:val="1"/>
      <w:marLeft w:val="0"/>
      <w:marRight w:val="0"/>
      <w:marTop w:val="0"/>
      <w:marBottom w:val="0"/>
      <w:divBdr>
        <w:top w:val="none" w:sz="0" w:space="0" w:color="auto"/>
        <w:left w:val="none" w:sz="0" w:space="0" w:color="auto"/>
        <w:bottom w:val="none" w:sz="0" w:space="0" w:color="auto"/>
        <w:right w:val="none" w:sz="0" w:space="0" w:color="auto"/>
      </w:divBdr>
    </w:div>
    <w:div w:id="1724257381">
      <w:bodyDiv w:val="1"/>
      <w:marLeft w:val="0"/>
      <w:marRight w:val="0"/>
      <w:marTop w:val="0"/>
      <w:marBottom w:val="0"/>
      <w:divBdr>
        <w:top w:val="none" w:sz="0" w:space="0" w:color="auto"/>
        <w:left w:val="none" w:sz="0" w:space="0" w:color="auto"/>
        <w:bottom w:val="none" w:sz="0" w:space="0" w:color="auto"/>
        <w:right w:val="none" w:sz="0" w:space="0" w:color="auto"/>
      </w:divBdr>
    </w:div>
    <w:div w:id="1732268055">
      <w:bodyDiv w:val="1"/>
      <w:marLeft w:val="0"/>
      <w:marRight w:val="0"/>
      <w:marTop w:val="0"/>
      <w:marBottom w:val="0"/>
      <w:divBdr>
        <w:top w:val="none" w:sz="0" w:space="0" w:color="auto"/>
        <w:left w:val="none" w:sz="0" w:space="0" w:color="auto"/>
        <w:bottom w:val="none" w:sz="0" w:space="0" w:color="auto"/>
        <w:right w:val="none" w:sz="0" w:space="0" w:color="auto"/>
      </w:divBdr>
    </w:div>
    <w:div w:id="1733698286">
      <w:bodyDiv w:val="1"/>
      <w:marLeft w:val="0"/>
      <w:marRight w:val="0"/>
      <w:marTop w:val="0"/>
      <w:marBottom w:val="0"/>
      <w:divBdr>
        <w:top w:val="none" w:sz="0" w:space="0" w:color="auto"/>
        <w:left w:val="none" w:sz="0" w:space="0" w:color="auto"/>
        <w:bottom w:val="none" w:sz="0" w:space="0" w:color="auto"/>
        <w:right w:val="none" w:sz="0" w:space="0" w:color="auto"/>
      </w:divBdr>
    </w:div>
    <w:div w:id="1735541042">
      <w:bodyDiv w:val="1"/>
      <w:marLeft w:val="0"/>
      <w:marRight w:val="0"/>
      <w:marTop w:val="0"/>
      <w:marBottom w:val="0"/>
      <w:divBdr>
        <w:top w:val="none" w:sz="0" w:space="0" w:color="auto"/>
        <w:left w:val="none" w:sz="0" w:space="0" w:color="auto"/>
        <w:bottom w:val="none" w:sz="0" w:space="0" w:color="auto"/>
        <w:right w:val="none" w:sz="0" w:space="0" w:color="auto"/>
      </w:divBdr>
    </w:div>
    <w:div w:id="1748190468">
      <w:bodyDiv w:val="1"/>
      <w:marLeft w:val="0"/>
      <w:marRight w:val="0"/>
      <w:marTop w:val="0"/>
      <w:marBottom w:val="0"/>
      <w:divBdr>
        <w:top w:val="none" w:sz="0" w:space="0" w:color="auto"/>
        <w:left w:val="none" w:sz="0" w:space="0" w:color="auto"/>
        <w:bottom w:val="none" w:sz="0" w:space="0" w:color="auto"/>
        <w:right w:val="none" w:sz="0" w:space="0" w:color="auto"/>
      </w:divBdr>
    </w:div>
    <w:div w:id="1757819253">
      <w:bodyDiv w:val="1"/>
      <w:marLeft w:val="0"/>
      <w:marRight w:val="0"/>
      <w:marTop w:val="0"/>
      <w:marBottom w:val="0"/>
      <w:divBdr>
        <w:top w:val="none" w:sz="0" w:space="0" w:color="auto"/>
        <w:left w:val="none" w:sz="0" w:space="0" w:color="auto"/>
        <w:bottom w:val="none" w:sz="0" w:space="0" w:color="auto"/>
        <w:right w:val="none" w:sz="0" w:space="0" w:color="auto"/>
      </w:divBdr>
    </w:div>
    <w:div w:id="1757939177">
      <w:bodyDiv w:val="1"/>
      <w:marLeft w:val="0"/>
      <w:marRight w:val="0"/>
      <w:marTop w:val="0"/>
      <w:marBottom w:val="0"/>
      <w:divBdr>
        <w:top w:val="none" w:sz="0" w:space="0" w:color="auto"/>
        <w:left w:val="none" w:sz="0" w:space="0" w:color="auto"/>
        <w:bottom w:val="none" w:sz="0" w:space="0" w:color="auto"/>
        <w:right w:val="none" w:sz="0" w:space="0" w:color="auto"/>
      </w:divBdr>
    </w:div>
    <w:div w:id="1761833759">
      <w:bodyDiv w:val="1"/>
      <w:marLeft w:val="0"/>
      <w:marRight w:val="0"/>
      <w:marTop w:val="0"/>
      <w:marBottom w:val="0"/>
      <w:divBdr>
        <w:top w:val="none" w:sz="0" w:space="0" w:color="auto"/>
        <w:left w:val="none" w:sz="0" w:space="0" w:color="auto"/>
        <w:bottom w:val="none" w:sz="0" w:space="0" w:color="auto"/>
        <w:right w:val="none" w:sz="0" w:space="0" w:color="auto"/>
      </w:divBdr>
    </w:div>
    <w:div w:id="1762411028">
      <w:bodyDiv w:val="1"/>
      <w:marLeft w:val="0"/>
      <w:marRight w:val="0"/>
      <w:marTop w:val="0"/>
      <w:marBottom w:val="0"/>
      <w:divBdr>
        <w:top w:val="none" w:sz="0" w:space="0" w:color="auto"/>
        <w:left w:val="none" w:sz="0" w:space="0" w:color="auto"/>
        <w:bottom w:val="none" w:sz="0" w:space="0" w:color="auto"/>
        <w:right w:val="none" w:sz="0" w:space="0" w:color="auto"/>
      </w:divBdr>
    </w:div>
    <w:div w:id="1765375248">
      <w:bodyDiv w:val="1"/>
      <w:marLeft w:val="0"/>
      <w:marRight w:val="0"/>
      <w:marTop w:val="0"/>
      <w:marBottom w:val="0"/>
      <w:divBdr>
        <w:top w:val="none" w:sz="0" w:space="0" w:color="auto"/>
        <w:left w:val="none" w:sz="0" w:space="0" w:color="auto"/>
        <w:bottom w:val="none" w:sz="0" w:space="0" w:color="auto"/>
        <w:right w:val="none" w:sz="0" w:space="0" w:color="auto"/>
      </w:divBdr>
    </w:div>
    <w:div w:id="1777864385">
      <w:bodyDiv w:val="1"/>
      <w:marLeft w:val="0"/>
      <w:marRight w:val="0"/>
      <w:marTop w:val="0"/>
      <w:marBottom w:val="0"/>
      <w:divBdr>
        <w:top w:val="none" w:sz="0" w:space="0" w:color="auto"/>
        <w:left w:val="none" w:sz="0" w:space="0" w:color="auto"/>
        <w:bottom w:val="none" w:sz="0" w:space="0" w:color="auto"/>
        <w:right w:val="none" w:sz="0" w:space="0" w:color="auto"/>
      </w:divBdr>
    </w:div>
    <w:div w:id="1794790687">
      <w:bodyDiv w:val="1"/>
      <w:marLeft w:val="0"/>
      <w:marRight w:val="0"/>
      <w:marTop w:val="0"/>
      <w:marBottom w:val="0"/>
      <w:divBdr>
        <w:top w:val="none" w:sz="0" w:space="0" w:color="auto"/>
        <w:left w:val="none" w:sz="0" w:space="0" w:color="auto"/>
        <w:bottom w:val="none" w:sz="0" w:space="0" w:color="auto"/>
        <w:right w:val="none" w:sz="0" w:space="0" w:color="auto"/>
      </w:divBdr>
    </w:div>
    <w:div w:id="1796677492">
      <w:bodyDiv w:val="1"/>
      <w:marLeft w:val="0"/>
      <w:marRight w:val="0"/>
      <w:marTop w:val="0"/>
      <w:marBottom w:val="0"/>
      <w:divBdr>
        <w:top w:val="none" w:sz="0" w:space="0" w:color="auto"/>
        <w:left w:val="none" w:sz="0" w:space="0" w:color="auto"/>
        <w:bottom w:val="none" w:sz="0" w:space="0" w:color="auto"/>
        <w:right w:val="none" w:sz="0" w:space="0" w:color="auto"/>
      </w:divBdr>
    </w:div>
    <w:div w:id="1799102643">
      <w:bodyDiv w:val="1"/>
      <w:marLeft w:val="0"/>
      <w:marRight w:val="0"/>
      <w:marTop w:val="0"/>
      <w:marBottom w:val="0"/>
      <w:divBdr>
        <w:top w:val="none" w:sz="0" w:space="0" w:color="auto"/>
        <w:left w:val="none" w:sz="0" w:space="0" w:color="auto"/>
        <w:bottom w:val="none" w:sz="0" w:space="0" w:color="auto"/>
        <w:right w:val="none" w:sz="0" w:space="0" w:color="auto"/>
      </w:divBdr>
    </w:div>
    <w:div w:id="1819614841">
      <w:bodyDiv w:val="1"/>
      <w:marLeft w:val="0"/>
      <w:marRight w:val="0"/>
      <w:marTop w:val="0"/>
      <w:marBottom w:val="0"/>
      <w:divBdr>
        <w:top w:val="none" w:sz="0" w:space="0" w:color="auto"/>
        <w:left w:val="none" w:sz="0" w:space="0" w:color="auto"/>
        <w:bottom w:val="none" w:sz="0" w:space="0" w:color="auto"/>
        <w:right w:val="none" w:sz="0" w:space="0" w:color="auto"/>
      </w:divBdr>
    </w:div>
    <w:div w:id="1830051798">
      <w:bodyDiv w:val="1"/>
      <w:marLeft w:val="0"/>
      <w:marRight w:val="0"/>
      <w:marTop w:val="0"/>
      <w:marBottom w:val="0"/>
      <w:divBdr>
        <w:top w:val="none" w:sz="0" w:space="0" w:color="auto"/>
        <w:left w:val="none" w:sz="0" w:space="0" w:color="auto"/>
        <w:bottom w:val="none" w:sz="0" w:space="0" w:color="auto"/>
        <w:right w:val="none" w:sz="0" w:space="0" w:color="auto"/>
      </w:divBdr>
    </w:div>
    <w:div w:id="1841042032">
      <w:bodyDiv w:val="1"/>
      <w:marLeft w:val="0"/>
      <w:marRight w:val="0"/>
      <w:marTop w:val="0"/>
      <w:marBottom w:val="0"/>
      <w:divBdr>
        <w:top w:val="none" w:sz="0" w:space="0" w:color="auto"/>
        <w:left w:val="none" w:sz="0" w:space="0" w:color="auto"/>
        <w:bottom w:val="none" w:sz="0" w:space="0" w:color="auto"/>
        <w:right w:val="none" w:sz="0" w:space="0" w:color="auto"/>
      </w:divBdr>
    </w:div>
    <w:div w:id="1844393256">
      <w:bodyDiv w:val="1"/>
      <w:marLeft w:val="0"/>
      <w:marRight w:val="0"/>
      <w:marTop w:val="0"/>
      <w:marBottom w:val="0"/>
      <w:divBdr>
        <w:top w:val="none" w:sz="0" w:space="0" w:color="auto"/>
        <w:left w:val="none" w:sz="0" w:space="0" w:color="auto"/>
        <w:bottom w:val="none" w:sz="0" w:space="0" w:color="auto"/>
        <w:right w:val="none" w:sz="0" w:space="0" w:color="auto"/>
      </w:divBdr>
    </w:div>
    <w:div w:id="1854804780">
      <w:bodyDiv w:val="1"/>
      <w:marLeft w:val="0"/>
      <w:marRight w:val="0"/>
      <w:marTop w:val="0"/>
      <w:marBottom w:val="0"/>
      <w:divBdr>
        <w:top w:val="none" w:sz="0" w:space="0" w:color="auto"/>
        <w:left w:val="none" w:sz="0" w:space="0" w:color="auto"/>
        <w:bottom w:val="none" w:sz="0" w:space="0" w:color="auto"/>
        <w:right w:val="none" w:sz="0" w:space="0" w:color="auto"/>
      </w:divBdr>
    </w:div>
    <w:div w:id="1856075488">
      <w:bodyDiv w:val="1"/>
      <w:marLeft w:val="0"/>
      <w:marRight w:val="0"/>
      <w:marTop w:val="0"/>
      <w:marBottom w:val="0"/>
      <w:divBdr>
        <w:top w:val="none" w:sz="0" w:space="0" w:color="auto"/>
        <w:left w:val="none" w:sz="0" w:space="0" w:color="auto"/>
        <w:bottom w:val="none" w:sz="0" w:space="0" w:color="auto"/>
        <w:right w:val="none" w:sz="0" w:space="0" w:color="auto"/>
      </w:divBdr>
    </w:div>
    <w:div w:id="1873416439">
      <w:bodyDiv w:val="1"/>
      <w:marLeft w:val="0"/>
      <w:marRight w:val="0"/>
      <w:marTop w:val="0"/>
      <w:marBottom w:val="0"/>
      <w:divBdr>
        <w:top w:val="none" w:sz="0" w:space="0" w:color="auto"/>
        <w:left w:val="none" w:sz="0" w:space="0" w:color="auto"/>
        <w:bottom w:val="none" w:sz="0" w:space="0" w:color="auto"/>
        <w:right w:val="none" w:sz="0" w:space="0" w:color="auto"/>
      </w:divBdr>
    </w:div>
    <w:div w:id="1883705799">
      <w:bodyDiv w:val="1"/>
      <w:marLeft w:val="0"/>
      <w:marRight w:val="0"/>
      <w:marTop w:val="0"/>
      <w:marBottom w:val="0"/>
      <w:divBdr>
        <w:top w:val="none" w:sz="0" w:space="0" w:color="auto"/>
        <w:left w:val="none" w:sz="0" w:space="0" w:color="auto"/>
        <w:bottom w:val="none" w:sz="0" w:space="0" w:color="auto"/>
        <w:right w:val="none" w:sz="0" w:space="0" w:color="auto"/>
      </w:divBdr>
    </w:div>
    <w:div w:id="1906523039">
      <w:bodyDiv w:val="1"/>
      <w:marLeft w:val="0"/>
      <w:marRight w:val="0"/>
      <w:marTop w:val="0"/>
      <w:marBottom w:val="0"/>
      <w:divBdr>
        <w:top w:val="none" w:sz="0" w:space="0" w:color="auto"/>
        <w:left w:val="none" w:sz="0" w:space="0" w:color="auto"/>
        <w:bottom w:val="none" w:sz="0" w:space="0" w:color="auto"/>
        <w:right w:val="none" w:sz="0" w:space="0" w:color="auto"/>
      </w:divBdr>
    </w:div>
    <w:div w:id="1911885746">
      <w:bodyDiv w:val="1"/>
      <w:marLeft w:val="0"/>
      <w:marRight w:val="0"/>
      <w:marTop w:val="0"/>
      <w:marBottom w:val="0"/>
      <w:divBdr>
        <w:top w:val="none" w:sz="0" w:space="0" w:color="auto"/>
        <w:left w:val="none" w:sz="0" w:space="0" w:color="auto"/>
        <w:bottom w:val="none" w:sz="0" w:space="0" w:color="auto"/>
        <w:right w:val="none" w:sz="0" w:space="0" w:color="auto"/>
      </w:divBdr>
    </w:div>
    <w:div w:id="1922596023">
      <w:bodyDiv w:val="1"/>
      <w:marLeft w:val="0"/>
      <w:marRight w:val="0"/>
      <w:marTop w:val="0"/>
      <w:marBottom w:val="0"/>
      <w:divBdr>
        <w:top w:val="none" w:sz="0" w:space="0" w:color="auto"/>
        <w:left w:val="none" w:sz="0" w:space="0" w:color="auto"/>
        <w:bottom w:val="none" w:sz="0" w:space="0" w:color="auto"/>
        <w:right w:val="none" w:sz="0" w:space="0" w:color="auto"/>
      </w:divBdr>
    </w:div>
    <w:div w:id="1951428717">
      <w:bodyDiv w:val="1"/>
      <w:marLeft w:val="0"/>
      <w:marRight w:val="0"/>
      <w:marTop w:val="0"/>
      <w:marBottom w:val="0"/>
      <w:divBdr>
        <w:top w:val="none" w:sz="0" w:space="0" w:color="auto"/>
        <w:left w:val="none" w:sz="0" w:space="0" w:color="auto"/>
        <w:bottom w:val="none" w:sz="0" w:space="0" w:color="auto"/>
        <w:right w:val="none" w:sz="0" w:space="0" w:color="auto"/>
      </w:divBdr>
    </w:div>
    <w:div w:id="1982998732">
      <w:bodyDiv w:val="1"/>
      <w:marLeft w:val="0"/>
      <w:marRight w:val="0"/>
      <w:marTop w:val="0"/>
      <w:marBottom w:val="0"/>
      <w:divBdr>
        <w:top w:val="none" w:sz="0" w:space="0" w:color="auto"/>
        <w:left w:val="none" w:sz="0" w:space="0" w:color="auto"/>
        <w:bottom w:val="none" w:sz="0" w:space="0" w:color="auto"/>
        <w:right w:val="none" w:sz="0" w:space="0" w:color="auto"/>
      </w:divBdr>
    </w:div>
    <w:div w:id="1985621137">
      <w:bodyDiv w:val="1"/>
      <w:marLeft w:val="0"/>
      <w:marRight w:val="0"/>
      <w:marTop w:val="0"/>
      <w:marBottom w:val="0"/>
      <w:divBdr>
        <w:top w:val="none" w:sz="0" w:space="0" w:color="auto"/>
        <w:left w:val="none" w:sz="0" w:space="0" w:color="auto"/>
        <w:bottom w:val="none" w:sz="0" w:space="0" w:color="auto"/>
        <w:right w:val="none" w:sz="0" w:space="0" w:color="auto"/>
      </w:divBdr>
    </w:div>
    <w:div w:id="2023043835">
      <w:bodyDiv w:val="1"/>
      <w:marLeft w:val="0"/>
      <w:marRight w:val="0"/>
      <w:marTop w:val="0"/>
      <w:marBottom w:val="0"/>
      <w:divBdr>
        <w:top w:val="none" w:sz="0" w:space="0" w:color="auto"/>
        <w:left w:val="none" w:sz="0" w:space="0" w:color="auto"/>
        <w:bottom w:val="none" w:sz="0" w:space="0" w:color="auto"/>
        <w:right w:val="none" w:sz="0" w:space="0" w:color="auto"/>
      </w:divBdr>
    </w:div>
    <w:div w:id="2037192795">
      <w:bodyDiv w:val="1"/>
      <w:marLeft w:val="0"/>
      <w:marRight w:val="0"/>
      <w:marTop w:val="0"/>
      <w:marBottom w:val="0"/>
      <w:divBdr>
        <w:top w:val="none" w:sz="0" w:space="0" w:color="auto"/>
        <w:left w:val="none" w:sz="0" w:space="0" w:color="auto"/>
        <w:bottom w:val="none" w:sz="0" w:space="0" w:color="auto"/>
        <w:right w:val="none" w:sz="0" w:space="0" w:color="auto"/>
      </w:divBdr>
    </w:div>
    <w:div w:id="2041857849">
      <w:bodyDiv w:val="1"/>
      <w:marLeft w:val="0"/>
      <w:marRight w:val="0"/>
      <w:marTop w:val="0"/>
      <w:marBottom w:val="0"/>
      <w:divBdr>
        <w:top w:val="none" w:sz="0" w:space="0" w:color="auto"/>
        <w:left w:val="none" w:sz="0" w:space="0" w:color="auto"/>
        <w:bottom w:val="none" w:sz="0" w:space="0" w:color="auto"/>
        <w:right w:val="none" w:sz="0" w:space="0" w:color="auto"/>
      </w:divBdr>
    </w:div>
    <w:div w:id="2055957287">
      <w:bodyDiv w:val="1"/>
      <w:marLeft w:val="0"/>
      <w:marRight w:val="0"/>
      <w:marTop w:val="0"/>
      <w:marBottom w:val="0"/>
      <w:divBdr>
        <w:top w:val="none" w:sz="0" w:space="0" w:color="auto"/>
        <w:left w:val="none" w:sz="0" w:space="0" w:color="auto"/>
        <w:bottom w:val="none" w:sz="0" w:space="0" w:color="auto"/>
        <w:right w:val="none" w:sz="0" w:space="0" w:color="auto"/>
      </w:divBdr>
    </w:div>
    <w:div w:id="2064596712">
      <w:bodyDiv w:val="1"/>
      <w:marLeft w:val="0"/>
      <w:marRight w:val="0"/>
      <w:marTop w:val="0"/>
      <w:marBottom w:val="0"/>
      <w:divBdr>
        <w:top w:val="none" w:sz="0" w:space="0" w:color="auto"/>
        <w:left w:val="none" w:sz="0" w:space="0" w:color="auto"/>
        <w:bottom w:val="none" w:sz="0" w:space="0" w:color="auto"/>
        <w:right w:val="none" w:sz="0" w:space="0" w:color="auto"/>
      </w:divBdr>
    </w:div>
    <w:div w:id="2064670200">
      <w:bodyDiv w:val="1"/>
      <w:marLeft w:val="0"/>
      <w:marRight w:val="0"/>
      <w:marTop w:val="0"/>
      <w:marBottom w:val="0"/>
      <w:divBdr>
        <w:top w:val="none" w:sz="0" w:space="0" w:color="auto"/>
        <w:left w:val="none" w:sz="0" w:space="0" w:color="auto"/>
        <w:bottom w:val="none" w:sz="0" w:space="0" w:color="auto"/>
        <w:right w:val="none" w:sz="0" w:space="0" w:color="auto"/>
      </w:divBdr>
    </w:div>
    <w:div w:id="2070374115">
      <w:bodyDiv w:val="1"/>
      <w:marLeft w:val="0"/>
      <w:marRight w:val="0"/>
      <w:marTop w:val="0"/>
      <w:marBottom w:val="0"/>
      <w:divBdr>
        <w:top w:val="none" w:sz="0" w:space="0" w:color="auto"/>
        <w:left w:val="none" w:sz="0" w:space="0" w:color="auto"/>
        <w:bottom w:val="none" w:sz="0" w:space="0" w:color="auto"/>
        <w:right w:val="none" w:sz="0" w:space="0" w:color="auto"/>
      </w:divBdr>
    </w:div>
    <w:div w:id="2075200712">
      <w:bodyDiv w:val="1"/>
      <w:marLeft w:val="0"/>
      <w:marRight w:val="0"/>
      <w:marTop w:val="0"/>
      <w:marBottom w:val="0"/>
      <w:divBdr>
        <w:top w:val="none" w:sz="0" w:space="0" w:color="auto"/>
        <w:left w:val="none" w:sz="0" w:space="0" w:color="auto"/>
        <w:bottom w:val="none" w:sz="0" w:space="0" w:color="auto"/>
        <w:right w:val="none" w:sz="0" w:space="0" w:color="auto"/>
      </w:divBdr>
    </w:div>
    <w:div w:id="2075272626">
      <w:bodyDiv w:val="1"/>
      <w:marLeft w:val="0"/>
      <w:marRight w:val="0"/>
      <w:marTop w:val="0"/>
      <w:marBottom w:val="0"/>
      <w:divBdr>
        <w:top w:val="none" w:sz="0" w:space="0" w:color="auto"/>
        <w:left w:val="none" w:sz="0" w:space="0" w:color="auto"/>
        <w:bottom w:val="none" w:sz="0" w:space="0" w:color="auto"/>
        <w:right w:val="none" w:sz="0" w:space="0" w:color="auto"/>
      </w:divBdr>
    </w:div>
    <w:div w:id="2076783417">
      <w:bodyDiv w:val="1"/>
      <w:marLeft w:val="0"/>
      <w:marRight w:val="0"/>
      <w:marTop w:val="0"/>
      <w:marBottom w:val="0"/>
      <w:divBdr>
        <w:top w:val="none" w:sz="0" w:space="0" w:color="auto"/>
        <w:left w:val="none" w:sz="0" w:space="0" w:color="auto"/>
        <w:bottom w:val="none" w:sz="0" w:space="0" w:color="auto"/>
        <w:right w:val="none" w:sz="0" w:space="0" w:color="auto"/>
      </w:divBdr>
    </w:div>
    <w:div w:id="2077969734">
      <w:bodyDiv w:val="1"/>
      <w:marLeft w:val="0"/>
      <w:marRight w:val="0"/>
      <w:marTop w:val="0"/>
      <w:marBottom w:val="0"/>
      <w:divBdr>
        <w:top w:val="none" w:sz="0" w:space="0" w:color="auto"/>
        <w:left w:val="none" w:sz="0" w:space="0" w:color="auto"/>
        <w:bottom w:val="none" w:sz="0" w:space="0" w:color="auto"/>
        <w:right w:val="none" w:sz="0" w:space="0" w:color="auto"/>
      </w:divBdr>
    </w:div>
    <w:div w:id="2080712675">
      <w:bodyDiv w:val="1"/>
      <w:marLeft w:val="0"/>
      <w:marRight w:val="0"/>
      <w:marTop w:val="0"/>
      <w:marBottom w:val="0"/>
      <w:divBdr>
        <w:top w:val="none" w:sz="0" w:space="0" w:color="auto"/>
        <w:left w:val="none" w:sz="0" w:space="0" w:color="auto"/>
        <w:bottom w:val="none" w:sz="0" w:space="0" w:color="auto"/>
        <w:right w:val="none" w:sz="0" w:space="0" w:color="auto"/>
      </w:divBdr>
    </w:div>
    <w:div w:id="2096978747">
      <w:bodyDiv w:val="1"/>
      <w:marLeft w:val="0"/>
      <w:marRight w:val="0"/>
      <w:marTop w:val="0"/>
      <w:marBottom w:val="0"/>
      <w:divBdr>
        <w:top w:val="none" w:sz="0" w:space="0" w:color="auto"/>
        <w:left w:val="none" w:sz="0" w:space="0" w:color="auto"/>
        <w:bottom w:val="none" w:sz="0" w:space="0" w:color="auto"/>
        <w:right w:val="none" w:sz="0" w:space="0" w:color="auto"/>
      </w:divBdr>
    </w:div>
    <w:div w:id="2100325008">
      <w:bodyDiv w:val="1"/>
      <w:marLeft w:val="0"/>
      <w:marRight w:val="0"/>
      <w:marTop w:val="0"/>
      <w:marBottom w:val="0"/>
      <w:divBdr>
        <w:top w:val="none" w:sz="0" w:space="0" w:color="auto"/>
        <w:left w:val="none" w:sz="0" w:space="0" w:color="auto"/>
        <w:bottom w:val="none" w:sz="0" w:space="0" w:color="auto"/>
        <w:right w:val="none" w:sz="0" w:space="0" w:color="auto"/>
      </w:divBdr>
    </w:div>
    <w:div w:id="2107581184">
      <w:bodyDiv w:val="1"/>
      <w:marLeft w:val="0"/>
      <w:marRight w:val="0"/>
      <w:marTop w:val="0"/>
      <w:marBottom w:val="0"/>
      <w:divBdr>
        <w:top w:val="none" w:sz="0" w:space="0" w:color="auto"/>
        <w:left w:val="none" w:sz="0" w:space="0" w:color="auto"/>
        <w:bottom w:val="none" w:sz="0" w:space="0" w:color="auto"/>
        <w:right w:val="none" w:sz="0" w:space="0" w:color="auto"/>
      </w:divBdr>
    </w:div>
    <w:div w:id="2134057181">
      <w:bodyDiv w:val="1"/>
      <w:marLeft w:val="0"/>
      <w:marRight w:val="0"/>
      <w:marTop w:val="0"/>
      <w:marBottom w:val="0"/>
      <w:divBdr>
        <w:top w:val="none" w:sz="0" w:space="0" w:color="auto"/>
        <w:left w:val="none" w:sz="0" w:space="0" w:color="auto"/>
        <w:bottom w:val="none" w:sz="0" w:space="0" w:color="auto"/>
        <w:right w:val="none" w:sz="0" w:space="0" w:color="auto"/>
      </w:divBdr>
    </w:div>
    <w:div w:id="2135950646">
      <w:bodyDiv w:val="1"/>
      <w:marLeft w:val="0"/>
      <w:marRight w:val="0"/>
      <w:marTop w:val="0"/>
      <w:marBottom w:val="0"/>
      <w:divBdr>
        <w:top w:val="none" w:sz="0" w:space="0" w:color="auto"/>
        <w:left w:val="none" w:sz="0" w:space="0" w:color="auto"/>
        <w:bottom w:val="none" w:sz="0" w:space="0" w:color="auto"/>
        <w:right w:val="none" w:sz="0" w:space="0" w:color="auto"/>
      </w:divBdr>
    </w:div>
    <w:div w:id="2141797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s.org/quality-programs/acs-nsqip"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B447B-7D4A-4141-9D7D-C0DF5334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6107</Words>
  <Characters>34815</Characters>
  <Application>Microsoft Office Word</Application>
  <DocSecurity>0</DocSecurity>
  <Lines>290</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AMC</Company>
  <LinksUpToDate>false</LinksUpToDate>
  <CharactersWithSpaces>40841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Sjors Klompmaker</dc:creator>
  <cp:lastModifiedBy>0011267</cp:lastModifiedBy>
  <cp:revision>3</cp:revision>
  <cp:lastPrinted>2017-11-30T11:13:00Z</cp:lastPrinted>
  <dcterms:created xsi:type="dcterms:W3CDTF">2018-04-13T06:49:00Z</dcterms:created>
  <dcterms:modified xsi:type="dcterms:W3CDTF">2018-12-05T13:18:00Z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http://csl.mendeley.com/styles/437105881/american-medical-association-SK-2</vt:lpwstr>
  </property>
  <property fmtid="{D5CDD505-2E9C-101B-9397-08002B2CF9AE}" pid="9" name="Mendeley Recent Style Name 2_1">
    <vt:lpwstr>AnnalsOfSurgery - Sjors Klompmaker 2016</vt:lpwstr>
  </property>
  <property fmtid="{D5CDD505-2E9C-101B-9397-08002B2CF9AE}" pid="10" name="Mendeley Recent Style Id 3_1">
    <vt:lpwstr>http://csl.mendeley.com/styles/437105881/BJS-SK</vt:lpwstr>
  </property>
  <property fmtid="{D5CDD505-2E9C-101B-9397-08002B2CF9AE}" pid="11" name="Mendeley Recent Style Name 3_1">
    <vt:lpwstr>BJS SK - 2016</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http://www.zotero.org/styles/journal-of-clinical-epidemiology</vt:lpwstr>
  </property>
  <property fmtid="{D5CDD505-2E9C-101B-9397-08002B2CF9AE}" pid="15" name="Mendeley Recent Style Name 5_1">
    <vt:lpwstr>Journal of Clinical Epidemiology</vt:lpwstr>
  </property>
  <property fmtid="{D5CDD505-2E9C-101B-9397-08002B2CF9AE}" pid="16" name="Mendeley Recent Style Id 6_1">
    <vt:lpwstr>http://www.zotero.org/styles/journal-of-the-american-college-of-surgeons</vt:lpwstr>
  </property>
  <property fmtid="{D5CDD505-2E9C-101B-9397-08002B2CF9AE}" pid="17" name="Mendeley Recent Style Name 6_1">
    <vt:lpwstr>Journal of the American College of Surgeons</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http://csl.mendeley.com/styles/437105881/the-new-england-journal-of-medicine-2017</vt:lpwstr>
  </property>
  <property fmtid="{D5CDD505-2E9C-101B-9397-08002B2CF9AE}" pid="21" name="Mendeley Recent Style Name 8_1">
    <vt:lpwstr>The New England Journal of Medicine - SK2017 - Sjors Klompmaker</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66066b43-7e5f-3e7a-99dd-8b66202f3e68</vt:lpwstr>
  </property>
</Properties>
</file>