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02E" w:rsidRDefault="00EC602E" w:rsidP="00EC602E">
      <w:pPr>
        <w:spacing w:after="0" w:line="240" w:lineRule="auto"/>
        <w:rPr>
          <w:rFonts w:eastAsia="Times New Roman" w:cs="Calibri"/>
          <w:lang w:val="en-US" w:eastAsia="nl-NL"/>
        </w:rPr>
      </w:pPr>
      <w:r>
        <w:rPr>
          <w:rFonts w:eastAsia="Times New Roman" w:cs="Calibri"/>
          <w:lang w:val="en-US" w:eastAsia="nl-NL"/>
        </w:rPr>
        <w:t>SUPPLEMENT S8. THE ASSOCIATION BETWEEN DURATION OF PREOPERATIVE THERAPY AND SURVIVAL.</w:t>
      </w:r>
    </w:p>
    <w:p w:rsidR="00EC602E" w:rsidRDefault="00EC602E" w:rsidP="00EC602E">
      <w:pPr>
        <w:spacing w:after="0" w:line="240" w:lineRule="auto"/>
        <w:rPr>
          <w:rFonts w:eastAsia="Times New Roman" w:cs="Calibri"/>
          <w:lang w:val="en-US" w:eastAsia="nl-NL"/>
        </w:rPr>
      </w:pPr>
    </w:p>
    <w:p w:rsidR="00EC602E" w:rsidRPr="00EC602E" w:rsidRDefault="00EC602E" w:rsidP="00EC602E">
      <w:pPr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tbl>
      <w:tblPr>
        <w:tblW w:w="101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6"/>
        <w:gridCol w:w="938"/>
        <w:gridCol w:w="980"/>
        <w:gridCol w:w="567"/>
        <w:gridCol w:w="804"/>
        <w:gridCol w:w="3130"/>
      </w:tblGrid>
      <w:tr w:rsidR="00EC602E" w:rsidRPr="007C5818" w:rsidTr="00A85A29">
        <w:trPr>
          <w:trHeight w:val="82"/>
        </w:trPr>
        <w:tc>
          <w:tcPr>
            <w:tcW w:w="3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 </w:t>
            </w:r>
          </w:p>
        </w:tc>
        <w:tc>
          <w:tcPr>
            <w:tcW w:w="641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lang w:val="en-US" w:eastAsia="nl-NL"/>
              </w:rPr>
              <w:t>All patients starting at time of diagnosis (n=423)</w:t>
            </w: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bCs/>
                <w:lang w:val="en-US" w:eastAsia="nl-NL"/>
              </w:rPr>
              <w:t>Covariate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bCs/>
                <w:lang w:val="en-US" w:eastAsia="nl-NL"/>
              </w:rPr>
              <w:t>HR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bCs/>
                <w:lang w:val="en-US" w:eastAsia="nl-NL"/>
              </w:rPr>
              <w:t>P-Value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bCs/>
                <w:lang w:val="en-US" w:eastAsia="nl-NL"/>
              </w:rPr>
              <w:t>LCI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  <w:r w:rsidRPr="00566C4A">
              <w:rPr>
                <w:rFonts w:eastAsia="Times New Roman" w:cs="Calibri"/>
                <w:b/>
                <w:bCs/>
                <w:lang w:val="en-US" w:eastAsia="nl-NL"/>
              </w:rPr>
              <w:t>UCI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b/>
                <w:bCs/>
                <w:lang w:val="en-US" w:eastAsia="nl-NL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Age per year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0.487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0.98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 w:rsidRPr="00566C4A">
              <w:t>1.01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BMI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0.076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1.00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1.07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Tumor differentiation per grade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0.009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1.11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1.88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 w:rsidRPr="00566C4A">
              <w:rPr>
                <w:rFonts w:eastAsia="Times New Roman" w:cs="Calibri"/>
                <w:lang w:val="en-US" w:eastAsia="nl-NL"/>
              </w:rPr>
              <w:t>Malignant lymph-node-ratio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0.024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1.02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1.28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Duration of preoperative therapy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0.233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0.60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1.13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  <w:tr w:rsidR="00EC602E" w:rsidRPr="00566C4A" w:rsidTr="00A85A29">
        <w:trPr>
          <w:trHeight w:val="82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rPr>
                <w:rFonts w:eastAsia="Times New Roman" w:cs="Calibri"/>
                <w:lang w:val="en-US" w:eastAsia="nl-NL"/>
              </w:rPr>
              <w:t>Resection margin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0.001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1.22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602E" w:rsidRPr="00566C4A" w:rsidRDefault="00EC602E" w:rsidP="00A85A29">
            <w:pPr>
              <w:spacing w:after="0" w:line="240" w:lineRule="auto"/>
              <w:rPr>
                <w:rFonts w:eastAsia="Times New Roman" w:cs="Calibri"/>
                <w:lang w:val="en-US" w:eastAsia="nl-NL"/>
              </w:rPr>
            </w:pPr>
            <w:r>
              <w:t>2.21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EC602E" w:rsidRPr="00566C4A" w:rsidRDefault="00EC602E" w:rsidP="00A85A29">
            <w:pPr>
              <w:spacing w:after="0" w:line="240" w:lineRule="auto"/>
              <w:rPr>
                <w:rFonts w:cs="Calibri"/>
                <w:lang w:val="en-US"/>
              </w:rPr>
            </w:pPr>
          </w:p>
        </w:tc>
      </w:tr>
    </w:tbl>
    <w:p w:rsidR="00EC602E" w:rsidRDefault="00EC602E" w:rsidP="00EC602E">
      <w:pPr>
        <w:spacing w:after="0" w:line="240" w:lineRule="auto"/>
        <w:rPr>
          <w:lang w:val="en-US"/>
        </w:rPr>
      </w:pPr>
    </w:p>
    <w:p w:rsidR="00E76B7C" w:rsidRPr="00EC602E" w:rsidRDefault="007C5818" w:rsidP="007C5818">
      <w:pPr>
        <w:spacing w:after="0" w:line="240" w:lineRule="auto"/>
        <w:rPr>
          <w:lang w:val="en-US"/>
        </w:rPr>
      </w:pPr>
      <w:r>
        <w:rPr>
          <w:lang w:val="en-US"/>
        </w:rPr>
        <w:t xml:space="preserve">CAPTION: Cox model testing the association between duration of preoperative therapy (&lt;5 months or </w:t>
      </w:r>
      <w:r>
        <w:rPr>
          <w:rFonts w:cs="Calibri"/>
          <w:lang w:val="en-US"/>
        </w:rPr>
        <w:t>≥</w:t>
      </w:r>
      <w:r>
        <w:rPr>
          <w:lang w:val="en-US"/>
        </w:rPr>
        <w:t xml:space="preserve">5 months preoperative therapy), </w:t>
      </w:r>
      <w:r w:rsidRPr="00566C4A">
        <w:rPr>
          <w:rFonts w:eastAsia="Times New Roman" w:cs="Calibri"/>
          <w:lang w:val="en-US" w:eastAsia="nl-NL"/>
        </w:rPr>
        <w:t>adjusted for clinically significant tumor factors</w:t>
      </w:r>
      <w:r>
        <w:rPr>
          <w:lang w:val="en-US"/>
        </w:rPr>
        <w:t xml:space="preserve">. Abbreviations: BMI, body mass index; </w:t>
      </w:r>
      <w:r w:rsidRPr="00566C4A">
        <w:rPr>
          <w:lang w:val="en-US"/>
        </w:rPr>
        <w:t>HR, hazard ratio; LCI, lower 95</w:t>
      </w:r>
      <w:r>
        <w:rPr>
          <w:lang w:val="en-US"/>
        </w:rPr>
        <w:t>%</w:t>
      </w:r>
      <w:r w:rsidRPr="00566C4A">
        <w:rPr>
          <w:lang w:val="en-US"/>
        </w:rPr>
        <w:t xml:space="preserve"> confidence interval; UCI, upper 95</w:t>
      </w:r>
      <w:r>
        <w:rPr>
          <w:lang w:val="en-US"/>
        </w:rPr>
        <w:t>%</w:t>
      </w:r>
      <w:r w:rsidRPr="00566C4A">
        <w:rPr>
          <w:lang w:val="en-US"/>
        </w:rPr>
        <w:t xml:space="preserve"> confidence interval.</w:t>
      </w:r>
      <w:bookmarkStart w:id="0" w:name="_GoBack"/>
      <w:bookmarkEnd w:id="0"/>
    </w:p>
    <w:sectPr w:rsidR="00E76B7C" w:rsidRPr="00EC602E" w:rsidSect="0036410E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C5818">
      <w:pPr>
        <w:spacing w:after="0" w:line="240" w:lineRule="auto"/>
      </w:pPr>
      <w:r>
        <w:separator/>
      </w:r>
    </w:p>
  </w:endnote>
  <w:endnote w:type="continuationSeparator" w:id="0">
    <w:p w:rsidR="00000000" w:rsidRDefault="007C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32167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2C2D" w:rsidRDefault="00EC602E" w:rsidP="0019422F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8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C5818">
      <w:pPr>
        <w:spacing w:after="0" w:line="240" w:lineRule="auto"/>
      </w:pPr>
      <w:r>
        <w:separator/>
      </w:r>
    </w:p>
  </w:footnote>
  <w:footnote w:type="continuationSeparator" w:id="0">
    <w:p w:rsidR="00000000" w:rsidRDefault="007C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233351"/>
      <w:docPartObj>
        <w:docPartGallery w:val="Page Numbers (Top of Page)"/>
        <w:docPartUnique/>
      </w:docPartObj>
    </w:sdtPr>
    <w:sdtEndPr/>
    <w:sdtContent>
      <w:p w:rsidR="00262C2D" w:rsidRDefault="00EC602E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62C2D" w:rsidRDefault="007C581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02E"/>
    <w:rsid w:val="007C5818"/>
    <w:rsid w:val="00E76B7C"/>
    <w:rsid w:val="00EC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324F"/>
  <w15:chartTrackingRefBased/>
  <w15:docId w15:val="{B1445618-E9A7-496E-811E-DFC1C4FA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C602E"/>
    <w:pPr>
      <w:tabs>
        <w:tab w:val="center" w:pos="4536"/>
        <w:tab w:val="right" w:pos="9072"/>
      </w:tabs>
      <w:spacing w:line="360" w:lineRule="auto"/>
      <w:jc w:val="both"/>
    </w:pPr>
    <w:rPr>
      <w:rFonts w:ascii="Calibri" w:eastAsia="Calibri" w:hAnsi="Calibri" w:cs="Times New Roman"/>
    </w:rPr>
  </w:style>
  <w:style w:type="character" w:customStyle="1" w:styleId="KoptekstChar">
    <w:name w:val="Koptekst Char"/>
    <w:basedOn w:val="Standaardalinea-lettertype"/>
    <w:link w:val="Koptekst"/>
    <w:uiPriority w:val="99"/>
    <w:rsid w:val="00EC602E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EC602E"/>
    <w:pPr>
      <w:tabs>
        <w:tab w:val="center" w:pos="4536"/>
        <w:tab w:val="right" w:pos="9072"/>
      </w:tabs>
      <w:spacing w:line="360" w:lineRule="auto"/>
      <w:jc w:val="both"/>
    </w:pPr>
    <w:rPr>
      <w:rFonts w:ascii="Calibri" w:eastAsia="Calibri" w:hAnsi="Calibri" w:cs="Times New Roman"/>
    </w:rPr>
  </w:style>
  <w:style w:type="character" w:customStyle="1" w:styleId="VoettekstChar">
    <w:name w:val="Voettekst Char"/>
    <w:basedOn w:val="Standaardalinea-lettertype"/>
    <w:link w:val="Voettekst"/>
    <w:uiPriority w:val="99"/>
    <w:rsid w:val="00EC602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633</Characters>
  <Application>Microsoft Office Word</Application>
  <DocSecurity>0</DocSecurity>
  <Lines>5</Lines>
  <Paragraphs>1</Paragraphs>
  <ScaleCrop>false</ScaleCrop>
  <Company>AMC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Veldhuisen, E. van (Eran)</cp:lastModifiedBy>
  <cp:revision>2</cp:revision>
  <dcterms:created xsi:type="dcterms:W3CDTF">2022-07-17T19:17:00Z</dcterms:created>
  <dcterms:modified xsi:type="dcterms:W3CDTF">2022-07-18T20:16:00Z</dcterms:modified>
</cp:coreProperties>
</file>