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CBE6" w14:textId="3E25A18B" w:rsidR="0015109D" w:rsidRDefault="00846B8D">
      <w:pPr>
        <w:rPr>
          <w:b/>
          <w:bCs/>
        </w:rPr>
      </w:pPr>
      <w:r>
        <w:rPr>
          <w:b/>
          <w:bCs/>
        </w:rPr>
        <w:t>Supplementary methods</w:t>
      </w:r>
    </w:p>
    <w:p w14:paraId="44B33646" w14:textId="2A360109" w:rsidR="00846B8D" w:rsidRDefault="00846B8D">
      <w:pPr>
        <w:rPr>
          <w:b/>
          <w:bCs/>
        </w:rPr>
      </w:pPr>
    </w:p>
    <w:p w14:paraId="24E853ED" w14:textId="7EB72373" w:rsidR="00D90E98" w:rsidRPr="00863133" w:rsidRDefault="00D90E98" w:rsidP="00D90E98">
      <w:pPr>
        <w:spacing w:line="480" w:lineRule="auto"/>
        <w:jc w:val="both"/>
        <w:rPr>
          <w:rFonts w:ascii="Times New Roman" w:hAnsi="Times New Roman" w:cs="Times New Roman"/>
          <w:i/>
          <w:iCs/>
        </w:rPr>
      </w:pPr>
      <w:r w:rsidRPr="00863133">
        <w:rPr>
          <w:rFonts w:ascii="Times New Roman" w:hAnsi="Times New Roman" w:cs="Times New Roman"/>
          <w:i/>
          <w:iCs/>
        </w:rPr>
        <w:t>Macro</w:t>
      </w:r>
      <w:r w:rsidR="00161363">
        <w:rPr>
          <w:rFonts w:ascii="Times New Roman" w:hAnsi="Times New Roman" w:cs="Times New Roman"/>
          <w:i/>
          <w:iCs/>
        </w:rPr>
        <w:t>-</w:t>
      </w:r>
      <w:r w:rsidRPr="00863133">
        <w:rPr>
          <w:rFonts w:ascii="Times New Roman" w:hAnsi="Times New Roman" w:cs="Times New Roman"/>
          <w:i/>
          <w:iCs/>
        </w:rPr>
        <w:t>dissection and RNA extraction</w:t>
      </w:r>
    </w:p>
    <w:p w14:paraId="7FE85F3F" w14:textId="530ED263" w:rsidR="00D90E98" w:rsidRDefault="00D90E98" w:rsidP="00D90E98">
      <w:pPr>
        <w:spacing w:line="480" w:lineRule="auto"/>
        <w:jc w:val="both"/>
        <w:rPr>
          <w:rFonts w:ascii="Times New Roman" w:hAnsi="Times New Roman" w:cs="Times New Roman"/>
        </w:rPr>
      </w:pPr>
      <w:r w:rsidRPr="00863133">
        <w:rPr>
          <w:rFonts w:ascii="Times New Roman" w:hAnsi="Times New Roman" w:cs="Times New Roman"/>
        </w:rPr>
        <w:t>Formalin-fixed and paraffin embedded (FFPE) pre-treatment biopsy and post NAT surgical resection specimens were obtained from patients within the cohort.  The sections used for RNA extraction were evaluated by a specialist gastro-intestinal pathologist (OP)</w:t>
      </w:r>
      <w:r>
        <w:rPr>
          <w:rFonts w:ascii="Times New Roman" w:hAnsi="Times New Roman" w:cs="Times New Roman"/>
        </w:rPr>
        <w:t xml:space="preserve">.  </w:t>
      </w:r>
      <w:r w:rsidRPr="00863133">
        <w:rPr>
          <w:rFonts w:ascii="Times New Roman" w:hAnsi="Times New Roman" w:cs="Times New Roman"/>
        </w:rPr>
        <w:t>Sections that had the highest content of tumor or ‘scar’ by total surface area of the entire section were selected for RNA extraction.  If the percentage of tumor or ‘scar’ was less than 50 percent of the entire surface area, these areas were marked by the pathologist on H&amp;E section and non-tumor areas on sequential unstained sections were macro-dissected.  Otherwise, FFPE sections 10 microns in thickness were cut from sections that did not require macro</w:t>
      </w:r>
      <w:r w:rsidR="00161363">
        <w:rPr>
          <w:rFonts w:ascii="Times New Roman" w:hAnsi="Times New Roman" w:cs="Times New Roman"/>
        </w:rPr>
        <w:t>-</w:t>
      </w:r>
      <w:r w:rsidRPr="00863133">
        <w:rPr>
          <w:rFonts w:ascii="Times New Roman" w:hAnsi="Times New Roman" w:cs="Times New Roman"/>
        </w:rPr>
        <w:t xml:space="preserve">dissection.  </w:t>
      </w:r>
    </w:p>
    <w:p w14:paraId="109ADDEA" w14:textId="77777777" w:rsidR="00D90E98" w:rsidRPr="00863133" w:rsidRDefault="00D90E98" w:rsidP="00D90E98">
      <w:pPr>
        <w:spacing w:line="480" w:lineRule="auto"/>
        <w:jc w:val="both"/>
        <w:rPr>
          <w:rFonts w:ascii="Times New Roman" w:hAnsi="Times New Roman" w:cs="Times New Roman"/>
        </w:rPr>
      </w:pPr>
    </w:p>
    <w:p w14:paraId="20400E63" w14:textId="6B1E44ED" w:rsidR="00D90E98" w:rsidRPr="00863133" w:rsidRDefault="00D90E98" w:rsidP="00D90E98">
      <w:pPr>
        <w:spacing w:line="480" w:lineRule="auto"/>
        <w:jc w:val="both"/>
        <w:rPr>
          <w:rFonts w:ascii="Times New Roman" w:hAnsi="Times New Roman" w:cs="Times New Roman"/>
        </w:rPr>
      </w:pPr>
      <w:r w:rsidRPr="00863133">
        <w:rPr>
          <w:rFonts w:ascii="Times New Roman" w:hAnsi="Times New Roman" w:cs="Times New Roman"/>
        </w:rPr>
        <w:t xml:space="preserve">Deparaffinisation was performed with 500 µl of heptane in a 1.5 ml </w:t>
      </w:r>
      <w:r w:rsidR="00161363">
        <w:rPr>
          <w:rFonts w:ascii="Times New Roman" w:hAnsi="Times New Roman" w:cs="Times New Roman"/>
        </w:rPr>
        <w:t xml:space="preserve">microfuge </w:t>
      </w:r>
      <w:r w:rsidRPr="00863133">
        <w:rPr>
          <w:rFonts w:ascii="Times New Roman" w:hAnsi="Times New Roman" w:cs="Times New Roman"/>
        </w:rPr>
        <w:t>tube.   FFPE sections were immediately placed in 1.5 ml microfuge tubes and processed on the day of sectioning or within 24 hours whilst remaining in 4</w:t>
      </w:r>
      <w:r w:rsidRPr="00863133">
        <w:rPr>
          <w:rFonts w:ascii="Times New Roman" w:hAnsi="Times New Roman" w:cs="Times New Roman"/>
          <w:vertAlign w:val="superscript"/>
        </w:rPr>
        <w:t>o</w:t>
      </w:r>
      <w:r w:rsidRPr="00863133">
        <w:rPr>
          <w:rFonts w:ascii="Times New Roman" w:hAnsi="Times New Roman" w:cs="Times New Roman"/>
        </w:rPr>
        <w:t xml:space="preserve">C storage.  For samples that required macro-dissection, 5-micron thick sections were cut onto slides.  As per the </w:t>
      </w:r>
      <w:proofErr w:type="spellStart"/>
      <w:r w:rsidRPr="00863133">
        <w:rPr>
          <w:rFonts w:ascii="Times New Roman" w:hAnsi="Times New Roman" w:cs="Times New Roman"/>
        </w:rPr>
        <w:t>Nanostring</w:t>
      </w:r>
      <w:proofErr w:type="spellEnd"/>
      <w:r w:rsidRPr="00863133">
        <w:rPr>
          <w:rFonts w:ascii="Times New Roman" w:hAnsi="Times New Roman" w:cs="Times New Roman"/>
        </w:rPr>
        <w:t xml:space="preserve"> Best Practice Guide for FFPE samples (LBL-10504-01 Sept 2017), the recommended minimum tissue surface for 5-micron thickness slides is 48 mm</w:t>
      </w:r>
      <w:r w:rsidRPr="00863133">
        <w:rPr>
          <w:rFonts w:ascii="Times New Roman" w:hAnsi="Times New Roman" w:cs="Times New Roman"/>
          <w:vertAlign w:val="superscript"/>
        </w:rPr>
        <w:t xml:space="preserve">2 </w:t>
      </w:r>
      <w:r w:rsidRPr="00863133">
        <w:rPr>
          <w:rFonts w:ascii="Times New Roman" w:hAnsi="Times New Roman" w:cs="Times New Roman"/>
        </w:rPr>
        <w:t xml:space="preserve">for RNA input.  Thus, for each sample needing to be macro-dissected, the minimum number of slides were cut according to the recommendations established by </w:t>
      </w:r>
      <w:proofErr w:type="spellStart"/>
      <w:r w:rsidRPr="00863133">
        <w:rPr>
          <w:rFonts w:ascii="Times New Roman" w:hAnsi="Times New Roman" w:cs="Times New Roman"/>
        </w:rPr>
        <w:t>Nanostring</w:t>
      </w:r>
      <w:r w:rsidRPr="00863133">
        <w:rPr>
          <w:rFonts w:ascii="Times New Roman" w:hAnsi="Times New Roman" w:cs="Times New Roman"/>
          <w:vertAlign w:val="superscript"/>
        </w:rPr>
        <w:t>TM</w:t>
      </w:r>
      <w:proofErr w:type="spellEnd"/>
      <w:r w:rsidRPr="00863133">
        <w:rPr>
          <w:rFonts w:ascii="Times New Roman" w:hAnsi="Times New Roman" w:cs="Times New Roman"/>
          <w:vertAlign w:val="superscript"/>
        </w:rPr>
        <w:t xml:space="preserve"> </w:t>
      </w:r>
      <w:r w:rsidRPr="00863133">
        <w:rPr>
          <w:rFonts w:ascii="Times New Roman" w:hAnsi="Times New Roman" w:cs="Times New Roman"/>
        </w:rPr>
        <w:t xml:space="preserve">.  For each macro-dissected section, the tip of a fresh scalpel blade was used to carefully scrape the area of interest into a microfuge tube filled with 500 µl of heptane.    </w:t>
      </w:r>
    </w:p>
    <w:p w14:paraId="54749E2A" w14:textId="77777777" w:rsidR="00D90E98" w:rsidRPr="003C1609" w:rsidRDefault="00D90E98" w:rsidP="00D90E98">
      <w:pPr>
        <w:spacing w:line="480" w:lineRule="auto"/>
        <w:jc w:val="both"/>
        <w:rPr>
          <w:rFonts w:ascii="Times New Roman" w:hAnsi="Times New Roman" w:cs="Times New Roman"/>
        </w:rPr>
      </w:pPr>
    </w:p>
    <w:p w14:paraId="18E4A5ED" w14:textId="169B5FAF" w:rsidR="00D90E98" w:rsidRPr="003F23C7" w:rsidRDefault="00D90E98" w:rsidP="00D90E98">
      <w:pPr>
        <w:spacing w:line="480" w:lineRule="auto"/>
        <w:jc w:val="both"/>
        <w:rPr>
          <w:rFonts w:ascii="Times New Roman" w:hAnsi="Times New Roman" w:cs="Times New Roman"/>
        </w:rPr>
      </w:pPr>
      <w:r w:rsidRPr="003F23C7">
        <w:rPr>
          <w:rFonts w:ascii="Times New Roman" w:hAnsi="Times New Roman" w:cs="Times New Roman"/>
        </w:rPr>
        <w:t xml:space="preserve">RNA extraction was performed using the RNeasy FFPE kit (Qiagen, Germany) following the manufacturer’s protocol with the following </w:t>
      </w:r>
      <w:r>
        <w:rPr>
          <w:rFonts w:ascii="Times New Roman" w:hAnsi="Times New Roman" w:cs="Times New Roman"/>
        </w:rPr>
        <w:t xml:space="preserve">key </w:t>
      </w:r>
      <w:r w:rsidRPr="003F23C7">
        <w:rPr>
          <w:rFonts w:ascii="Times New Roman" w:hAnsi="Times New Roman" w:cs="Times New Roman"/>
        </w:rPr>
        <w:t xml:space="preserve">changes: 240 µl of Buffer PKD was added to </w:t>
      </w:r>
      <w:r w:rsidRPr="003F23C7">
        <w:rPr>
          <w:rFonts w:ascii="Times New Roman" w:hAnsi="Times New Roman" w:cs="Times New Roman"/>
        </w:rPr>
        <w:lastRenderedPageBreak/>
        <w:t>the microfuge</w:t>
      </w:r>
      <w:r w:rsidR="00161363">
        <w:rPr>
          <w:rFonts w:ascii="Times New Roman" w:hAnsi="Times New Roman" w:cs="Times New Roman"/>
        </w:rPr>
        <w:t xml:space="preserve"> tube</w:t>
      </w:r>
      <w:r w:rsidRPr="003F23C7">
        <w:rPr>
          <w:rFonts w:ascii="Times New Roman" w:hAnsi="Times New Roman" w:cs="Times New Roman"/>
          <w:iCs/>
        </w:rPr>
        <w:t>;</w:t>
      </w:r>
      <w:r w:rsidRPr="003F23C7">
        <w:rPr>
          <w:rFonts w:ascii="Times New Roman" w:hAnsi="Times New Roman" w:cs="Times New Roman"/>
        </w:rPr>
        <w:t xml:space="preserve"> 60 µl of Proteinase K was added to the pellet; incubation time in proteinase K </w:t>
      </w:r>
      <w:r>
        <w:rPr>
          <w:rFonts w:ascii="Times New Roman" w:hAnsi="Times New Roman" w:cs="Times New Roman"/>
        </w:rPr>
        <w:t xml:space="preserve">for </w:t>
      </w:r>
      <w:r w:rsidRPr="003F23C7">
        <w:rPr>
          <w:rFonts w:ascii="Times New Roman" w:hAnsi="Times New Roman" w:cs="Times New Roman"/>
        </w:rPr>
        <w:t>6 hours at 56</w:t>
      </w:r>
      <w:r w:rsidRPr="003F23C7">
        <w:rPr>
          <w:rFonts w:ascii="Times New Roman" w:hAnsi="Times New Roman" w:cs="Times New Roman"/>
          <w:vertAlign w:val="superscript"/>
        </w:rPr>
        <w:t>o</w:t>
      </w:r>
      <w:r w:rsidRPr="003F23C7">
        <w:rPr>
          <w:rFonts w:ascii="Times New Roman" w:hAnsi="Times New Roman" w:cs="Times New Roman"/>
        </w:rPr>
        <w:t xml:space="preserve">C; </w:t>
      </w:r>
    </w:p>
    <w:p w14:paraId="16BE2175" w14:textId="77777777" w:rsidR="00D90E98" w:rsidRPr="00863133" w:rsidRDefault="00D90E98" w:rsidP="00D90E98">
      <w:pPr>
        <w:spacing w:line="480" w:lineRule="auto"/>
        <w:jc w:val="both"/>
        <w:rPr>
          <w:rFonts w:ascii="Times New Roman" w:hAnsi="Times New Roman" w:cs="Times New Roman"/>
          <w:i/>
          <w:iCs/>
        </w:rPr>
      </w:pPr>
    </w:p>
    <w:p w14:paraId="17164D5D" w14:textId="08238B94" w:rsidR="00D90E98" w:rsidRDefault="00D90E98" w:rsidP="00D90E98">
      <w:pPr>
        <w:spacing w:line="480" w:lineRule="auto"/>
        <w:jc w:val="both"/>
        <w:rPr>
          <w:rFonts w:ascii="Times New Roman" w:hAnsi="Times New Roman" w:cs="Times New Roman"/>
          <w:i/>
          <w:iCs/>
        </w:rPr>
      </w:pPr>
      <w:r w:rsidRPr="00863133">
        <w:rPr>
          <w:rFonts w:ascii="Times New Roman" w:hAnsi="Times New Roman" w:cs="Times New Roman"/>
          <w:i/>
          <w:iCs/>
        </w:rPr>
        <w:t xml:space="preserve">Assessment of RNA quality with </w:t>
      </w:r>
      <w:proofErr w:type="spellStart"/>
      <w:r w:rsidRPr="00863133">
        <w:rPr>
          <w:rFonts w:ascii="Times New Roman" w:hAnsi="Times New Roman" w:cs="Times New Roman"/>
          <w:i/>
          <w:iCs/>
        </w:rPr>
        <w:t>TapeStation</w:t>
      </w:r>
      <w:proofErr w:type="spellEnd"/>
      <w:r w:rsidRPr="00863133">
        <w:rPr>
          <w:rFonts w:ascii="Times New Roman" w:hAnsi="Times New Roman" w:cs="Times New Roman"/>
          <w:i/>
          <w:iCs/>
        </w:rPr>
        <w:t xml:space="preserve"> Analysis software and </w:t>
      </w:r>
      <w:proofErr w:type="spellStart"/>
      <w:r w:rsidRPr="00863133">
        <w:rPr>
          <w:rFonts w:ascii="Times New Roman" w:hAnsi="Times New Roman" w:cs="Times New Roman"/>
          <w:i/>
          <w:iCs/>
        </w:rPr>
        <w:t>NanoString</w:t>
      </w:r>
      <w:proofErr w:type="spellEnd"/>
      <w:r w:rsidRPr="00863133">
        <w:rPr>
          <w:rFonts w:ascii="Times New Roman" w:hAnsi="Times New Roman" w:cs="Times New Roman"/>
          <w:i/>
          <w:iCs/>
        </w:rPr>
        <w:t xml:space="preserve"> sample preparation</w:t>
      </w:r>
    </w:p>
    <w:p w14:paraId="56AE73DF" w14:textId="77777777" w:rsidR="00444058" w:rsidRPr="00863133" w:rsidRDefault="00444058" w:rsidP="00D90E98">
      <w:pPr>
        <w:spacing w:line="480" w:lineRule="auto"/>
        <w:jc w:val="both"/>
        <w:rPr>
          <w:rFonts w:ascii="Times New Roman" w:hAnsi="Times New Roman" w:cs="Times New Roman"/>
        </w:rPr>
      </w:pPr>
    </w:p>
    <w:p w14:paraId="59080921" w14:textId="77777777" w:rsidR="00677A53" w:rsidRDefault="00D90E98" w:rsidP="00D90E98">
      <w:pPr>
        <w:spacing w:line="480" w:lineRule="auto"/>
        <w:jc w:val="both"/>
        <w:rPr>
          <w:rFonts w:ascii="Times New Roman" w:hAnsi="Times New Roman" w:cs="Times New Roman"/>
        </w:rPr>
      </w:pPr>
      <w:r w:rsidRPr="00863133">
        <w:rPr>
          <w:rFonts w:ascii="Times New Roman" w:hAnsi="Times New Roman" w:cs="Times New Roman"/>
        </w:rPr>
        <w:t xml:space="preserve">RNA extracted from FFPE samples was analysed for concentration and size of RNA fragments using a </w:t>
      </w:r>
      <w:proofErr w:type="spellStart"/>
      <w:r w:rsidRPr="00863133">
        <w:rPr>
          <w:rFonts w:ascii="Times New Roman" w:hAnsi="Times New Roman" w:cs="Times New Roman"/>
        </w:rPr>
        <w:t>TapeStation</w:t>
      </w:r>
      <w:proofErr w:type="spellEnd"/>
      <w:r w:rsidRPr="00863133">
        <w:rPr>
          <w:rFonts w:ascii="Times New Roman" w:hAnsi="Times New Roman" w:cs="Times New Roman"/>
        </w:rPr>
        <w:t xml:space="preserve"> (Agilent Technologies, Santa Clara, USA) and examined for quality and quantity using </w:t>
      </w:r>
      <w:proofErr w:type="spellStart"/>
      <w:r w:rsidRPr="00863133">
        <w:rPr>
          <w:rFonts w:ascii="Times New Roman" w:hAnsi="Times New Roman" w:cs="Times New Roman"/>
        </w:rPr>
        <w:t>TapeStation</w:t>
      </w:r>
      <w:proofErr w:type="spellEnd"/>
      <w:r w:rsidRPr="00863133">
        <w:rPr>
          <w:rFonts w:ascii="Times New Roman" w:hAnsi="Times New Roman" w:cs="Times New Roman"/>
        </w:rPr>
        <w:t xml:space="preserve"> Analysis Software A.02.01 (Agilent Technologies, Santa Clara, USA).  We used the concentration of RNA fragments above 200 nucleotides (DV</w:t>
      </w:r>
      <w:r w:rsidRPr="00863133">
        <w:rPr>
          <w:rFonts w:ascii="Times New Roman" w:hAnsi="Times New Roman" w:cs="Times New Roman"/>
          <w:vertAlign w:val="subscript"/>
        </w:rPr>
        <w:t>200</w:t>
      </w:r>
      <w:r w:rsidRPr="00863133">
        <w:rPr>
          <w:rFonts w:ascii="Times New Roman" w:hAnsi="Times New Roman" w:cs="Times New Roman"/>
        </w:rPr>
        <w:t xml:space="preserve">) as the basis for calculating input for </w:t>
      </w:r>
      <w:proofErr w:type="spellStart"/>
      <w:r w:rsidRPr="00863133">
        <w:rPr>
          <w:rFonts w:ascii="Times New Roman" w:hAnsi="Times New Roman" w:cs="Times New Roman"/>
        </w:rPr>
        <w:t>NanoString</w:t>
      </w:r>
      <w:proofErr w:type="spellEnd"/>
      <w:r w:rsidRPr="00863133">
        <w:rPr>
          <w:rFonts w:ascii="Times New Roman" w:hAnsi="Times New Roman" w:cs="Times New Roman"/>
        </w:rPr>
        <w:t xml:space="preserve"> (</w:t>
      </w:r>
      <w:r>
        <w:rPr>
          <w:rFonts w:ascii="Times New Roman" w:hAnsi="Times New Roman" w:cs="Times New Roman"/>
        </w:rPr>
        <w:t xml:space="preserve">Supplementary </w:t>
      </w:r>
      <w:r w:rsidRPr="00863133">
        <w:rPr>
          <w:rFonts w:ascii="Times New Roman" w:hAnsi="Times New Roman" w:cs="Times New Roman"/>
        </w:rPr>
        <w:t>Figure S1)</w:t>
      </w:r>
      <w:r>
        <w:rPr>
          <w:rFonts w:ascii="Times New Roman" w:hAnsi="Times New Roman" w:cs="Times New Roman"/>
        </w:rPr>
        <w:t xml:space="preserve"> </w:t>
      </w:r>
      <w:r w:rsidRPr="00863133">
        <w:rPr>
          <w:rFonts w:ascii="Times New Roman" w:hAnsi="Times New Roman" w:cs="Times New Roman"/>
        </w:rPr>
        <w:t>using the DV</w:t>
      </w:r>
      <w:r w:rsidRPr="00863133">
        <w:rPr>
          <w:rFonts w:ascii="Times New Roman" w:hAnsi="Times New Roman" w:cs="Times New Roman"/>
          <w:vertAlign w:val="subscript"/>
        </w:rPr>
        <w:t>200</w:t>
      </w:r>
      <w:r w:rsidRPr="00863133">
        <w:rPr>
          <w:rFonts w:ascii="Times New Roman" w:hAnsi="Times New Roman" w:cs="Times New Roman"/>
        </w:rPr>
        <w:t xml:space="preserve"> concentration of 22.1 ng/µl.  Therefore, the appropriate input accounting to DV</w:t>
      </w:r>
      <w:r w:rsidRPr="00863133">
        <w:rPr>
          <w:rFonts w:ascii="Times New Roman" w:hAnsi="Times New Roman" w:cs="Times New Roman"/>
          <w:vertAlign w:val="subscript"/>
        </w:rPr>
        <w:t>200</w:t>
      </w:r>
      <w:r w:rsidRPr="00863133">
        <w:rPr>
          <w:rFonts w:ascii="Times New Roman" w:hAnsi="Times New Roman" w:cs="Times New Roman"/>
        </w:rPr>
        <w:t xml:space="preserve"> is estimated by the following equation: (100/percent of sample &gt; 200 </w:t>
      </w:r>
      <w:proofErr w:type="spellStart"/>
      <w:r w:rsidRPr="00863133">
        <w:rPr>
          <w:rFonts w:ascii="Times New Roman" w:hAnsi="Times New Roman" w:cs="Times New Roman"/>
        </w:rPr>
        <w:t>nt</w:t>
      </w:r>
      <w:proofErr w:type="spellEnd"/>
      <w:r w:rsidRPr="00863133">
        <w:rPr>
          <w:rFonts w:ascii="Times New Roman" w:hAnsi="Times New Roman" w:cs="Times New Roman"/>
        </w:rPr>
        <w:t xml:space="preserve">) x 100 ng.  </w:t>
      </w:r>
    </w:p>
    <w:p w14:paraId="25B0190A" w14:textId="77777777" w:rsidR="00677A53" w:rsidRDefault="00677A53" w:rsidP="00D90E98">
      <w:pPr>
        <w:spacing w:line="480" w:lineRule="auto"/>
        <w:jc w:val="both"/>
        <w:rPr>
          <w:rFonts w:ascii="Times New Roman" w:hAnsi="Times New Roman" w:cs="Times New Roman"/>
        </w:rPr>
      </w:pPr>
    </w:p>
    <w:p w14:paraId="4DA2A3AE" w14:textId="74A5B89D" w:rsidR="00D90E98" w:rsidRDefault="00D90E98" w:rsidP="00D90E98">
      <w:pPr>
        <w:spacing w:line="480" w:lineRule="auto"/>
        <w:jc w:val="both"/>
        <w:rPr>
          <w:rFonts w:ascii="Times New Roman" w:hAnsi="Times New Roman" w:cs="Times New Roman"/>
        </w:rPr>
      </w:pPr>
      <w:r w:rsidRPr="00863133">
        <w:rPr>
          <w:rFonts w:ascii="Times New Roman" w:hAnsi="Times New Roman" w:cs="Times New Roman"/>
        </w:rPr>
        <w:t>After prior optimisation work, target RNA input (accounting for DV</w:t>
      </w:r>
      <w:r w:rsidRPr="00863133">
        <w:rPr>
          <w:rFonts w:ascii="Times New Roman" w:hAnsi="Times New Roman" w:cs="Times New Roman"/>
          <w:vertAlign w:val="subscript"/>
        </w:rPr>
        <w:t>200</w:t>
      </w:r>
      <w:r w:rsidRPr="00863133">
        <w:rPr>
          <w:rFonts w:ascii="Times New Roman" w:hAnsi="Times New Roman" w:cs="Times New Roman"/>
        </w:rPr>
        <w:t xml:space="preserve">) was set at </w:t>
      </w:r>
      <w:r w:rsidRPr="00863133">
        <w:rPr>
          <w:rFonts w:ascii="Times New Roman" w:hAnsi="Times New Roman" w:cs="Times New Roman"/>
          <w:b/>
          <w:bCs/>
        </w:rPr>
        <w:t>200 ng</w:t>
      </w:r>
      <w:r w:rsidRPr="00863133">
        <w:rPr>
          <w:rFonts w:ascii="Times New Roman" w:hAnsi="Times New Roman" w:cs="Times New Roman"/>
        </w:rPr>
        <w:t xml:space="preserve"> with a total input volume of 5 µl.  If samples were too dilute, they were concentrated to approximately half their volume using a </w:t>
      </w:r>
      <w:proofErr w:type="spellStart"/>
      <w:r w:rsidRPr="00863133">
        <w:rPr>
          <w:rFonts w:ascii="Times New Roman" w:hAnsi="Times New Roman" w:cs="Times New Roman"/>
        </w:rPr>
        <w:t>SpeedVac</w:t>
      </w:r>
      <w:proofErr w:type="spellEnd"/>
      <w:r w:rsidRPr="00863133">
        <w:rPr>
          <w:rFonts w:ascii="Times New Roman" w:hAnsi="Times New Roman" w:cs="Times New Roman"/>
        </w:rPr>
        <w:t xml:space="preserve"> Vacuum Concentrator (Thermo Fisher Scientific, Waltham Mas</w:t>
      </w:r>
      <w:r w:rsidR="00161363">
        <w:rPr>
          <w:rFonts w:ascii="Times New Roman" w:hAnsi="Times New Roman" w:cs="Times New Roman"/>
        </w:rPr>
        <w:t>s</w:t>
      </w:r>
      <w:r w:rsidRPr="00863133">
        <w:rPr>
          <w:rFonts w:ascii="Times New Roman" w:hAnsi="Times New Roman" w:cs="Times New Roman"/>
        </w:rPr>
        <w:t xml:space="preserve">achusetts, USA).  Subsequent sample preparation workflow was in accordance to the standard </w:t>
      </w:r>
      <w:proofErr w:type="spellStart"/>
      <w:r w:rsidRPr="00863133">
        <w:rPr>
          <w:rFonts w:ascii="Times New Roman" w:hAnsi="Times New Roman" w:cs="Times New Roman"/>
        </w:rPr>
        <w:t>NanoString</w:t>
      </w:r>
      <w:proofErr w:type="spellEnd"/>
      <w:r w:rsidRPr="00863133">
        <w:rPr>
          <w:rFonts w:ascii="Times New Roman" w:hAnsi="Times New Roman" w:cs="Times New Roman"/>
        </w:rPr>
        <w:t xml:space="preserve"> three-day sample preparation workflow.  </w:t>
      </w:r>
    </w:p>
    <w:p w14:paraId="60E86486" w14:textId="74DA853C" w:rsidR="007A747A" w:rsidRDefault="007A747A" w:rsidP="00D90E98">
      <w:pPr>
        <w:spacing w:line="480" w:lineRule="auto"/>
        <w:jc w:val="both"/>
        <w:rPr>
          <w:rFonts w:ascii="Times New Roman" w:hAnsi="Times New Roman" w:cs="Times New Roman"/>
        </w:rPr>
      </w:pPr>
    </w:p>
    <w:p w14:paraId="7E3635BF" w14:textId="42D68035" w:rsidR="00780DC8" w:rsidRDefault="00780DC8" w:rsidP="00D90E98">
      <w:pPr>
        <w:spacing w:line="480" w:lineRule="auto"/>
        <w:jc w:val="both"/>
        <w:rPr>
          <w:rFonts w:ascii="Times New Roman" w:hAnsi="Times New Roman" w:cs="Times New Roman"/>
        </w:rPr>
      </w:pPr>
      <w:r>
        <w:rPr>
          <w:rFonts w:ascii="Times New Roman" w:hAnsi="Times New Roman" w:cs="Times New Roman"/>
          <w:i/>
          <w:iCs/>
        </w:rPr>
        <w:t>Statistical analysis</w:t>
      </w:r>
    </w:p>
    <w:p w14:paraId="3A0150CA" w14:textId="6B2F8494" w:rsidR="00780DC8" w:rsidRDefault="00780DC8" w:rsidP="00D90E98">
      <w:pPr>
        <w:spacing w:line="480" w:lineRule="auto"/>
        <w:jc w:val="both"/>
        <w:rPr>
          <w:rFonts w:ascii="Times New Roman" w:hAnsi="Times New Roman" w:cs="Times New Roman"/>
        </w:rPr>
      </w:pPr>
      <w:r w:rsidRPr="0024253A">
        <w:rPr>
          <w:rFonts w:ascii="Times New Roman" w:hAnsi="Times New Roman" w:cs="Times New Roman"/>
        </w:rPr>
        <w:t xml:space="preserve">To assess the prognostic effect of neutrophil infiltration with H&amp;E staining, the cohort was divided into two groups according to the median count.  Kaplan-Meier survival curves (log-rank test), hazard ratios and the corresponding 95% confidence intervals (CI) were calculated for the relationship between the magnitude of neutrophil infiltration and NLR with PFS.  </w:t>
      </w:r>
      <w:r w:rsidRPr="0024253A">
        <w:rPr>
          <w:rFonts w:ascii="Times New Roman" w:hAnsi="Times New Roman" w:cs="Times New Roman"/>
        </w:rPr>
        <w:lastRenderedPageBreak/>
        <w:t>Pearson correlation and linear regression were performed to assess the relationship between cell types.</w:t>
      </w:r>
      <w:r>
        <w:rPr>
          <w:rFonts w:ascii="Times New Roman" w:hAnsi="Times New Roman" w:cs="Times New Roman"/>
        </w:rPr>
        <w:t xml:space="preserve">  Using the PMCC cohort, a nomogram was created using a combination of the variables: histologic </w:t>
      </w:r>
      <w:r w:rsidRPr="0024253A">
        <w:rPr>
          <w:rFonts w:ascii="Times New Roman" w:hAnsi="Times New Roman" w:cs="Times New Roman"/>
        </w:rPr>
        <w:t>histological grade, TRG, and natural log transformed CD15</w:t>
      </w:r>
      <w:r w:rsidRPr="0024253A">
        <w:rPr>
          <w:rFonts w:ascii="Times New Roman" w:hAnsi="Times New Roman" w:cs="Times New Roman"/>
          <w:vertAlign w:val="superscript"/>
        </w:rPr>
        <w:t>+</w:t>
      </w:r>
      <w:r w:rsidRPr="0024253A">
        <w:rPr>
          <w:rFonts w:ascii="Times New Roman" w:hAnsi="Times New Roman" w:cs="Times New Roman"/>
        </w:rPr>
        <w:t xml:space="preserve"> cell count</w:t>
      </w:r>
      <w:r w:rsidR="00D70746">
        <w:rPr>
          <w:rFonts w:ascii="Times New Roman" w:hAnsi="Times New Roman" w:cs="Times New Roman"/>
        </w:rPr>
        <w:t>.</w:t>
      </w:r>
      <w:r>
        <w:rPr>
          <w:rFonts w:ascii="Times New Roman" w:hAnsi="Times New Roman" w:cs="Times New Roman"/>
        </w:rPr>
        <w:t xml:space="preserve"> </w:t>
      </w:r>
    </w:p>
    <w:p w14:paraId="5C04A2A4" w14:textId="77777777" w:rsidR="00556ABC" w:rsidRPr="00780DC8" w:rsidRDefault="00556ABC" w:rsidP="00D90E98">
      <w:pPr>
        <w:spacing w:line="480" w:lineRule="auto"/>
        <w:jc w:val="both"/>
        <w:rPr>
          <w:rFonts w:ascii="Times New Roman" w:hAnsi="Times New Roman" w:cs="Times New Roman"/>
        </w:rPr>
      </w:pPr>
    </w:p>
    <w:p w14:paraId="2AA4F45D" w14:textId="3B91797D" w:rsidR="00D70746" w:rsidRDefault="00D70746">
      <w:pPr>
        <w:rPr>
          <w:b/>
          <w:bCs/>
        </w:rPr>
      </w:pPr>
    </w:p>
    <w:p w14:paraId="6FEED4FF" w14:textId="19AB2246" w:rsidR="002A7107" w:rsidRPr="00737518" w:rsidRDefault="002A7107">
      <w:pPr>
        <w:rPr>
          <w:rFonts w:ascii="Times New Roman" w:hAnsi="Times New Roman" w:cs="Times New Roman"/>
          <w:i/>
          <w:iCs/>
        </w:rPr>
      </w:pPr>
      <w:r w:rsidRPr="00737518">
        <w:rPr>
          <w:rFonts w:ascii="Times New Roman" w:hAnsi="Times New Roman" w:cs="Times New Roman"/>
          <w:i/>
          <w:iCs/>
        </w:rPr>
        <w:t>Statistical analysis of gene expression data</w:t>
      </w:r>
    </w:p>
    <w:p w14:paraId="554E8E80" w14:textId="41BDB1BF" w:rsidR="002A7107" w:rsidRDefault="002A7107">
      <w:pPr>
        <w:rPr>
          <w:i/>
          <w:iCs/>
        </w:rPr>
      </w:pPr>
    </w:p>
    <w:p w14:paraId="58C23BDD" w14:textId="3F0387E0" w:rsidR="002A7107" w:rsidRPr="00863133" w:rsidRDefault="002A7107" w:rsidP="002A7107">
      <w:pPr>
        <w:spacing w:line="480" w:lineRule="auto"/>
        <w:jc w:val="both"/>
        <w:rPr>
          <w:rFonts w:ascii="Times New Roman" w:hAnsi="Times New Roman" w:cs="Times New Roman"/>
        </w:rPr>
      </w:pPr>
      <w:r w:rsidRPr="00863133">
        <w:rPr>
          <w:rFonts w:ascii="Times New Roman" w:hAnsi="Times New Roman" w:cs="Times New Roman"/>
        </w:rPr>
        <w:t xml:space="preserve">Gene expression data from </w:t>
      </w:r>
      <w:proofErr w:type="spellStart"/>
      <w:r w:rsidRPr="00863133">
        <w:rPr>
          <w:rFonts w:ascii="Times New Roman" w:hAnsi="Times New Roman" w:cs="Times New Roman"/>
        </w:rPr>
        <w:t>NanoString</w:t>
      </w:r>
      <w:proofErr w:type="spellEnd"/>
      <w:r w:rsidRPr="00863133">
        <w:rPr>
          <w:rFonts w:ascii="Times New Roman" w:hAnsi="Times New Roman" w:cs="Times New Roman"/>
        </w:rPr>
        <w:t xml:space="preserve"> was </w:t>
      </w:r>
      <w:proofErr w:type="spellStart"/>
      <w:r w:rsidRPr="00863133">
        <w:rPr>
          <w:rFonts w:ascii="Times New Roman" w:hAnsi="Times New Roman" w:cs="Times New Roman"/>
        </w:rPr>
        <w:t>analyzed</w:t>
      </w:r>
      <w:proofErr w:type="spellEnd"/>
      <w:r w:rsidRPr="00863133">
        <w:rPr>
          <w:rFonts w:ascii="Times New Roman" w:hAnsi="Times New Roman" w:cs="Times New Roman"/>
        </w:rPr>
        <w:t xml:space="preserve"> using the </w:t>
      </w:r>
      <w:proofErr w:type="spellStart"/>
      <w:r w:rsidRPr="00863133">
        <w:rPr>
          <w:rFonts w:ascii="Times New Roman" w:hAnsi="Times New Roman" w:cs="Times New Roman"/>
          <w:i/>
          <w:iCs/>
        </w:rPr>
        <w:t>limma</w:t>
      </w:r>
      <w:proofErr w:type="spellEnd"/>
      <w:r w:rsidRPr="00863133">
        <w:rPr>
          <w:rFonts w:ascii="Times New Roman" w:hAnsi="Times New Roman" w:cs="Times New Roman"/>
        </w:rPr>
        <w:t xml:space="preserve"> package</w:t>
      </w:r>
      <w:sdt>
        <w:sdtPr>
          <w:rPr>
            <w:rFonts w:ascii="Times New Roman" w:hAnsi="Times New Roman" w:cs="Times New Roman"/>
          </w:rPr>
          <w:alias w:val="SmartCite Citation"/>
          <w:tag w:val="af132122-ea1f-4135-b0f8-ca421a56f48e:39d82358-b849-405b-bfef-023af3cc8847+"/>
          <w:id w:val="-1510215981"/>
          <w:placeholder>
            <w:docPart w:val="33266B4D9771534EBDA83F999C90AB40"/>
          </w:placeholder>
        </w:sdtPr>
        <w:sdtEndPr/>
        <w:sdtContent>
          <w:r w:rsidR="009205C3" w:rsidRPr="009205C3">
            <w:rPr>
              <w:rFonts w:ascii="Times New Roman" w:eastAsia="Times New Roman" w:hAnsi="Times New Roman" w:cs="Times New Roman"/>
              <w:color w:val="000000"/>
              <w:vertAlign w:val="superscript"/>
            </w:rPr>
            <w:t>2</w:t>
          </w:r>
        </w:sdtContent>
      </w:sdt>
      <w:r w:rsidRPr="00863133">
        <w:rPr>
          <w:rFonts w:ascii="Times New Roman" w:hAnsi="Times New Roman" w:cs="Times New Roman"/>
        </w:rPr>
        <w:t xml:space="preserve"> with R-software.  Raw count data was normalised against the geometric mean of a set of housekeeping genes in the </w:t>
      </w:r>
      <w:proofErr w:type="spellStart"/>
      <w:r w:rsidRPr="00863133">
        <w:rPr>
          <w:rFonts w:ascii="Times New Roman" w:hAnsi="Times New Roman" w:cs="Times New Roman"/>
        </w:rPr>
        <w:t>PanCancer</w:t>
      </w:r>
      <w:proofErr w:type="spellEnd"/>
      <w:r w:rsidRPr="00863133">
        <w:rPr>
          <w:rFonts w:ascii="Times New Roman" w:hAnsi="Times New Roman" w:cs="Times New Roman"/>
        </w:rPr>
        <w:t xml:space="preserve"> Immune Panel gene set (Table S1)</w:t>
      </w:r>
      <w:r w:rsidR="00160192">
        <w:rPr>
          <w:rFonts w:ascii="Times New Roman" w:hAnsi="Times New Roman" w:cs="Times New Roman"/>
        </w:rPr>
        <w:t xml:space="preserve"> and also using common samples across each </w:t>
      </w:r>
      <w:proofErr w:type="spellStart"/>
      <w:r w:rsidR="00160192">
        <w:rPr>
          <w:rFonts w:ascii="Times New Roman" w:hAnsi="Times New Roman" w:cs="Times New Roman"/>
        </w:rPr>
        <w:t>Nanostring</w:t>
      </w:r>
      <w:proofErr w:type="spellEnd"/>
      <w:r w:rsidR="00160192">
        <w:rPr>
          <w:rFonts w:ascii="Times New Roman" w:hAnsi="Times New Roman" w:cs="Times New Roman"/>
        </w:rPr>
        <w:t xml:space="preserve"> batch run to account for any batch effects</w:t>
      </w:r>
      <w:r w:rsidRPr="00863133">
        <w:rPr>
          <w:rFonts w:ascii="Times New Roman" w:hAnsi="Times New Roman" w:cs="Times New Roman"/>
        </w:rPr>
        <w:t xml:space="preserve">.  Tumor samples with gene probe counts lower than the median for house-keeping genes after normalisation were excluded from analysis.  Gene expression heat maps were generated using the </w:t>
      </w:r>
      <w:proofErr w:type="spellStart"/>
      <w:r w:rsidRPr="00863133">
        <w:rPr>
          <w:rFonts w:ascii="Times New Roman" w:hAnsi="Times New Roman" w:cs="Times New Roman"/>
          <w:i/>
          <w:iCs/>
        </w:rPr>
        <w:t>limma</w:t>
      </w:r>
      <w:proofErr w:type="spellEnd"/>
      <w:r w:rsidRPr="00863133">
        <w:rPr>
          <w:rFonts w:ascii="Times New Roman" w:hAnsi="Times New Roman" w:cs="Times New Roman"/>
          <w:i/>
          <w:iCs/>
        </w:rPr>
        <w:t xml:space="preserve"> </w:t>
      </w:r>
      <w:r w:rsidRPr="00863133">
        <w:rPr>
          <w:rFonts w:ascii="Times New Roman" w:hAnsi="Times New Roman" w:cs="Times New Roman"/>
        </w:rPr>
        <w:t>package and volcano plots using linear normalised counts with GraphPad Prism 9.  Due to the small sample size and exploratory nature of this study, genes that were differentially expressed with a log</w:t>
      </w:r>
      <w:r w:rsidRPr="00863133">
        <w:rPr>
          <w:rFonts w:ascii="Times New Roman" w:hAnsi="Times New Roman" w:cs="Times New Roman"/>
          <w:vertAlign w:val="subscript"/>
        </w:rPr>
        <w:t>2</w:t>
      </w:r>
      <w:r w:rsidRPr="00863133">
        <w:rPr>
          <w:rFonts w:ascii="Times New Roman" w:hAnsi="Times New Roman" w:cs="Times New Roman"/>
        </w:rPr>
        <w:t xml:space="preserve"> fold change of ≥ 1 or </w:t>
      </w:r>
      <m:oMath>
        <m:r>
          <w:rPr>
            <w:rFonts w:ascii="Cambria Math" w:hAnsi="Cambria Math" w:cs="Times New Roman"/>
          </w:rPr>
          <m:t>≤</m:t>
        </m:r>
      </m:oMath>
      <w:r w:rsidRPr="00863133">
        <w:rPr>
          <w:rFonts w:ascii="Times New Roman" w:eastAsiaTheme="minorEastAsia" w:hAnsi="Times New Roman" w:cs="Times New Roman"/>
        </w:rPr>
        <w:t xml:space="preserve"> -1</w:t>
      </w:r>
      <w:r w:rsidRPr="00863133">
        <w:rPr>
          <w:rFonts w:ascii="Times New Roman" w:hAnsi="Times New Roman" w:cs="Times New Roman"/>
        </w:rPr>
        <w:t xml:space="preserve"> and a nominal p-value &lt; 0.05 </w:t>
      </w:r>
      <w:r>
        <w:rPr>
          <w:rFonts w:ascii="Times New Roman" w:hAnsi="Times New Roman" w:cs="Times New Roman"/>
        </w:rPr>
        <w:t>were</w:t>
      </w:r>
      <w:r w:rsidRPr="00863133">
        <w:rPr>
          <w:rFonts w:ascii="Times New Roman" w:hAnsi="Times New Roman" w:cs="Times New Roman"/>
        </w:rPr>
        <w:t xml:space="preserve"> determined to be biologically significant. </w:t>
      </w:r>
    </w:p>
    <w:p w14:paraId="2E7F6FD1" w14:textId="77777777" w:rsidR="002A7107" w:rsidRPr="00863133" w:rsidRDefault="002A7107" w:rsidP="002A7107">
      <w:pPr>
        <w:spacing w:line="480" w:lineRule="auto"/>
        <w:jc w:val="both"/>
        <w:rPr>
          <w:rFonts w:ascii="Times New Roman" w:hAnsi="Times New Roman" w:cs="Times New Roman"/>
        </w:rPr>
      </w:pPr>
    </w:p>
    <w:p w14:paraId="69F1794B" w14:textId="22237849" w:rsidR="002A7107" w:rsidRPr="00863133" w:rsidRDefault="002A7107" w:rsidP="002A7107">
      <w:pPr>
        <w:spacing w:line="480" w:lineRule="auto"/>
        <w:jc w:val="both"/>
        <w:rPr>
          <w:rFonts w:ascii="Times New Roman" w:hAnsi="Times New Roman" w:cs="Times New Roman"/>
        </w:rPr>
      </w:pPr>
      <w:r w:rsidRPr="00863133">
        <w:rPr>
          <w:rFonts w:ascii="Times New Roman" w:hAnsi="Times New Roman" w:cs="Times New Roman"/>
        </w:rPr>
        <w:t xml:space="preserve">For gene enrichment analysis and the generation of annotated functional networks, we used the </w:t>
      </w:r>
      <w:proofErr w:type="spellStart"/>
      <w:r w:rsidRPr="00863133">
        <w:rPr>
          <w:rFonts w:ascii="Times New Roman" w:hAnsi="Times New Roman" w:cs="Times New Roman"/>
        </w:rPr>
        <w:t>Cytoscape</w:t>
      </w:r>
      <w:proofErr w:type="spellEnd"/>
      <w:r w:rsidRPr="00863133">
        <w:rPr>
          <w:rFonts w:ascii="Times New Roman" w:hAnsi="Times New Roman" w:cs="Times New Roman"/>
        </w:rPr>
        <w:t xml:space="preserve"> application (v3.8.0) with ClueGO</w:t>
      </w:r>
      <w:sdt>
        <w:sdtPr>
          <w:rPr>
            <w:rFonts w:ascii="Times New Roman" w:hAnsi="Times New Roman" w:cs="Times New Roman"/>
          </w:rPr>
          <w:alias w:val="SmartCite Citation"/>
          <w:tag w:val="af132122-ea1f-4135-b0f8-ca421a56f48e:0c363593-c5d9-40a4-b2a0-7059dc55d100+"/>
          <w:id w:val="-598412200"/>
          <w:placeholder>
            <w:docPart w:val="FEED36B62C3E8443835C8740037F321D"/>
          </w:placeholder>
        </w:sdtPr>
        <w:sdtEndPr/>
        <w:sdtContent>
          <w:r w:rsidR="009205C3" w:rsidRPr="009205C3">
            <w:rPr>
              <w:rFonts w:ascii="Times New Roman" w:eastAsia="Times New Roman" w:hAnsi="Times New Roman" w:cs="Times New Roman"/>
              <w:color w:val="000000"/>
              <w:vertAlign w:val="superscript"/>
            </w:rPr>
            <w:t>3</w:t>
          </w:r>
        </w:sdtContent>
      </w:sdt>
      <w:r w:rsidRPr="00863133">
        <w:rPr>
          <w:rFonts w:ascii="Times New Roman" w:hAnsi="Times New Roman" w:cs="Times New Roman"/>
        </w:rPr>
        <w:t xml:space="preserve"> (v2.5.8) plugin.  For this analysis, we used differentially expressed genes from the following analysis groups: 1) pre-treatment versus post-treatment in disease-free patients and 2) pre-treatment versus post-treatment in patients with recurrent disease.  Importantly, the list of genes from the </w:t>
      </w:r>
      <w:proofErr w:type="spellStart"/>
      <w:r w:rsidRPr="00863133">
        <w:rPr>
          <w:rFonts w:ascii="Times New Roman" w:hAnsi="Times New Roman" w:cs="Times New Roman"/>
        </w:rPr>
        <w:t>Nanostring</w:t>
      </w:r>
      <w:proofErr w:type="spellEnd"/>
      <w:r w:rsidRPr="00863133">
        <w:rPr>
          <w:rFonts w:ascii="Times New Roman" w:hAnsi="Times New Roman" w:cs="Times New Roman"/>
        </w:rPr>
        <w:t xml:space="preserve"> </w:t>
      </w:r>
      <w:proofErr w:type="spellStart"/>
      <w:r w:rsidRPr="00863133">
        <w:rPr>
          <w:rFonts w:ascii="Times New Roman" w:hAnsi="Times New Roman" w:cs="Times New Roman"/>
        </w:rPr>
        <w:t>PanCancer</w:t>
      </w:r>
      <w:proofErr w:type="spellEnd"/>
      <w:r w:rsidRPr="00863133">
        <w:rPr>
          <w:rFonts w:ascii="Times New Roman" w:hAnsi="Times New Roman" w:cs="Times New Roman"/>
        </w:rPr>
        <w:t xml:space="preserve"> Immune Profiling panel was used as the custom reference set.  Gene Ontology (GO) pathways were considered significant (adjusted p &lt; 0.05) after correcting for multiple comparisons using </w:t>
      </w:r>
      <w:proofErr w:type="spellStart"/>
      <w:r w:rsidRPr="00863133">
        <w:rPr>
          <w:rFonts w:ascii="Times New Roman" w:hAnsi="Times New Roman" w:cs="Times New Roman"/>
        </w:rPr>
        <w:t>Bonferoni’s</w:t>
      </w:r>
      <w:proofErr w:type="spellEnd"/>
      <w:r w:rsidRPr="00863133">
        <w:rPr>
          <w:rFonts w:ascii="Times New Roman" w:hAnsi="Times New Roman" w:cs="Times New Roman"/>
        </w:rPr>
        <w:t xml:space="preserve"> test.       </w:t>
      </w:r>
    </w:p>
    <w:p w14:paraId="38C0549E" w14:textId="77777777" w:rsidR="008C7B98" w:rsidRDefault="008C7B98" w:rsidP="0007566E">
      <w:pPr>
        <w:spacing w:line="480" w:lineRule="auto"/>
        <w:jc w:val="both"/>
        <w:rPr>
          <w:rFonts w:ascii="Times New Roman" w:hAnsi="Times New Roman" w:cs="Times New Roman"/>
        </w:rPr>
      </w:pPr>
    </w:p>
    <w:p w14:paraId="3C45E346" w14:textId="602CB5D8" w:rsidR="0007566E" w:rsidRDefault="0007566E" w:rsidP="0007566E">
      <w:pPr>
        <w:spacing w:line="480" w:lineRule="auto"/>
        <w:jc w:val="both"/>
        <w:rPr>
          <w:rFonts w:ascii="Times New Roman" w:hAnsi="Times New Roman" w:cs="Times New Roman"/>
        </w:rPr>
      </w:pPr>
    </w:p>
    <w:p w14:paraId="2E48FFE7" w14:textId="63ED2C1B" w:rsidR="0007566E" w:rsidRPr="0007566E" w:rsidRDefault="0007566E" w:rsidP="0007566E">
      <w:pPr>
        <w:spacing w:line="480" w:lineRule="auto"/>
        <w:jc w:val="both"/>
        <w:rPr>
          <w:rFonts w:ascii="Times New Roman" w:hAnsi="Times New Roman" w:cs="Times New Roman"/>
          <w:b/>
          <w:bCs/>
          <w:u w:val="single"/>
        </w:rPr>
      </w:pPr>
      <w:r>
        <w:rPr>
          <w:rFonts w:ascii="Times New Roman" w:hAnsi="Times New Roman" w:cs="Times New Roman"/>
          <w:b/>
          <w:bCs/>
          <w:u w:val="single"/>
        </w:rPr>
        <w:t>References:</w:t>
      </w:r>
    </w:p>
    <w:sdt>
      <w:sdtPr>
        <w:alias w:val="SmartCite Bibliography"/>
        <w:tag w:val="Vancouver (superscript)"/>
        <w:id w:val="1598206140"/>
        <w:placeholder>
          <w:docPart w:val="DefaultPlaceholder_-1854013440"/>
        </w:placeholder>
      </w:sdtPr>
      <w:sdtEndPr/>
      <w:sdtContent>
        <w:p w14:paraId="70DB08F2" w14:textId="77777777" w:rsidR="009205C3" w:rsidRPr="009205C3" w:rsidRDefault="009205C3">
          <w:pPr>
            <w:divId w:val="111828751"/>
            <w:rPr>
              <w:rFonts w:ascii="Calibri" w:eastAsia="Times New Roman" w:hAnsi="Calibri" w:cs="Calibri"/>
              <w:color w:val="000000"/>
            </w:rPr>
          </w:pPr>
        </w:p>
        <w:p w14:paraId="1DF33077" w14:textId="77777777" w:rsidR="009205C3" w:rsidRPr="009205C3" w:rsidRDefault="009205C3">
          <w:pPr>
            <w:pStyle w:val="csl-entry"/>
            <w:divId w:val="111828751"/>
            <w:rPr>
              <w:rFonts w:ascii="Calibri" w:hAnsi="Calibri" w:cs="Calibri"/>
              <w:color w:val="000000"/>
            </w:rPr>
          </w:pPr>
          <w:r w:rsidRPr="009205C3">
            <w:rPr>
              <w:rFonts w:ascii="Calibri" w:hAnsi="Calibri" w:cs="Calibri"/>
              <w:color w:val="000000"/>
            </w:rPr>
            <w:t xml:space="preserve">1. Ayers M, Lunceford J, </w:t>
          </w:r>
          <w:proofErr w:type="spellStart"/>
          <w:r w:rsidRPr="009205C3">
            <w:rPr>
              <w:rFonts w:ascii="Calibri" w:hAnsi="Calibri" w:cs="Calibri"/>
              <w:color w:val="000000"/>
            </w:rPr>
            <w:t>Nebozhyn</w:t>
          </w:r>
          <w:proofErr w:type="spellEnd"/>
          <w:r w:rsidRPr="009205C3">
            <w:rPr>
              <w:rFonts w:ascii="Calibri" w:hAnsi="Calibri" w:cs="Calibri"/>
              <w:color w:val="000000"/>
            </w:rPr>
            <w:t xml:space="preserve"> M, Murphy E, </w:t>
          </w:r>
          <w:proofErr w:type="spellStart"/>
          <w:r w:rsidRPr="009205C3">
            <w:rPr>
              <w:rFonts w:ascii="Calibri" w:hAnsi="Calibri" w:cs="Calibri"/>
              <w:color w:val="000000"/>
            </w:rPr>
            <w:t>Loboda</w:t>
          </w:r>
          <w:proofErr w:type="spellEnd"/>
          <w:r w:rsidRPr="009205C3">
            <w:rPr>
              <w:rFonts w:ascii="Calibri" w:hAnsi="Calibri" w:cs="Calibri"/>
              <w:color w:val="000000"/>
            </w:rPr>
            <w:t xml:space="preserve"> A, Kaufman DR, et al. IFN-γ–related mRNA profile predicts clinical response to PD-1 blockade. J Clin Invest. 2017;127(8):2930–40.</w:t>
          </w:r>
        </w:p>
        <w:p w14:paraId="15970526" w14:textId="77777777" w:rsidR="009205C3" w:rsidRPr="009205C3" w:rsidRDefault="009205C3">
          <w:pPr>
            <w:pStyle w:val="csl-entry"/>
            <w:divId w:val="111828751"/>
            <w:rPr>
              <w:rFonts w:ascii="Calibri" w:hAnsi="Calibri" w:cs="Calibri"/>
              <w:color w:val="000000"/>
            </w:rPr>
          </w:pPr>
          <w:r w:rsidRPr="009205C3">
            <w:rPr>
              <w:rFonts w:ascii="Calibri" w:hAnsi="Calibri" w:cs="Calibri"/>
              <w:color w:val="000000"/>
            </w:rPr>
            <w:t xml:space="preserve">2. Ritchie ME, </w:t>
          </w:r>
          <w:proofErr w:type="spellStart"/>
          <w:r w:rsidRPr="009205C3">
            <w:rPr>
              <w:rFonts w:ascii="Calibri" w:hAnsi="Calibri" w:cs="Calibri"/>
              <w:color w:val="000000"/>
            </w:rPr>
            <w:t>Phipson</w:t>
          </w:r>
          <w:proofErr w:type="spellEnd"/>
          <w:r w:rsidRPr="009205C3">
            <w:rPr>
              <w:rFonts w:ascii="Calibri" w:hAnsi="Calibri" w:cs="Calibri"/>
              <w:color w:val="000000"/>
            </w:rPr>
            <w:t xml:space="preserve"> B, Wu D, Hu Y, Law CW, Shi W, et al. </w:t>
          </w:r>
          <w:proofErr w:type="spellStart"/>
          <w:r w:rsidRPr="009205C3">
            <w:rPr>
              <w:rFonts w:ascii="Calibri" w:hAnsi="Calibri" w:cs="Calibri"/>
              <w:color w:val="000000"/>
            </w:rPr>
            <w:t>limma</w:t>
          </w:r>
          <w:proofErr w:type="spellEnd"/>
          <w:r w:rsidRPr="009205C3">
            <w:rPr>
              <w:rFonts w:ascii="Calibri" w:hAnsi="Calibri" w:cs="Calibri"/>
              <w:color w:val="000000"/>
            </w:rPr>
            <w:t xml:space="preserve"> powers differential expression analyses for RNA-sequencing and microarray studies. Nucleic Acids Res. 2015;43(7):e47–e47.</w:t>
          </w:r>
        </w:p>
        <w:p w14:paraId="5DAD33F5" w14:textId="77777777" w:rsidR="009205C3" w:rsidRPr="009205C3" w:rsidRDefault="009205C3">
          <w:pPr>
            <w:pStyle w:val="csl-entry"/>
            <w:divId w:val="111828751"/>
            <w:rPr>
              <w:rFonts w:ascii="Calibri" w:hAnsi="Calibri" w:cs="Calibri"/>
              <w:color w:val="000000"/>
            </w:rPr>
          </w:pPr>
          <w:r w:rsidRPr="009205C3">
            <w:rPr>
              <w:rFonts w:ascii="Calibri" w:hAnsi="Calibri" w:cs="Calibri"/>
              <w:color w:val="000000"/>
            </w:rPr>
            <w:t xml:space="preserve">3. </w:t>
          </w:r>
          <w:proofErr w:type="spellStart"/>
          <w:r w:rsidRPr="009205C3">
            <w:rPr>
              <w:rFonts w:ascii="Calibri" w:hAnsi="Calibri" w:cs="Calibri"/>
              <w:color w:val="000000"/>
            </w:rPr>
            <w:t>Bindea</w:t>
          </w:r>
          <w:proofErr w:type="spellEnd"/>
          <w:r w:rsidRPr="009205C3">
            <w:rPr>
              <w:rFonts w:ascii="Calibri" w:hAnsi="Calibri" w:cs="Calibri"/>
              <w:color w:val="000000"/>
            </w:rPr>
            <w:t xml:space="preserve"> G, </w:t>
          </w:r>
          <w:proofErr w:type="spellStart"/>
          <w:r w:rsidRPr="009205C3">
            <w:rPr>
              <w:rFonts w:ascii="Calibri" w:hAnsi="Calibri" w:cs="Calibri"/>
              <w:color w:val="000000"/>
            </w:rPr>
            <w:t>Mlecnik</w:t>
          </w:r>
          <w:proofErr w:type="spellEnd"/>
          <w:r w:rsidRPr="009205C3">
            <w:rPr>
              <w:rFonts w:ascii="Calibri" w:hAnsi="Calibri" w:cs="Calibri"/>
              <w:color w:val="000000"/>
            </w:rPr>
            <w:t xml:space="preserve"> B, Hackl H, </w:t>
          </w:r>
          <w:proofErr w:type="spellStart"/>
          <w:r w:rsidRPr="009205C3">
            <w:rPr>
              <w:rFonts w:ascii="Calibri" w:hAnsi="Calibri" w:cs="Calibri"/>
              <w:color w:val="000000"/>
            </w:rPr>
            <w:t>Charoentong</w:t>
          </w:r>
          <w:proofErr w:type="spellEnd"/>
          <w:r w:rsidRPr="009205C3">
            <w:rPr>
              <w:rFonts w:ascii="Calibri" w:hAnsi="Calibri" w:cs="Calibri"/>
              <w:color w:val="000000"/>
            </w:rPr>
            <w:t xml:space="preserve"> P, </w:t>
          </w:r>
          <w:proofErr w:type="spellStart"/>
          <w:r w:rsidRPr="009205C3">
            <w:rPr>
              <w:rFonts w:ascii="Calibri" w:hAnsi="Calibri" w:cs="Calibri"/>
              <w:color w:val="000000"/>
            </w:rPr>
            <w:t>Tosolini</w:t>
          </w:r>
          <w:proofErr w:type="spellEnd"/>
          <w:r w:rsidRPr="009205C3">
            <w:rPr>
              <w:rFonts w:ascii="Calibri" w:hAnsi="Calibri" w:cs="Calibri"/>
              <w:color w:val="000000"/>
            </w:rPr>
            <w:t xml:space="preserve"> M, </w:t>
          </w:r>
          <w:proofErr w:type="spellStart"/>
          <w:r w:rsidRPr="009205C3">
            <w:rPr>
              <w:rFonts w:ascii="Calibri" w:hAnsi="Calibri" w:cs="Calibri"/>
              <w:color w:val="000000"/>
            </w:rPr>
            <w:t>Kirilovsky</w:t>
          </w:r>
          <w:proofErr w:type="spellEnd"/>
          <w:r w:rsidRPr="009205C3">
            <w:rPr>
              <w:rFonts w:ascii="Calibri" w:hAnsi="Calibri" w:cs="Calibri"/>
              <w:color w:val="000000"/>
            </w:rPr>
            <w:t xml:space="preserve"> A, et al. </w:t>
          </w:r>
          <w:proofErr w:type="spellStart"/>
          <w:r w:rsidRPr="009205C3">
            <w:rPr>
              <w:rFonts w:ascii="Calibri" w:hAnsi="Calibri" w:cs="Calibri"/>
              <w:color w:val="000000"/>
            </w:rPr>
            <w:t>ClueGO</w:t>
          </w:r>
          <w:proofErr w:type="spellEnd"/>
          <w:r w:rsidRPr="009205C3">
            <w:rPr>
              <w:rFonts w:ascii="Calibri" w:hAnsi="Calibri" w:cs="Calibri"/>
              <w:color w:val="000000"/>
            </w:rPr>
            <w:t xml:space="preserve">: a </w:t>
          </w:r>
          <w:proofErr w:type="spellStart"/>
          <w:r w:rsidRPr="009205C3">
            <w:rPr>
              <w:rFonts w:ascii="Calibri" w:hAnsi="Calibri" w:cs="Calibri"/>
              <w:color w:val="000000"/>
            </w:rPr>
            <w:t>Cytoscape</w:t>
          </w:r>
          <w:proofErr w:type="spellEnd"/>
          <w:r w:rsidRPr="009205C3">
            <w:rPr>
              <w:rFonts w:ascii="Calibri" w:hAnsi="Calibri" w:cs="Calibri"/>
              <w:color w:val="000000"/>
            </w:rPr>
            <w:t xml:space="preserve"> plug-in to decipher functionally grouped gene ontology and pathway annotation networks. Bioinformatics. 2009;25(8):1091–3.</w:t>
          </w:r>
        </w:p>
        <w:p w14:paraId="055446C4" w14:textId="58AF1DD6" w:rsidR="0007566E" w:rsidRPr="002A7107" w:rsidRDefault="009205C3">
          <w:r w:rsidRPr="009205C3">
            <w:rPr>
              <w:rFonts w:ascii="Calibri" w:eastAsia="Times New Roman" w:hAnsi="Calibri" w:cs="Calibri"/>
              <w:color w:val="000000"/>
            </w:rPr>
            <w:t> </w:t>
          </w:r>
        </w:p>
      </w:sdtContent>
    </w:sdt>
    <w:sectPr w:rsidR="0007566E" w:rsidRPr="002A71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B8D"/>
    <w:rsid w:val="000228A2"/>
    <w:rsid w:val="000451CB"/>
    <w:rsid w:val="000535A1"/>
    <w:rsid w:val="0007566E"/>
    <w:rsid w:val="000A78DB"/>
    <w:rsid w:val="000C6634"/>
    <w:rsid w:val="000D6B94"/>
    <w:rsid w:val="000F1BC5"/>
    <w:rsid w:val="000F394A"/>
    <w:rsid w:val="000F3E8E"/>
    <w:rsid w:val="0015109D"/>
    <w:rsid w:val="00160192"/>
    <w:rsid w:val="00161363"/>
    <w:rsid w:val="0016744E"/>
    <w:rsid w:val="001675EA"/>
    <w:rsid w:val="00182486"/>
    <w:rsid w:val="001A2F7D"/>
    <w:rsid w:val="002113DE"/>
    <w:rsid w:val="00215ACA"/>
    <w:rsid w:val="00216A9E"/>
    <w:rsid w:val="00251B0E"/>
    <w:rsid w:val="0025790F"/>
    <w:rsid w:val="00262B69"/>
    <w:rsid w:val="00283C81"/>
    <w:rsid w:val="002A7107"/>
    <w:rsid w:val="002B1E3F"/>
    <w:rsid w:val="002B6CC5"/>
    <w:rsid w:val="002C157E"/>
    <w:rsid w:val="002C32F8"/>
    <w:rsid w:val="002E0D02"/>
    <w:rsid w:val="00303820"/>
    <w:rsid w:val="0031510A"/>
    <w:rsid w:val="0039296D"/>
    <w:rsid w:val="003C37FF"/>
    <w:rsid w:val="003F2180"/>
    <w:rsid w:val="00444058"/>
    <w:rsid w:val="00450F83"/>
    <w:rsid w:val="0046282D"/>
    <w:rsid w:val="00476864"/>
    <w:rsid w:val="00496F52"/>
    <w:rsid w:val="004A6B48"/>
    <w:rsid w:val="004B31FA"/>
    <w:rsid w:val="004C21A4"/>
    <w:rsid w:val="004E0027"/>
    <w:rsid w:val="004F24EB"/>
    <w:rsid w:val="004F2D87"/>
    <w:rsid w:val="00507D92"/>
    <w:rsid w:val="0053459C"/>
    <w:rsid w:val="00535260"/>
    <w:rsid w:val="00556ABC"/>
    <w:rsid w:val="00560D84"/>
    <w:rsid w:val="005D2820"/>
    <w:rsid w:val="0060420F"/>
    <w:rsid w:val="006429DF"/>
    <w:rsid w:val="006522C7"/>
    <w:rsid w:val="006556E1"/>
    <w:rsid w:val="00660D6E"/>
    <w:rsid w:val="00677A53"/>
    <w:rsid w:val="006B6505"/>
    <w:rsid w:val="006D6B05"/>
    <w:rsid w:val="006E6792"/>
    <w:rsid w:val="006F3D7C"/>
    <w:rsid w:val="00700C14"/>
    <w:rsid w:val="00737518"/>
    <w:rsid w:val="00775D52"/>
    <w:rsid w:val="00780DC8"/>
    <w:rsid w:val="00784BFD"/>
    <w:rsid w:val="00791D85"/>
    <w:rsid w:val="007A747A"/>
    <w:rsid w:val="007B3EBB"/>
    <w:rsid w:val="007E241A"/>
    <w:rsid w:val="007F77C3"/>
    <w:rsid w:val="00817A8C"/>
    <w:rsid w:val="00846B8D"/>
    <w:rsid w:val="00870E34"/>
    <w:rsid w:val="008A26F1"/>
    <w:rsid w:val="008C724E"/>
    <w:rsid w:val="008C7B98"/>
    <w:rsid w:val="008E1107"/>
    <w:rsid w:val="008E2FCD"/>
    <w:rsid w:val="008F5914"/>
    <w:rsid w:val="009205C3"/>
    <w:rsid w:val="00956549"/>
    <w:rsid w:val="00973CBC"/>
    <w:rsid w:val="00975290"/>
    <w:rsid w:val="009E7226"/>
    <w:rsid w:val="009F498C"/>
    <w:rsid w:val="00A23A3A"/>
    <w:rsid w:val="00A7237E"/>
    <w:rsid w:val="00A870D8"/>
    <w:rsid w:val="00AA6DE9"/>
    <w:rsid w:val="00B14F16"/>
    <w:rsid w:val="00B42490"/>
    <w:rsid w:val="00B84D2B"/>
    <w:rsid w:val="00B853A1"/>
    <w:rsid w:val="00B96B02"/>
    <w:rsid w:val="00BB491C"/>
    <w:rsid w:val="00BD4AC6"/>
    <w:rsid w:val="00C16392"/>
    <w:rsid w:val="00C16655"/>
    <w:rsid w:val="00C6516B"/>
    <w:rsid w:val="00C76F73"/>
    <w:rsid w:val="00CA53C0"/>
    <w:rsid w:val="00CE3CCB"/>
    <w:rsid w:val="00CF589E"/>
    <w:rsid w:val="00D20230"/>
    <w:rsid w:val="00D33066"/>
    <w:rsid w:val="00D372A5"/>
    <w:rsid w:val="00D42CD0"/>
    <w:rsid w:val="00D459C9"/>
    <w:rsid w:val="00D70746"/>
    <w:rsid w:val="00D7717B"/>
    <w:rsid w:val="00D808CA"/>
    <w:rsid w:val="00D860BF"/>
    <w:rsid w:val="00D876C5"/>
    <w:rsid w:val="00D90E98"/>
    <w:rsid w:val="00DD11E5"/>
    <w:rsid w:val="00DD42A4"/>
    <w:rsid w:val="00E1072F"/>
    <w:rsid w:val="00E2662F"/>
    <w:rsid w:val="00E37CDF"/>
    <w:rsid w:val="00EB1733"/>
    <w:rsid w:val="00EE22A4"/>
    <w:rsid w:val="00EF7944"/>
    <w:rsid w:val="00F11A73"/>
    <w:rsid w:val="00F472C3"/>
    <w:rsid w:val="00F90E2C"/>
    <w:rsid w:val="00FD17DC"/>
    <w:rsid w:val="00FD5D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E1339"/>
  <w15:chartTrackingRefBased/>
  <w15:docId w15:val="{D37664B4-7CFC-D64B-B605-0C75034AD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E9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90E9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161363"/>
    <w:rPr>
      <w:sz w:val="16"/>
      <w:szCs w:val="16"/>
    </w:rPr>
  </w:style>
  <w:style w:type="paragraph" w:styleId="CommentText">
    <w:name w:val="annotation text"/>
    <w:basedOn w:val="Normal"/>
    <w:link w:val="CommentTextChar"/>
    <w:uiPriority w:val="99"/>
    <w:semiHidden/>
    <w:unhideWhenUsed/>
    <w:rsid w:val="00161363"/>
    <w:rPr>
      <w:sz w:val="20"/>
      <w:szCs w:val="20"/>
    </w:rPr>
  </w:style>
  <w:style w:type="character" w:customStyle="1" w:styleId="CommentTextChar">
    <w:name w:val="Comment Text Char"/>
    <w:basedOn w:val="DefaultParagraphFont"/>
    <w:link w:val="CommentText"/>
    <w:uiPriority w:val="99"/>
    <w:semiHidden/>
    <w:rsid w:val="00161363"/>
    <w:rPr>
      <w:sz w:val="20"/>
      <w:szCs w:val="20"/>
    </w:rPr>
  </w:style>
  <w:style w:type="paragraph" w:styleId="CommentSubject">
    <w:name w:val="annotation subject"/>
    <w:basedOn w:val="CommentText"/>
    <w:next w:val="CommentText"/>
    <w:link w:val="CommentSubjectChar"/>
    <w:uiPriority w:val="99"/>
    <w:semiHidden/>
    <w:unhideWhenUsed/>
    <w:rsid w:val="00161363"/>
    <w:rPr>
      <w:b/>
      <w:bCs/>
    </w:rPr>
  </w:style>
  <w:style w:type="character" w:customStyle="1" w:styleId="CommentSubjectChar">
    <w:name w:val="Comment Subject Char"/>
    <w:basedOn w:val="CommentTextChar"/>
    <w:link w:val="CommentSubject"/>
    <w:uiPriority w:val="99"/>
    <w:semiHidden/>
    <w:rsid w:val="00161363"/>
    <w:rPr>
      <w:b/>
      <w:bCs/>
      <w:sz w:val="20"/>
      <w:szCs w:val="20"/>
    </w:rPr>
  </w:style>
  <w:style w:type="character" w:styleId="PlaceholderText">
    <w:name w:val="Placeholder Text"/>
    <w:basedOn w:val="DefaultParagraphFont"/>
    <w:uiPriority w:val="99"/>
    <w:semiHidden/>
    <w:rsid w:val="0007566E"/>
    <w:rPr>
      <w:color w:val="808080"/>
    </w:rPr>
  </w:style>
  <w:style w:type="paragraph" w:customStyle="1" w:styleId="csl-entry">
    <w:name w:val="csl-entry"/>
    <w:basedOn w:val="Normal"/>
    <w:rsid w:val="0007566E"/>
    <w:pPr>
      <w:spacing w:before="100" w:beforeAutospacing="1" w:after="100" w:afterAutospacing="1"/>
    </w:pPr>
    <w:rPr>
      <w:rFonts w:ascii="Times New Roman" w:eastAsiaTheme="minorEastAsia" w:hAnsi="Times New Roman" w:cs="Times New Roman"/>
      <w:lang w:eastAsia="en-GB"/>
    </w:rPr>
  </w:style>
  <w:style w:type="paragraph" w:styleId="Revision">
    <w:name w:val="Revision"/>
    <w:hidden/>
    <w:uiPriority w:val="99"/>
    <w:semiHidden/>
    <w:rsid w:val="006F3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3309">
      <w:bodyDiv w:val="1"/>
      <w:marLeft w:val="0"/>
      <w:marRight w:val="0"/>
      <w:marTop w:val="0"/>
      <w:marBottom w:val="0"/>
      <w:divBdr>
        <w:top w:val="none" w:sz="0" w:space="0" w:color="auto"/>
        <w:left w:val="none" w:sz="0" w:space="0" w:color="auto"/>
        <w:bottom w:val="none" w:sz="0" w:space="0" w:color="auto"/>
        <w:right w:val="none" w:sz="0" w:space="0" w:color="auto"/>
      </w:divBdr>
    </w:div>
    <w:div w:id="67466026">
      <w:bodyDiv w:val="1"/>
      <w:marLeft w:val="0"/>
      <w:marRight w:val="0"/>
      <w:marTop w:val="0"/>
      <w:marBottom w:val="0"/>
      <w:divBdr>
        <w:top w:val="none" w:sz="0" w:space="0" w:color="auto"/>
        <w:left w:val="none" w:sz="0" w:space="0" w:color="auto"/>
        <w:bottom w:val="none" w:sz="0" w:space="0" w:color="auto"/>
        <w:right w:val="none" w:sz="0" w:space="0" w:color="auto"/>
      </w:divBdr>
    </w:div>
    <w:div w:id="92286514">
      <w:bodyDiv w:val="1"/>
      <w:marLeft w:val="0"/>
      <w:marRight w:val="0"/>
      <w:marTop w:val="0"/>
      <w:marBottom w:val="0"/>
      <w:divBdr>
        <w:top w:val="none" w:sz="0" w:space="0" w:color="auto"/>
        <w:left w:val="none" w:sz="0" w:space="0" w:color="auto"/>
        <w:bottom w:val="none" w:sz="0" w:space="0" w:color="auto"/>
        <w:right w:val="none" w:sz="0" w:space="0" w:color="auto"/>
      </w:divBdr>
    </w:div>
    <w:div w:id="111828751">
      <w:bodyDiv w:val="1"/>
      <w:marLeft w:val="0"/>
      <w:marRight w:val="0"/>
      <w:marTop w:val="0"/>
      <w:marBottom w:val="0"/>
      <w:divBdr>
        <w:top w:val="none" w:sz="0" w:space="0" w:color="auto"/>
        <w:left w:val="none" w:sz="0" w:space="0" w:color="auto"/>
        <w:bottom w:val="none" w:sz="0" w:space="0" w:color="auto"/>
        <w:right w:val="none" w:sz="0" w:space="0" w:color="auto"/>
      </w:divBdr>
    </w:div>
    <w:div w:id="139468969">
      <w:bodyDiv w:val="1"/>
      <w:marLeft w:val="0"/>
      <w:marRight w:val="0"/>
      <w:marTop w:val="0"/>
      <w:marBottom w:val="0"/>
      <w:divBdr>
        <w:top w:val="none" w:sz="0" w:space="0" w:color="auto"/>
        <w:left w:val="none" w:sz="0" w:space="0" w:color="auto"/>
        <w:bottom w:val="none" w:sz="0" w:space="0" w:color="auto"/>
        <w:right w:val="none" w:sz="0" w:space="0" w:color="auto"/>
      </w:divBdr>
    </w:div>
    <w:div w:id="174464297">
      <w:bodyDiv w:val="1"/>
      <w:marLeft w:val="0"/>
      <w:marRight w:val="0"/>
      <w:marTop w:val="0"/>
      <w:marBottom w:val="0"/>
      <w:divBdr>
        <w:top w:val="none" w:sz="0" w:space="0" w:color="auto"/>
        <w:left w:val="none" w:sz="0" w:space="0" w:color="auto"/>
        <w:bottom w:val="none" w:sz="0" w:space="0" w:color="auto"/>
        <w:right w:val="none" w:sz="0" w:space="0" w:color="auto"/>
      </w:divBdr>
    </w:div>
    <w:div w:id="179777127">
      <w:bodyDiv w:val="1"/>
      <w:marLeft w:val="0"/>
      <w:marRight w:val="0"/>
      <w:marTop w:val="0"/>
      <w:marBottom w:val="0"/>
      <w:divBdr>
        <w:top w:val="none" w:sz="0" w:space="0" w:color="auto"/>
        <w:left w:val="none" w:sz="0" w:space="0" w:color="auto"/>
        <w:bottom w:val="none" w:sz="0" w:space="0" w:color="auto"/>
        <w:right w:val="none" w:sz="0" w:space="0" w:color="auto"/>
      </w:divBdr>
    </w:div>
    <w:div w:id="259997055">
      <w:bodyDiv w:val="1"/>
      <w:marLeft w:val="0"/>
      <w:marRight w:val="0"/>
      <w:marTop w:val="0"/>
      <w:marBottom w:val="0"/>
      <w:divBdr>
        <w:top w:val="none" w:sz="0" w:space="0" w:color="auto"/>
        <w:left w:val="none" w:sz="0" w:space="0" w:color="auto"/>
        <w:bottom w:val="none" w:sz="0" w:space="0" w:color="auto"/>
        <w:right w:val="none" w:sz="0" w:space="0" w:color="auto"/>
      </w:divBdr>
    </w:div>
    <w:div w:id="278343200">
      <w:bodyDiv w:val="1"/>
      <w:marLeft w:val="0"/>
      <w:marRight w:val="0"/>
      <w:marTop w:val="0"/>
      <w:marBottom w:val="0"/>
      <w:divBdr>
        <w:top w:val="none" w:sz="0" w:space="0" w:color="auto"/>
        <w:left w:val="none" w:sz="0" w:space="0" w:color="auto"/>
        <w:bottom w:val="none" w:sz="0" w:space="0" w:color="auto"/>
        <w:right w:val="none" w:sz="0" w:space="0" w:color="auto"/>
      </w:divBdr>
    </w:div>
    <w:div w:id="307247671">
      <w:bodyDiv w:val="1"/>
      <w:marLeft w:val="0"/>
      <w:marRight w:val="0"/>
      <w:marTop w:val="0"/>
      <w:marBottom w:val="0"/>
      <w:divBdr>
        <w:top w:val="none" w:sz="0" w:space="0" w:color="auto"/>
        <w:left w:val="none" w:sz="0" w:space="0" w:color="auto"/>
        <w:bottom w:val="none" w:sz="0" w:space="0" w:color="auto"/>
        <w:right w:val="none" w:sz="0" w:space="0" w:color="auto"/>
      </w:divBdr>
    </w:div>
    <w:div w:id="384452001">
      <w:bodyDiv w:val="1"/>
      <w:marLeft w:val="0"/>
      <w:marRight w:val="0"/>
      <w:marTop w:val="0"/>
      <w:marBottom w:val="0"/>
      <w:divBdr>
        <w:top w:val="none" w:sz="0" w:space="0" w:color="auto"/>
        <w:left w:val="none" w:sz="0" w:space="0" w:color="auto"/>
        <w:bottom w:val="none" w:sz="0" w:space="0" w:color="auto"/>
        <w:right w:val="none" w:sz="0" w:space="0" w:color="auto"/>
      </w:divBdr>
    </w:div>
    <w:div w:id="414937743">
      <w:bodyDiv w:val="1"/>
      <w:marLeft w:val="0"/>
      <w:marRight w:val="0"/>
      <w:marTop w:val="0"/>
      <w:marBottom w:val="0"/>
      <w:divBdr>
        <w:top w:val="none" w:sz="0" w:space="0" w:color="auto"/>
        <w:left w:val="none" w:sz="0" w:space="0" w:color="auto"/>
        <w:bottom w:val="none" w:sz="0" w:space="0" w:color="auto"/>
        <w:right w:val="none" w:sz="0" w:space="0" w:color="auto"/>
      </w:divBdr>
    </w:div>
    <w:div w:id="423306221">
      <w:bodyDiv w:val="1"/>
      <w:marLeft w:val="0"/>
      <w:marRight w:val="0"/>
      <w:marTop w:val="0"/>
      <w:marBottom w:val="0"/>
      <w:divBdr>
        <w:top w:val="none" w:sz="0" w:space="0" w:color="auto"/>
        <w:left w:val="none" w:sz="0" w:space="0" w:color="auto"/>
        <w:bottom w:val="none" w:sz="0" w:space="0" w:color="auto"/>
        <w:right w:val="none" w:sz="0" w:space="0" w:color="auto"/>
      </w:divBdr>
    </w:div>
    <w:div w:id="456341645">
      <w:bodyDiv w:val="1"/>
      <w:marLeft w:val="0"/>
      <w:marRight w:val="0"/>
      <w:marTop w:val="0"/>
      <w:marBottom w:val="0"/>
      <w:divBdr>
        <w:top w:val="none" w:sz="0" w:space="0" w:color="auto"/>
        <w:left w:val="none" w:sz="0" w:space="0" w:color="auto"/>
        <w:bottom w:val="none" w:sz="0" w:space="0" w:color="auto"/>
        <w:right w:val="none" w:sz="0" w:space="0" w:color="auto"/>
      </w:divBdr>
    </w:div>
    <w:div w:id="502554704">
      <w:bodyDiv w:val="1"/>
      <w:marLeft w:val="0"/>
      <w:marRight w:val="0"/>
      <w:marTop w:val="0"/>
      <w:marBottom w:val="0"/>
      <w:divBdr>
        <w:top w:val="none" w:sz="0" w:space="0" w:color="auto"/>
        <w:left w:val="none" w:sz="0" w:space="0" w:color="auto"/>
        <w:bottom w:val="none" w:sz="0" w:space="0" w:color="auto"/>
        <w:right w:val="none" w:sz="0" w:space="0" w:color="auto"/>
      </w:divBdr>
    </w:div>
    <w:div w:id="531958005">
      <w:bodyDiv w:val="1"/>
      <w:marLeft w:val="0"/>
      <w:marRight w:val="0"/>
      <w:marTop w:val="0"/>
      <w:marBottom w:val="0"/>
      <w:divBdr>
        <w:top w:val="none" w:sz="0" w:space="0" w:color="auto"/>
        <w:left w:val="none" w:sz="0" w:space="0" w:color="auto"/>
        <w:bottom w:val="none" w:sz="0" w:space="0" w:color="auto"/>
        <w:right w:val="none" w:sz="0" w:space="0" w:color="auto"/>
      </w:divBdr>
    </w:div>
    <w:div w:id="581258362">
      <w:bodyDiv w:val="1"/>
      <w:marLeft w:val="0"/>
      <w:marRight w:val="0"/>
      <w:marTop w:val="0"/>
      <w:marBottom w:val="0"/>
      <w:divBdr>
        <w:top w:val="none" w:sz="0" w:space="0" w:color="auto"/>
        <w:left w:val="none" w:sz="0" w:space="0" w:color="auto"/>
        <w:bottom w:val="none" w:sz="0" w:space="0" w:color="auto"/>
        <w:right w:val="none" w:sz="0" w:space="0" w:color="auto"/>
      </w:divBdr>
    </w:div>
    <w:div w:id="592981026">
      <w:bodyDiv w:val="1"/>
      <w:marLeft w:val="0"/>
      <w:marRight w:val="0"/>
      <w:marTop w:val="0"/>
      <w:marBottom w:val="0"/>
      <w:divBdr>
        <w:top w:val="none" w:sz="0" w:space="0" w:color="auto"/>
        <w:left w:val="none" w:sz="0" w:space="0" w:color="auto"/>
        <w:bottom w:val="none" w:sz="0" w:space="0" w:color="auto"/>
        <w:right w:val="none" w:sz="0" w:space="0" w:color="auto"/>
      </w:divBdr>
    </w:div>
    <w:div w:id="661008346">
      <w:bodyDiv w:val="1"/>
      <w:marLeft w:val="0"/>
      <w:marRight w:val="0"/>
      <w:marTop w:val="0"/>
      <w:marBottom w:val="0"/>
      <w:divBdr>
        <w:top w:val="none" w:sz="0" w:space="0" w:color="auto"/>
        <w:left w:val="none" w:sz="0" w:space="0" w:color="auto"/>
        <w:bottom w:val="none" w:sz="0" w:space="0" w:color="auto"/>
        <w:right w:val="none" w:sz="0" w:space="0" w:color="auto"/>
      </w:divBdr>
    </w:div>
    <w:div w:id="802119494">
      <w:bodyDiv w:val="1"/>
      <w:marLeft w:val="0"/>
      <w:marRight w:val="0"/>
      <w:marTop w:val="0"/>
      <w:marBottom w:val="0"/>
      <w:divBdr>
        <w:top w:val="none" w:sz="0" w:space="0" w:color="auto"/>
        <w:left w:val="none" w:sz="0" w:space="0" w:color="auto"/>
        <w:bottom w:val="none" w:sz="0" w:space="0" w:color="auto"/>
        <w:right w:val="none" w:sz="0" w:space="0" w:color="auto"/>
      </w:divBdr>
    </w:div>
    <w:div w:id="897321943">
      <w:bodyDiv w:val="1"/>
      <w:marLeft w:val="0"/>
      <w:marRight w:val="0"/>
      <w:marTop w:val="0"/>
      <w:marBottom w:val="0"/>
      <w:divBdr>
        <w:top w:val="none" w:sz="0" w:space="0" w:color="auto"/>
        <w:left w:val="none" w:sz="0" w:space="0" w:color="auto"/>
        <w:bottom w:val="none" w:sz="0" w:space="0" w:color="auto"/>
        <w:right w:val="none" w:sz="0" w:space="0" w:color="auto"/>
      </w:divBdr>
    </w:div>
    <w:div w:id="954141581">
      <w:bodyDiv w:val="1"/>
      <w:marLeft w:val="0"/>
      <w:marRight w:val="0"/>
      <w:marTop w:val="0"/>
      <w:marBottom w:val="0"/>
      <w:divBdr>
        <w:top w:val="none" w:sz="0" w:space="0" w:color="auto"/>
        <w:left w:val="none" w:sz="0" w:space="0" w:color="auto"/>
        <w:bottom w:val="none" w:sz="0" w:space="0" w:color="auto"/>
        <w:right w:val="none" w:sz="0" w:space="0" w:color="auto"/>
      </w:divBdr>
    </w:div>
    <w:div w:id="993068607">
      <w:bodyDiv w:val="1"/>
      <w:marLeft w:val="0"/>
      <w:marRight w:val="0"/>
      <w:marTop w:val="0"/>
      <w:marBottom w:val="0"/>
      <w:divBdr>
        <w:top w:val="none" w:sz="0" w:space="0" w:color="auto"/>
        <w:left w:val="none" w:sz="0" w:space="0" w:color="auto"/>
        <w:bottom w:val="none" w:sz="0" w:space="0" w:color="auto"/>
        <w:right w:val="none" w:sz="0" w:space="0" w:color="auto"/>
      </w:divBdr>
    </w:div>
    <w:div w:id="1050416427">
      <w:bodyDiv w:val="1"/>
      <w:marLeft w:val="0"/>
      <w:marRight w:val="0"/>
      <w:marTop w:val="0"/>
      <w:marBottom w:val="0"/>
      <w:divBdr>
        <w:top w:val="none" w:sz="0" w:space="0" w:color="auto"/>
        <w:left w:val="none" w:sz="0" w:space="0" w:color="auto"/>
        <w:bottom w:val="none" w:sz="0" w:space="0" w:color="auto"/>
        <w:right w:val="none" w:sz="0" w:space="0" w:color="auto"/>
      </w:divBdr>
    </w:div>
    <w:div w:id="1114057039">
      <w:bodyDiv w:val="1"/>
      <w:marLeft w:val="0"/>
      <w:marRight w:val="0"/>
      <w:marTop w:val="0"/>
      <w:marBottom w:val="0"/>
      <w:divBdr>
        <w:top w:val="none" w:sz="0" w:space="0" w:color="auto"/>
        <w:left w:val="none" w:sz="0" w:space="0" w:color="auto"/>
        <w:bottom w:val="none" w:sz="0" w:space="0" w:color="auto"/>
        <w:right w:val="none" w:sz="0" w:space="0" w:color="auto"/>
      </w:divBdr>
    </w:div>
    <w:div w:id="1156923236">
      <w:bodyDiv w:val="1"/>
      <w:marLeft w:val="0"/>
      <w:marRight w:val="0"/>
      <w:marTop w:val="0"/>
      <w:marBottom w:val="0"/>
      <w:divBdr>
        <w:top w:val="none" w:sz="0" w:space="0" w:color="auto"/>
        <w:left w:val="none" w:sz="0" w:space="0" w:color="auto"/>
        <w:bottom w:val="none" w:sz="0" w:space="0" w:color="auto"/>
        <w:right w:val="none" w:sz="0" w:space="0" w:color="auto"/>
      </w:divBdr>
    </w:div>
    <w:div w:id="1210995323">
      <w:bodyDiv w:val="1"/>
      <w:marLeft w:val="0"/>
      <w:marRight w:val="0"/>
      <w:marTop w:val="0"/>
      <w:marBottom w:val="0"/>
      <w:divBdr>
        <w:top w:val="none" w:sz="0" w:space="0" w:color="auto"/>
        <w:left w:val="none" w:sz="0" w:space="0" w:color="auto"/>
        <w:bottom w:val="none" w:sz="0" w:space="0" w:color="auto"/>
        <w:right w:val="none" w:sz="0" w:space="0" w:color="auto"/>
      </w:divBdr>
    </w:div>
    <w:div w:id="1215776500">
      <w:bodyDiv w:val="1"/>
      <w:marLeft w:val="0"/>
      <w:marRight w:val="0"/>
      <w:marTop w:val="0"/>
      <w:marBottom w:val="0"/>
      <w:divBdr>
        <w:top w:val="none" w:sz="0" w:space="0" w:color="auto"/>
        <w:left w:val="none" w:sz="0" w:space="0" w:color="auto"/>
        <w:bottom w:val="none" w:sz="0" w:space="0" w:color="auto"/>
        <w:right w:val="none" w:sz="0" w:space="0" w:color="auto"/>
      </w:divBdr>
    </w:div>
    <w:div w:id="1274358880">
      <w:bodyDiv w:val="1"/>
      <w:marLeft w:val="0"/>
      <w:marRight w:val="0"/>
      <w:marTop w:val="0"/>
      <w:marBottom w:val="0"/>
      <w:divBdr>
        <w:top w:val="none" w:sz="0" w:space="0" w:color="auto"/>
        <w:left w:val="none" w:sz="0" w:space="0" w:color="auto"/>
        <w:bottom w:val="none" w:sz="0" w:space="0" w:color="auto"/>
        <w:right w:val="none" w:sz="0" w:space="0" w:color="auto"/>
      </w:divBdr>
    </w:div>
    <w:div w:id="1348213491">
      <w:bodyDiv w:val="1"/>
      <w:marLeft w:val="0"/>
      <w:marRight w:val="0"/>
      <w:marTop w:val="0"/>
      <w:marBottom w:val="0"/>
      <w:divBdr>
        <w:top w:val="none" w:sz="0" w:space="0" w:color="auto"/>
        <w:left w:val="none" w:sz="0" w:space="0" w:color="auto"/>
        <w:bottom w:val="none" w:sz="0" w:space="0" w:color="auto"/>
        <w:right w:val="none" w:sz="0" w:space="0" w:color="auto"/>
      </w:divBdr>
    </w:div>
    <w:div w:id="1396858223">
      <w:bodyDiv w:val="1"/>
      <w:marLeft w:val="0"/>
      <w:marRight w:val="0"/>
      <w:marTop w:val="0"/>
      <w:marBottom w:val="0"/>
      <w:divBdr>
        <w:top w:val="none" w:sz="0" w:space="0" w:color="auto"/>
        <w:left w:val="none" w:sz="0" w:space="0" w:color="auto"/>
        <w:bottom w:val="none" w:sz="0" w:space="0" w:color="auto"/>
        <w:right w:val="none" w:sz="0" w:space="0" w:color="auto"/>
      </w:divBdr>
    </w:div>
    <w:div w:id="1464419975">
      <w:bodyDiv w:val="1"/>
      <w:marLeft w:val="0"/>
      <w:marRight w:val="0"/>
      <w:marTop w:val="0"/>
      <w:marBottom w:val="0"/>
      <w:divBdr>
        <w:top w:val="none" w:sz="0" w:space="0" w:color="auto"/>
        <w:left w:val="none" w:sz="0" w:space="0" w:color="auto"/>
        <w:bottom w:val="none" w:sz="0" w:space="0" w:color="auto"/>
        <w:right w:val="none" w:sz="0" w:space="0" w:color="auto"/>
      </w:divBdr>
    </w:div>
    <w:div w:id="1484657446">
      <w:bodyDiv w:val="1"/>
      <w:marLeft w:val="0"/>
      <w:marRight w:val="0"/>
      <w:marTop w:val="0"/>
      <w:marBottom w:val="0"/>
      <w:divBdr>
        <w:top w:val="none" w:sz="0" w:space="0" w:color="auto"/>
        <w:left w:val="none" w:sz="0" w:space="0" w:color="auto"/>
        <w:bottom w:val="none" w:sz="0" w:space="0" w:color="auto"/>
        <w:right w:val="none" w:sz="0" w:space="0" w:color="auto"/>
      </w:divBdr>
    </w:div>
    <w:div w:id="1486361646">
      <w:bodyDiv w:val="1"/>
      <w:marLeft w:val="0"/>
      <w:marRight w:val="0"/>
      <w:marTop w:val="0"/>
      <w:marBottom w:val="0"/>
      <w:divBdr>
        <w:top w:val="none" w:sz="0" w:space="0" w:color="auto"/>
        <w:left w:val="none" w:sz="0" w:space="0" w:color="auto"/>
        <w:bottom w:val="none" w:sz="0" w:space="0" w:color="auto"/>
        <w:right w:val="none" w:sz="0" w:space="0" w:color="auto"/>
      </w:divBdr>
    </w:div>
    <w:div w:id="1530492430">
      <w:bodyDiv w:val="1"/>
      <w:marLeft w:val="0"/>
      <w:marRight w:val="0"/>
      <w:marTop w:val="0"/>
      <w:marBottom w:val="0"/>
      <w:divBdr>
        <w:top w:val="none" w:sz="0" w:space="0" w:color="auto"/>
        <w:left w:val="none" w:sz="0" w:space="0" w:color="auto"/>
        <w:bottom w:val="none" w:sz="0" w:space="0" w:color="auto"/>
        <w:right w:val="none" w:sz="0" w:space="0" w:color="auto"/>
      </w:divBdr>
    </w:div>
    <w:div w:id="1555198307">
      <w:bodyDiv w:val="1"/>
      <w:marLeft w:val="0"/>
      <w:marRight w:val="0"/>
      <w:marTop w:val="0"/>
      <w:marBottom w:val="0"/>
      <w:divBdr>
        <w:top w:val="none" w:sz="0" w:space="0" w:color="auto"/>
        <w:left w:val="none" w:sz="0" w:space="0" w:color="auto"/>
        <w:bottom w:val="none" w:sz="0" w:space="0" w:color="auto"/>
        <w:right w:val="none" w:sz="0" w:space="0" w:color="auto"/>
      </w:divBdr>
    </w:div>
    <w:div w:id="1706707636">
      <w:bodyDiv w:val="1"/>
      <w:marLeft w:val="0"/>
      <w:marRight w:val="0"/>
      <w:marTop w:val="0"/>
      <w:marBottom w:val="0"/>
      <w:divBdr>
        <w:top w:val="none" w:sz="0" w:space="0" w:color="auto"/>
        <w:left w:val="none" w:sz="0" w:space="0" w:color="auto"/>
        <w:bottom w:val="none" w:sz="0" w:space="0" w:color="auto"/>
        <w:right w:val="none" w:sz="0" w:space="0" w:color="auto"/>
      </w:divBdr>
    </w:div>
    <w:div w:id="1711831811">
      <w:bodyDiv w:val="1"/>
      <w:marLeft w:val="0"/>
      <w:marRight w:val="0"/>
      <w:marTop w:val="0"/>
      <w:marBottom w:val="0"/>
      <w:divBdr>
        <w:top w:val="none" w:sz="0" w:space="0" w:color="auto"/>
        <w:left w:val="none" w:sz="0" w:space="0" w:color="auto"/>
        <w:bottom w:val="none" w:sz="0" w:space="0" w:color="auto"/>
        <w:right w:val="none" w:sz="0" w:space="0" w:color="auto"/>
      </w:divBdr>
    </w:div>
    <w:div w:id="1719741003">
      <w:bodyDiv w:val="1"/>
      <w:marLeft w:val="0"/>
      <w:marRight w:val="0"/>
      <w:marTop w:val="0"/>
      <w:marBottom w:val="0"/>
      <w:divBdr>
        <w:top w:val="none" w:sz="0" w:space="0" w:color="auto"/>
        <w:left w:val="none" w:sz="0" w:space="0" w:color="auto"/>
        <w:bottom w:val="none" w:sz="0" w:space="0" w:color="auto"/>
        <w:right w:val="none" w:sz="0" w:space="0" w:color="auto"/>
      </w:divBdr>
    </w:div>
    <w:div w:id="1739135824">
      <w:bodyDiv w:val="1"/>
      <w:marLeft w:val="0"/>
      <w:marRight w:val="0"/>
      <w:marTop w:val="0"/>
      <w:marBottom w:val="0"/>
      <w:divBdr>
        <w:top w:val="none" w:sz="0" w:space="0" w:color="auto"/>
        <w:left w:val="none" w:sz="0" w:space="0" w:color="auto"/>
        <w:bottom w:val="none" w:sz="0" w:space="0" w:color="auto"/>
        <w:right w:val="none" w:sz="0" w:space="0" w:color="auto"/>
      </w:divBdr>
    </w:div>
    <w:div w:id="1766489341">
      <w:bodyDiv w:val="1"/>
      <w:marLeft w:val="0"/>
      <w:marRight w:val="0"/>
      <w:marTop w:val="0"/>
      <w:marBottom w:val="0"/>
      <w:divBdr>
        <w:top w:val="none" w:sz="0" w:space="0" w:color="auto"/>
        <w:left w:val="none" w:sz="0" w:space="0" w:color="auto"/>
        <w:bottom w:val="none" w:sz="0" w:space="0" w:color="auto"/>
        <w:right w:val="none" w:sz="0" w:space="0" w:color="auto"/>
      </w:divBdr>
    </w:div>
    <w:div w:id="1779566942">
      <w:bodyDiv w:val="1"/>
      <w:marLeft w:val="0"/>
      <w:marRight w:val="0"/>
      <w:marTop w:val="0"/>
      <w:marBottom w:val="0"/>
      <w:divBdr>
        <w:top w:val="none" w:sz="0" w:space="0" w:color="auto"/>
        <w:left w:val="none" w:sz="0" w:space="0" w:color="auto"/>
        <w:bottom w:val="none" w:sz="0" w:space="0" w:color="auto"/>
        <w:right w:val="none" w:sz="0" w:space="0" w:color="auto"/>
      </w:divBdr>
    </w:div>
    <w:div w:id="1829592974">
      <w:bodyDiv w:val="1"/>
      <w:marLeft w:val="0"/>
      <w:marRight w:val="0"/>
      <w:marTop w:val="0"/>
      <w:marBottom w:val="0"/>
      <w:divBdr>
        <w:top w:val="none" w:sz="0" w:space="0" w:color="auto"/>
        <w:left w:val="none" w:sz="0" w:space="0" w:color="auto"/>
        <w:bottom w:val="none" w:sz="0" w:space="0" w:color="auto"/>
        <w:right w:val="none" w:sz="0" w:space="0" w:color="auto"/>
      </w:divBdr>
    </w:div>
    <w:div w:id="1894540586">
      <w:bodyDiv w:val="1"/>
      <w:marLeft w:val="0"/>
      <w:marRight w:val="0"/>
      <w:marTop w:val="0"/>
      <w:marBottom w:val="0"/>
      <w:divBdr>
        <w:top w:val="none" w:sz="0" w:space="0" w:color="auto"/>
        <w:left w:val="none" w:sz="0" w:space="0" w:color="auto"/>
        <w:bottom w:val="none" w:sz="0" w:space="0" w:color="auto"/>
        <w:right w:val="none" w:sz="0" w:space="0" w:color="auto"/>
      </w:divBdr>
    </w:div>
    <w:div w:id="1982152782">
      <w:bodyDiv w:val="1"/>
      <w:marLeft w:val="0"/>
      <w:marRight w:val="0"/>
      <w:marTop w:val="0"/>
      <w:marBottom w:val="0"/>
      <w:divBdr>
        <w:top w:val="none" w:sz="0" w:space="0" w:color="auto"/>
        <w:left w:val="none" w:sz="0" w:space="0" w:color="auto"/>
        <w:bottom w:val="none" w:sz="0" w:space="0" w:color="auto"/>
        <w:right w:val="none" w:sz="0" w:space="0" w:color="auto"/>
      </w:divBdr>
    </w:div>
    <w:div w:id="1992442348">
      <w:bodyDiv w:val="1"/>
      <w:marLeft w:val="0"/>
      <w:marRight w:val="0"/>
      <w:marTop w:val="0"/>
      <w:marBottom w:val="0"/>
      <w:divBdr>
        <w:top w:val="none" w:sz="0" w:space="0" w:color="auto"/>
        <w:left w:val="none" w:sz="0" w:space="0" w:color="auto"/>
        <w:bottom w:val="none" w:sz="0" w:space="0" w:color="auto"/>
        <w:right w:val="none" w:sz="0" w:space="0" w:color="auto"/>
      </w:divBdr>
    </w:div>
    <w:div w:id="2004892416">
      <w:bodyDiv w:val="1"/>
      <w:marLeft w:val="0"/>
      <w:marRight w:val="0"/>
      <w:marTop w:val="0"/>
      <w:marBottom w:val="0"/>
      <w:divBdr>
        <w:top w:val="none" w:sz="0" w:space="0" w:color="auto"/>
        <w:left w:val="none" w:sz="0" w:space="0" w:color="auto"/>
        <w:bottom w:val="none" w:sz="0" w:space="0" w:color="auto"/>
        <w:right w:val="none" w:sz="0" w:space="0" w:color="auto"/>
      </w:divBdr>
    </w:div>
    <w:div w:id="2117823007">
      <w:bodyDiv w:val="1"/>
      <w:marLeft w:val="0"/>
      <w:marRight w:val="0"/>
      <w:marTop w:val="0"/>
      <w:marBottom w:val="0"/>
      <w:divBdr>
        <w:top w:val="none" w:sz="0" w:space="0" w:color="auto"/>
        <w:left w:val="none" w:sz="0" w:space="0" w:color="auto"/>
        <w:bottom w:val="none" w:sz="0" w:space="0" w:color="auto"/>
        <w:right w:val="none" w:sz="0" w:space="0" w:color="auto"/>
      </w:divBdr>
    </w:div>
    <w:div w:id="213694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266B4D9771534EBDA83F999C90AB40"/>
        <w:category>
          <w:name w:val="General"/>
          <w:gallery w:val="placeholder"/>
        </w:category>
        <w:types>
          <w:type w:val="bbPlcHdr"/>
        </w:types>
        <w:behaviors>
          <w:behavior w:val="content"/>
        </w:behaviors>
        <w:guid w:val="{E46CA7C8-5583-7541-82E5-22F12E31FEB0}"/>
      </w:docPartPr>
      <w:docPartBody>
        <w:p w:rsidR="00907843" w:rsidRDefault="00506F67" w:rsidP="00506F67">
          <w:pPr>
            <w:pStyle w:val="33266B4D9771534EBDA83F999C90AB40"/>
          </w:pPr>
          <w:r w:rsidRPr="0044160D">
            <w:rPr>
              <w:rStyle w:val="PlaceholderText"/>
            </w:rPr>
            <w:t>Click or tap here to enter text.</w:t>
          </w:r>
        </w:p>
      </w:docPartBody>
    </w:docPart>
    <w:docPart>
      <w:docPartPr>
        <w:name w:val="FEED36B62C3E8443835C8740037F321D"/>
        <w:category>
          <w:name w:val="General"/>
          <w:gallery w:val="placeholder"/>
        </w:category>
        <w:types>
          <w:type w:val="bbPlcHdr"/>
        </w:types>
        <w:behaviors>
          <w:behavior w:val="content"/>
        </w:behaviors>
        <w:guid w:val="{6AA5C7D1-7DB5-2244-93D7-B84E72FF05C8}"/>
      </w:docPartPr>
      <w:docPartBody>
        <w:p w:rsidR="00907843" w:rsidRDefault="00506F67" w:rsidP="00506F67">
          <w:pPr>
            <w:pStyle w:val="FEED36B62C3E8443835C8740037F321D"/>
          </w:pPr>
          <w:r w:rsidRPr="0044160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069C222-EC1F-FC4A-B01D-824965E5C1B0}"/>
      </w:docPartPr>
      <w:docPartBody>
        <w:p w:rsidR="003624C1" w:rsidRDefault="007F11F6">
          <w:r w:rsidRPr="00736B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F67"/>
    <w:rsid w:val="003624C1"/>
    <w:rsid w:val="003F0B57"/>
    <w:rsid w:val="00506F67"/>
    <w:rsid w:val="005E08EF"/>
    <w:rsid w:val="00660F86"/>
    <w:rsid w:val="006C2E8A"/>
    <w:rsid w:val="007314C1"/>
    <w:rsid w:val="007459F7"/>
    <w:rsid w:val="007F11F6"/>
    <w:rsid w:val="00896D81"/>
    <w:rsid w:val="008E30F0"/>
    <w:rsid w:val="00907843"/>
    <w:rsid w:val="00A32928"/>
    <w:rsid w:val="00BC0A0A"/>
    <w:rsid w:val="00BC4061"/>
    <w:rsid w:val="00DB42DE"/>
    <w:rsid w:val="00E807BD"/>
    <w:rsid w:val="00EE06E4"/>
    <w:rsid w:val="00F84CC8"/>
    <w:rsid w:val="00FA50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0B57"/>
    <w:rPr>
      <w:color w:val="808080"/>
    </w:rPr>
  </w:style>
  <w:style w:type="paragraph" w:customStyle="1" w:styleId="33266B4D9771534EBDA83F999C90AB40">
    <w:name w:val="33266B4D9771534EBDA83F999C90AB40"/>
    <w:rsid w:val="00506F67"/>
  </w:style>
  <w:style w:type="paragraph" w:customStyle="1" w:styleId="FEED36B62C3E8443835C8740037F321D">
    <w:name w:val="FEED36B62C3E8443835C8740037F321D"/>
    <w:rsid w:val="00506F67"/>
  </w:style>
  <w:style w:type="paragraph" w:customStyle="1" w:styleId="3A5B4545D56C014BAF110321BA59EFB5">
    <w:name w:val="3A5B4545D56C014BAF110321BA59EFB5"/>
    <w:rsid w:val="00745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1C5F1C2-D7A7-9745-97B5-5DFA41731CC8}">
  <we:reference id="wa104380917" version="1.0.1.0" store="en-GB" storeType="OMEX"/>
  <we:alternateReferences>
    <we:reference id="wa104380917" version="1.0.1.0" store="wa10438091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26F35-196D-4AD5-A274-098734EC5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Cabalag Carlos</dc:creator>
  <cp:keywords/>
  <dc:description/>
  <cp:lastModifiedBy>Carlos Cabalag</cp:lastModifiedBy>
  <cp:revision>15</cp:revision>
  <dcterms:created xsi:type="dcterms:W3CDTF">2021-11-08T00:10:00Z</dcterms:created>
  <dcterms:modified xsi:type="dcterms:W3CDTF">2022-03-18T01:11:00Z</dcterms:modified>
</cp:coreProperties>
</file>