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312"/>
        </w:tabs>
        <w:jc w:val="left"/>
        <w:rPr>
          <w:rFonts w:hint="eastAsia" w:eastAsia="宋体"/>
          <w:bCs/>
          <w:sz w:val="21"/>
          <w:szCs w:val="21"/>
          <w:lang w:val="en-US" w:eastAsia="zh-CN"/>
        </w:rPr>
      </w:pPr>
      <w:bookmarkStart w:id="1" w:name="_GoBack"/>
      <w:bookmarkEnd w:id="1"/>
    </w:p>
    <w:p>
      <w:pPr>
        <w:widowControl/>
        <w:tabs>
          <w:tab w:val="left" w:pos="312"/>
        </w:tabs>
        <w:jc w:val="left"/>
        <w:rPr>
          <w:rFonts w:hint="eastAsia" w:eastAsia="宋体"/>
          <w:bCs/>
          <w:sz w:val="21"/>
          <w:szCs w:val="21"/>
          <w:lang w:val="en-US" w:eastAsia="zh-CN"/>
        </w:rPr>
      </w:pPr>
    </w:p>
    <w:tbl>
      <w:tblPr>
        <w:tblStyle w:val="6"/>
        <w:tblW w:w="8966" w:type="dxa"/>
        <w:tblInd w:w="-176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800"/>
        <w:gridCol w:w="1762"/>
        <w:gridCol w:w="1075"/>
        <w:gridCol w:w="850"/>
        <w:gridCol w:w="1725"/>
        <w:gridCol w:w="1066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6" w:type="dxa"/>
            <w:gridSpan w:val="7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宋体"/>
              </w:rPr>
            </w:pPr>
            <w:r>
              <w:rPr>
                <w:rFonts w:hint="eastAsia"/>
                <w:b/>
                <w:bCs/>
              </w:rPr>
              <w:t>Supplementary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Table 2</w:t>
            </w:r>
            <w:r>
              <w:t xml:space="preserve">. </w:t>
            </w:r>
            <w:bookmarkStart w:id="0" w:name="OLE_LINK20"/>
            <w:r>
              <w:rPr>
                <w:rFonts w:hint="eastAsia"/>
              </w:rPr>
              <w:t>Univariate and multivariate Cox regression analys</w:t>
            </w:r>
            <w:r>
              <w:rPr>
                <w:rFonts w:hint="eastAsia" w:eastAsia="宋体"/>
                <w:lang w:val="en-US" w:eastAsia="zh-CN"/>
              </w:rPr>
              <w:t>i</w:t>
            </w:r>
            <w:r>
              <w:rPr>
                <w:rFonts w:hint="eastAsia"/>
              </w:rPr>
              <w:t xml:space="preserve">s for </w:t>
            </w:r>
            <w:r>
              <w:rPr>
                <w:rFonts w:hint="eastAsia" w:eastAsia="宋体"/>
                <w:lang w:val="en-US" w:eastAsia="zh-CN"/>
              </w:rPr>
              <w:t>c</w:t>
            </w:r>
            <w:r>
              <w:rPr>
                <w:rFonts w:hint="eastAsia"/>
              </w:rPr>
              <w:t>linical treatment modalit</w:t>
            </w:r>
            <w:r>
              <w:rPr>
                <w:rFonts w:hint="eastAsia" w:eastAsia="宋体"/>
                <w:lang w:val="en-US" w:eastAsia="zh-CN"/>
              </w:rPr>
              <w:t>ies</w:t>
            </w:r>
            <w:bookmarkEnd w:id="0"/>
            <w:r>
              <w:rPr>
                <w:rFonts w:hint="eastAsia"/>
              </w:rPr>
              <w:t xml:space="preserve"> affecting patient survival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Variables</w:t>
            </w:r>
          </w:p>
        </w:tc>
        <w:tc>
          <w:tcPr>
            <w:tcW w:w="3637" w:type="dxa"/>
            <w:gridSpan w:val="3"/>
            <w:tcBorders>
              <w:top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Univariate</w:t>
            </w:r>
          </w:p>
        </w:tc>
        <w:tc>
          <w:tcPr>
            <w:tcW w:w="3641" w:type="dxa"/>
            <w:gridSpan w:val="3"/>
            <w:tcBorders>
              <w:top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Multivariate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continue"/>
            <w:tcBorders>
              <w:bottom w:val="single" w:color="000000" w:sz="6" w:space="0"/>
            </w:tcBorders>
            <w:noWrap w:val="0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00" w:type="dxa"/>
            <w:tcBorders>
              <w:top w:val="single" w:color="auto" w:sz="6" w:space="0"/>
              <w:bottom w:val="single" w:color="000000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HR</w:t>
            </w:r>
          </w:p>
        </w:tc>
        <w:tc>
          <w:tcPr>
            <w:tcW w:w="176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95% CI</w:t>
            </w:r>
          </w:p>
        </w:tc>
        <w:tc>
          <w:tcPr>
            <w:tcW w:w="1075" w:type="dxa"/>
            <w:tcBorders>
              <w:top w:val="single" w:color="auto" w:sz="6" w:space="0"/>
              <w:bottom w:val="single" w:color="000000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i/>
                <w:iCs/>
                <w:sz w:val="21"/>
                <w:szCs w:val="21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000000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HR</w:t>
            </w:r>
          </w:p>
        </w:tc>
        <w:tc>
          <w:tcPr>
            <w:tcW w:w="1725" w:type="dxa"/>
            <w:tcBorders>
              <w:top w:val="single" w:color="auto" w:sz="6" w:space="0"/>
              <w:bottom w:val="single" w:color="000000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iCs/>
                <w:sz w:val="21"/>
                <w:szCs w:val="21"/>
                <w:lang w:val="en-US"/>
              </w:rPr>
            </w:pPr>
            <w:r>
              <w:rPr>
                <w:rFonts w:eastAsia="宋体"/>
                <w:iCs/>
                <w:sz w:val="21"/>
                <w:szCs w:val="21"/>
                <w:lang w:val="en-US"/>
              </w:rPr>
              <w:t>95% CI</w:t>
            </w:r>
          </w:p>
        </w:tc>
        <w:tc>
          <w:tcPr>
            <w:tcW w:w="1066" w:type="dxa"/>
            <w:tcBorders>
              <w:top w:val="single" w:color="auto" w:sz="6" w:space="0"/>
              <w:bottom w:val="single" w:color="000000" w:sz="6" w:space="0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i/>
                <w:sz w:val="21"/>
                <w:szCs w:val="21"/>
                <w:lang w:val="en-US"/>
              </w:rPr>
            </w:pPr>
            <w:r>
              <w:rPr>
                <w:rFonts w:eastAsia="宋体"/>
                <w:i/>
                <w:iCs/>
                <w:sz w:val="21"/>
                <w:szCs w:val="21"/>
                <w:lang w:val="en-US"/>
              </w:rPr>
              <w:t>P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Sex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Male</w:t>
            </w:r>
          </w:p>
        </w:tc>
        <w:tc>
          <w:tcPr>
            <w:tcW w:w="3637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Female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0.470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(0.328-0.673)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&lt;</w:t>
            </w:r>
            <w:r>
              <w:rPr>
                <w:rFonts w:eastAsia="宋体"/>
                <w:sz w:val="21"/>
                <w:szCs w:val="21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0.46</w:t>
            </w:r>
          </w:p>
        </w:tc>
        <w:tc>
          <w:tcPr>
            <w:tcW w:w="172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(0.318-0.665)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textAlignment w:val="center"/>
              <w:rPr>
                <w:rFonts w:eastAsia="宋体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&lt;</w:t>
            </w:r>
            <w:r>
              <w:rPr>
                <w:rFonts w:eastAsia="宋体"/>
                <w:sz w:val="21"/>
                <w:szCs w:val="21"/>
                <w:lang w:val="en-US"/>
              </w:rPr>
              <w:t>0.001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Age, years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&lt;75</w:t>
            </w:r>
          </w:p>
        </w:tc>
        <w:tc>
          <w:tcPr>
            <w:tcW w:w="3637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≥75</w:t>
            </w:r>
          </w:p>
        </w:tc>
        <w:tc>
          <w:tcPr>
            <w:tcW w:w="800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1.793</w:t>
            </w:r>
          </w:p>
        </w:tc>
        <w:tc>
          <w:tcPr>
            <w:tcW w:w="1762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(1.114-2.886)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1.987</w:t>
            </w:r>
          </w:p>
        </w:tc>
        <w:tc>
          <w:tcPr>
            <w:tcW w:w="172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(1.225-3.224)</w:t>
            </w:r>
          </w:p>
        </w:tc>
        <w:tc>
          <w:tcPr>
            <w:tcW w:w="1066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0.005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Pathologic differentiation grade</w:t>
            </w:r>
          </w:p>
        </w:tc>
        <w:tc>
          <w:tcPr>
            <w:tcW w:w="800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Calibri"/>
                <w:sz w:val="21"/>
                <w:szCs w:val="21"/>
                <w:lang w:val="en-US" w:eastAsia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Well G1</w:t>
            </w:r>
          </w:p>
        </w:tc>
        <w:tc>
          <w:tcPr>
            <w:tcW w:w="3637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Moderate G2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1.442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(0.982-2.118)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0.062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highlight w:val="green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Poor or undifferentiated G3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1.553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(1.063-2.269)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Lymphovascular invasion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ind w:right="440"/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Yes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No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0.664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(0.512-0.862)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0.002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0.718</w:t>
            </w:r>
          </w:p>
        </w:tc>
        <w:tc>
          <w:tcPr>
            <w:tcW w:w="172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(0.551-0.936)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0.014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Nerve invasion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Yes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lang w:val="en-US"/>
              </w:rPr>
              <w:t>Ref.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No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0.745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(0.571-0.971)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0.03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0.956</w:t>
            </w:r>
          </w:p>
        </w:tc>
        <w:tc>
          <w:tcPr>
            <w:tcW w:w="172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(0.727-1.258)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0.749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Tumor location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0.079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spacing w:before="16"/>
              <w:ind w:left="112"/>
              <w:jc w:val="right"/>
              <w:rPr>
                <w:sz w:val="21"/>
                <w:szCs w:val="21"/>
                <w:lang w:val="en-US" w:eastAsia="en-US" w:bidi="en-US"/>
              </w:rPr>
            </w:pPr>
            <w:r>
              <w:rPr>
                <w:rFonts w:eastAsia="宋体"/>
                <w:sz w:val="21"/>
                <w:szCs w:val="21"/>
                <w:lang w:val="en-US" w:eastAsia="en-US" w:bidi="en-US"/>
              </w:rPr>
              <w:t>Upper</w:t>
            </w:r>
          </w:p>
        </w:tc>
        <w:tc>
          <w:tcPr>
            <w:tcW w:w="3637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spacing w:before="15"/>
              <w:ind w:left="112"/>
              <w:jc w:val="right"/>
              <w:rPr>
                <w:sz w:val="21"/>
                <w:szCs w:val="21"/>
                <w:lang w:val="en-US" w:eastAsia="en-US" w:bidi="en-US"/>
              </w:rPr>
            </w:pPr>
            <w:r>
              <w:rPr>
                <w:rFonts w:eastAsia="宋体"/>
                <w:sz w:val="21"/>
                <w:szCs w:val="21"/>
                <w:lang w:val="en-US" w:eastAsia="en-US" w:bidi="en-US"/>
              </w:rPr>
              <w:t>Middle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1.071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(0.821-1.397)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0.611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spacing w:before="16"/>
              <w:ind w:left="112"/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 w:eastAsia="en-US" w:bidi="en-US"/>
              </w:rPr>
              <w:t>Lower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0.783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(0.567-1.081)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0.137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 w:bidi="en-US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 xml:space="preserve">Pathological </w:t>
            </w:r>
            <w:r>
              <w:rPr>
                <w:rFonts w:eastAsia="宋体"/>
                <w:sz w:val="21"/>
                <w:szCs w:val="21"/>
                <w:lang w:val="en-US"/>
              </w:rPr>
              <w:t xml:space="preserve">T </w:t>
            </w:r>
            <w:r>
              <w:rPr>
                <w:rFonts w:hint="eastAsia" w:eastAsia="宋体"/>
                <w:lang w:val="en-US"/>
              </w:rPr>
              <w:t>category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en-US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T1/T2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top w:val="nil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T3/T4</w:t>
            </w:r>
          </w:p>
        </w:tc>
        <w:tc>
          <w:tcPr>
            <w:tcW w:w="800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2.956</w:t>
            </w:r>
          </w:p>
        </w:tc>
        <w:tc>
          <w:tcPr>
            <w:tcW w:w="1762" w:type="dxa"/>
            <w:tcBorders>
              <w:top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(1.393-6.272)</w:t>
            </w:r>
          </w:p>
        </w:tc>
        <w:tc>
          <w:tcPr>
            <w:tcW w:w="1075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&lt;</w:t>
            </w:r>
            <w:r>
              <w:rPr>
                <w:rFonts w:eastAsia="宋体"/>
                <w:sz w:val="21"/>
                <w:szCs w:val="21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1.864</w:t>
            </w:r>
          </w:p>
        </w:tc>
        <w:tc>
          <w:tcPr>
            <w:tcW w:w="172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(1.375-2.526)</w:t>
            </w:r>
          </w:p>
        </w:tc>
        <w:tc>
          <w:tcPr>
            <w:tcW w:w="1066" w:type="dxa"/>
            <w:tcBorders>
              <w:top w:val="nil"/>
            </w:tcBorders>
            <w:noWrap w:val="0"/>
            <w:vAlign w:val="top"/>
          </w:tcPr>
          <w:p>
            <w:pPr>
              <w:textAlignment w:val="center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&lt;</w:t>
            </w:r>
            <w:r>
              <w:rPr>
                <w:rFonts w:eastAsia="宋体"/>
                <w:sz w:val="21"/>
                <w:szCs w:val="21"/>
                <w:lang w:val="en-US"/>
              </w:rPr>
              <w:t>0.001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8th TNM stage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微软雅黑"/>
                <w:sz w:val="21"/>
                <w:szCs w:val="21"/>
                <w:lang w:val="en-US" w:bidi="ar"/>
              </w:rPr>
              <w:t>Ⅱ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Calibri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Calibri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8" w:type="dxa"/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微软雅黑"/>
                <w:sz w:val="21"/>
                <w:szCs w:val="21"/>
                <w:lang w:val="en-US" w:bidi="ar"/>
              </w:rPr>
              <w:t>Ⅲ/IV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2.726</w:t>
            </w:r>
          </w:p>
        </w:tc>
        <w:tc>
          <w:tcPr>
            <w:tcW w:w="176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(1.289-5.766)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0.009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1.69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(0.763-3.74)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0.196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Thoracic surgery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left="288"/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MIE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left="288"/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OE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1.076</w:t>
            </w:r>
          </w:p>
        </w:tc>
        <w:tc>
          <w:tcPr>
            <w:tcW w:w="176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(0.863-1.342)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0.515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Abdominal surgery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left="288"/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MIE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Ref.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left="288"/>
              <w:jc w:val="right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OE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1.086</w:t>
            </w:r>
          </w:p>
        </w:tc>
        <w:tc>
          <w:tcPr>
            <w:tcW w:w="176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(0.865-1.364)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0.476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Clinical treatment modality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bidi="ar"/>
              </w:rPr>
              <w:t>0.007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0.001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color w:val="000000"/>
                <w:sz w:val="21"/>
                <w:szCs w:val="21"/>
                <w:lang w:val="en-US" w:bidi="ar"/>
              </w:rPr>
              <w:t>Surgery alone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Ref.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right="105"/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color w:val="000000"/>
                <w:sz w:val="21"/>
                <w:szCs w:val="21"/>
                <w:lang w:val="en-US" w:bidi="ar"/>
              </w:rPr>
              <w:t xml:space="preserve">Surgery plus postoperative RT 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0.252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(0.093-0.680)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0.007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0.231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(0.085-0.626)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0.004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right="105"/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color w:val="000000"/>
                <w:sz w:val="21"/>
                <w:szCs w:val="21"/>
                <w:lang w:val="en-US" w:bidi="ar"/>
              </w:rPr>
              <w:t>Surgery plus postoperative CT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0.833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(0.659-1.052)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0.125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0.801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(0.633-1.014)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0.065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ind w:right="105"/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color w:val="000000"/>
                <w:sz w:val="21"/>
                <w:szCs w:val="21"/>
                <w:lang w:val="en-US" w:bidi="ar"/>
              </w:rPr>
              <w:t>Surgery plus postoperative CRT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0.684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(0.493-0.949)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0.023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0.599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(0.43-0.834)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0.002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The number of LNM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1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Ref.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Ref.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2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1.391</w:t>
            </w:r>
          </w:p>
        </w:tc>
        <w:tc>
          <w:tcPr>
            <w:tcW w:w="176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(1.120-1.727)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0.003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1.178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(0.853-1.627)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0.32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The number of LN station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1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Ref.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Ref.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eastAsia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jc w:val="right"/>
              <w:textAlignment w:val="center"/>
              <w:rPr>
                <w:rFonts w:eastAsia="宋体"/>
                <w:sz w:val="21"/>
                <w:szCs w:val="21"/>
                <w:lang w:val="en-US" w:bidi="ar"/>
              </w:rPr>
            </w:pPr>
            <w:r>
              <w:rPr>
                <w:rFonts w:eastAsia="宋体"/>
                <w:sz w:val="21"/>
                <w:szCs w:val="21"/>
                <w:lang w:val="en-US" w:bidi="ar"/>
              </w:rPr>
              <w:t>2</w:t>
            </w:r>
          </w:p>
        </w:tc>
        <w:tc>
          <w:tcPr>
            <w:tcW w:w="800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1.584</w:t>
            </w:r>
          </w:p>
        </w:tc>
        <w:tc>
          <w:tcPr>
            <w:tcW w:w="1762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eastAsia="宋体"/>
                <w:kern w:val="0"/>
                <w:sz w:val="21"/>
                <w:szCs w:val="21"/>
                <w:lang w:val="en-US" w:bidi="ar"/>
              </w:rPr>
              <w:t>(1.272-1.973)</w:t>
            </w:r>
          </w:p>
        </w:tc>
        <w:tc>
          <w:tcPr>
            <w:tcW w:w="1075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hint="eastAsia" w:eastAsia="宋体"/>
                <w:sz w:val="21"/>
                <w:szCs w:val="21"/>
                <w:lang w:val="en-US"/>
              </w:rPr>
              <w:t>&lt;</w:t>
            </w:r>
            <w:r>
              <w:rPr>
                <w:rFonts w:eastAsia="宋体"/>
                <w:sz w:val="21"/>
                <w:szCs w:val="21"/>
                <w:lang w:val="en-US"/>
              </w:rPr>
              <w:t>0.001</w:t>
            </w:r>
          </w:p>
        </w:tc>
        <w:tc>
          <w:tcPr>
            <w:tcW w:w="850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1.23</w:t>
            </w:r>
          </w:p>
        </w:tc>
        <w:tc>
          <w:tcPr>
            <w:tcW w:w="1725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(0.884-1.71)</w:t>
            </w:r>
          </w:p>
        </w:tc>
        <w:tc>
          <w:tcPr>
            <w:tcW w:w="1066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eastAsia="宋体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bidi="ar"/>
              </w:rPr>
              <w:t>0.219</w:t>
            </w:r>
          </w:p>
        </w:tc>
      </w:tr>
    </w:tbl>
    <w:p>
      <w:pPr>
        <w:widowControl/>
        <w:spacing w:after="100"/>
        <w:jc w:val="left"/>
        <w:rPr>
          <w:rFonts w:eastAsia="宋体"/>
          <w:color w:val="000000"/>
          <w:kern w:val="0"/>
          <w:lang w:val="en-US"/>
        </w:rPr>
      </w:pPr>
      <w:r>
        <w:rPr>
          <w:rFonts w:eastAsia="宋体"/>
          <w:bCs/>
          <w:sz w:val="21"/>
          <w:szCs w:val="21"/>
          <w:lang w:val="en-US"/>
        </w:rPr>
        <w:t xml:space="preserve">CI: confidence interval; CT: chemotherapy; CRT: chemoradiotherapy; RT: radiotherapy; HR: hazard ratio; LN: lymph node; MIE: </w:t>
      </w:r>
      <w:r>
        <w:rPr>
          <w:rFonts w:hint="eastAsia" w:eastAsia="宋体"/>
          <w:bCs/>
          <w:sz w:val="21"/>
          <w:szCs w:val="21"/>
          <w:lang w:val="en-US"/>
        </w:rPr>
        <w:t xml:space="preserve">minimally invasive esophagectomy; </w:t>
      </w:r>
      <w:r>
        <w:rPr>
          <w:rFonts w:eastAsia="宋体"/>
          <w:bCs/>
          <w:sz w:val="21"/>
          <w:szCs w:val="21"/>
          <w:lang w:val="en-US"/>
        </w:rPr>
        <w:t>OE:</w:t>
      </w:r>
      <w:r>
        <w:rPr>
          <w:rFonts w:hint="eastAsia" w:ascii="Calibri" w:hAnsi="Calibri" w:eastAsia="宋体"/>
          <w:sz w:val="21"/>
          <w:szCs w:val="21"/>
          <w:lang w:val="en-US"/>
        </w:rPr>
        <w:t xml:space="preserve"> open esophagectomy;</w:t>
      </w:r>
      <w:r>
        <w:rPr>
          <w:rFonts w:eastAsia="宋体"/>
          <w:bCs/>
          <w:sz w:val="21"/>
          <w:szCs w:val="21"/>
          <w:lang w:val="en-US"/>
        </w:rPr>
        <w:t xml:space="preserve"> RT: radiotherapy; TNM: tumor, node, metastasis.</w:t>
      </w:r>
    </w:p>
    <w:p>
      <w:pPr>
        <w:widowControl/>
        <w:tabs>
          <w:tab w:val="left" w:pos="312"/>
        </w:tabs>
        <w:jc w:val="left"/>
        <w:rPr>
          <w:rFonts w:hint="eastAsia" w:eastAsia="宋体"/>
          <w:bCs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JansonText L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MjhhZWY3NGIwMzQyM2JkYzliYTZmYTdmNjU0OGMifQ=="/>
  </w:docVars>
  <w:rsids>
    <w:rsidRoot w:val="00172A27"/>
    <w:rsid w:val="00082E39"/>
    <w:rsid w:val="00095338"/>
    <w:rsid w:val="000C7874"/>
    <w:rsid w:val="000E2506"/>
    <w:rsid w:val="00113909"/>
    <w:rsid w:val="00117B89"/>
    <w:rsid w:val="0012343D"/>
    <w:rsid w:val="001523EB"/>
    <w:rsid w:val="00165E45"/>
    <w:rsid w:val="00172A27"/>
    <w:rsid w:val="001740EE"/>
    <w:rsid w:val="001749F7"/>
    <w:rsid w:val="001857CB"/>
    <w:rsid w:val="00194BBA"/>
    <w:rsid w:val="001B4CBC"/>
    <w:rsid w:val="001C63C7"/>
    <w:rsid w:val="00201549"/>
    <w:rsid w:val="002104F7"/>
    <w:rsid w:val="00213C3D"/>
    <w:rsid w:val="00224205"/>
    <w:rsid w:val="002252EC"/>
    <w:rsid w:val="0025147B"/>
    <w:rsid w:val="00265208"/>
    <w:rsid w:val="00267771"/>
    <w:rsid w:val="00287C48"/>
    <w:rsid w:val="00292589"/>
    <w:rsid w:val="00294E3B"/>
    <w:rsid w:val="002962A7"/>
    <w:rsid w:val="002A5385"/>
    <w:rsid w:val="002A5CB5"/>
    <w:rsid w:val="002A7CD0"/>
    <w:rsid w:val="002B1565"/>
    <w:rsid w:val="002C62CA"/>
    <w:rsid w:val="002F5218"/>
    <w:rsid w:val="002F6CE2"/>
    <w:rsid w:val="00302C9D"/>
    <w:rsid w:val="003149E3"/>
    <w:rsid w:val="00316307"/>
    <w:rsid w:val="003274DE"/>
    <w:rsid w:val="003548D0"/>
    <w:rsid w:val="00362BBD"/>
    <w:rsid w:val="003B1677"/>
    <w:rsid w:val="003C2E01"/>
    <w:rsid w:val="003D3072"/>
    <w:rsid w:val="003E59FC"/>
    <w:rsid w:val="003F0DC6"/>
    <w:rsid w:val="00431177"/>
    <w:rsid w:val="00433F3F"/>
    <w:rsid w:val="00442B8F"/>
    <w:rsid w:val="004554AF"/>
    <w:rsid w:val="00460F73"/>
    <w:rsid w:val="00473BC0"/>
    <w:rsid w:val="0047447A"/>
    <w:rsid w:val="00477D3A"/>
    <w:rsid w:val="004860F9"/>
    <w:rsid w:val="004972D6"/>
    <w:rsid w:val="004B2370"/>
    <w:rsid w:val="004C02F8"/>
    <w:rsid w:val="004D3420"/>
    <w:rsid w:val="004E30F3"/>
    <w:rsid w:val="004F63FC"/>
    <w:rsid w:val="00503572"/>
    <w:rsid w:val="00504212"/>
    <w:rsid w:val="00572C44"/>
    <w:rsid w:val="0058235B"/>
    <w:rsid w:val="005A1357"/>
    <w:rsid w:val="005B5DD7"/>
    <w:rsid w:val="005E33E7"/>
    <w:rsid w:val="00607F5E"/>
    <w:rsid w:val="00622226"/>
    <w:rsid w:val="00637037"/>
    <w:rsid w:val="00674191"/>
    <w:rsid w:val="00686D48"/>
    <w:rsid w:val="006A7006"/>
    <w:rsid w:val="006C079C"/>
    <w:rsid w:val="006C500A"/>
    <w:rsid w:val="006E0CDF"/>
    <w:rsid w:val="007026EB"/>
    <w:rsid w:val="0070481F"/>
    <w:rsid w:val="007158DC"/>
    <w:rsid w:val="0073544F"/>
    <w:rsid w:val="00741FFC"/>
    <w:rsid w:val="00766018"/>
    <w:rsid w:val="007751B7"/>
    <w:rsid w:val="00775F1A"/>
    <w:rsid w:val="00777B0C"/>
    <w:rsid w:val="00782536"/>
    <w:rsid w:val="00785AEE"/>
    <w:rsid w:val="00790196"/>
    <w:rsid w:val="00796410"/>
    <w:rsid w:val="0079691D"/>
    <w:rsid w:val="007A1E5E"/>
    <w:rsid w:val="00825B00"/>
    <w:rsid w:val="008425C5"/>
    <w:rsid w:val="008538B4"/>
    <w:rsid w:val="0085511D"/>
    <w:rsid w:val="00864B60"/>
    <w:rsid w:val="00864FDD"/>
    <w:rsid w:val="008663F7"/>
    <w:rsid w:val="008A6F1A"/>
    <w:rsid w:val="008C30D8"/>
    <w:rsid w:val="008E7345"/>
    <w:rsid w:val="008F34BE"/>
    <w:rsid w:val="009130E1"/>
    <w:rsid w:val="00913569"/>
    <w:rsid w:val="0094040D"/>
    <w:rsid w:val="00941E65"/>
    <w:rsid w:val="009554E2"/>
    <w:rsid w:val="00960110"/>
    <w:rsid w:val="00964BD2"/>
    <w:rsid w:val="009850F0"/>
    <w:rsid w:val="0099425F"/>
    <w:rsid w:val="009E3206"/>
    <w:rsid w:val="00A0600E"/>
    <w:rsid w:val="00A12A6E"/>
    <w:rsid w:val="00A14EA5"/>
    <w:rsid w:val="00A15B73"/>
    <w:rsid w:val="00A20510"/>
    <w:rsid w:val="00A24DEA"/>
    <w:rsid w:val="00A25E92"/>
    <w:rsid w:val="00A31607"/>
    <w:rsid w:val="00A321DC"/>
    <w:rsid w:val="00A37532"/>
    <w:rsid w:val="00A73F5A"/>
    <w:rsid w:val="00A824DE"/>
    <w:rsid w:val="00B068D4"/>
    <w:rsid w:val="00B07593"/>
    <w:rsid w:val="00B41114"/>
    <w:rsid w:val="00B81A09"/>
    <w:rsid w:val="00B95A84"/>
    <w:rsid w:val="00BA4C85"/>
    <w:rsid w:val="00BB2110"/>
    <w:rsid w:val="00BB7C9C"/>
    <w:rsid w:val="00BB7F78"/>
    <w:rsid w:val="00BC1C53"/>
    <w:rsid w:val="00C31B67"/>
    <w:rsid w:val="00CB256C"/>
    <w:rsid w:val="00CC1943"/>
    <w:rsid w:val="00CD7421"/>
    <w:rsid w:val="00D25B9B"/>
    <w:rsid w:val="00DB797B"/>
    <w:rsid w:val="00DB7FBF"/>
    <w:rsid w:val="00DF2575"/>
    <w:rsid w:val="00DF3866"/>
    <w:rsid w:val="00E003A0"/>
    <w:rsid w:val="00E040A6"/>
    <w:rsid w:val="00E127E6"/>
    <w:rsid w:val="00E159BF"/>
    <w:rsid w:val="00E438BC"/>
    <w:rsid w:val="00E60C6B"/>
    <w:rsid w:val="00E7655D"/>
    <w:rsid w:val="00E81153"/>
    <w:rsid w:val="00E824DA"/>
    <w:rsid w:val="00E825AC"/>
    <w:rsid w:val="00E830F5"/>
    <w:rsid w:val="00EB0B2F"/>
    <w:rsid w:val="00ED2017"/>
    <w:rsid w:val="00EF4103"/>
    <w:rsid w:val="00F06EAF"/>
    <w:rsid w:val="00F33980"/>
    <w:rsid w:val="00F471AE"/>
    <w:rsid w:val="00F7079D"/>
    <w:rsid w:val="00F72D4A"/>
    <w:rsid w:val="00F748FA"/>
    <w:rsid w:val="00F76907"/>
    <w:rsid w:val="00FA6B55"/>
    <w:rsid w:val="00FC2798"/>
    <w:rsid w:val="00FC4B82"/>
    <w:rsid w:val="00FD20C6"/>
    <w:rsid w:val="00FE36B9"/>
    <w:rsid w:val="00FE4679"/>
    <w:rsid w:val="04DF3A64"/>
    <w:rsid w:val="054A24C3"/>
    <w:rsid w:val="066F3D38"/>
    <w:rsid w:val="08727357"/>
    <w:rsid w:val="08B64E7B"/>
    <w:rsid w:val="09A4094D"/>
    <w:rsid w:val="0B574DB6"/>
    <w:rsid w:val="0BD50C94"/>
    <w:rsid w:val="100F42EE"/>
    <w:rsid w:val="10B22A1E"/>
    <w:rsid w:val="10E35D74"/>
    <w:rsid w:val="131F04FD"/>
    <w:rsid w:val="132B3EFD"/>
    <w:rsid w:val="1349267E"/>
    <w:rsid w:val="13CF183F"/>
    <w:rsid w:val="164E43C7"/>
    <w:rsid w:val="16A4544D"/>
    <w:rsid w:val="19877F21"/>
    <w:rsid w:val="1A3A3858"/>
    <w:rsid w:val="1ABF663C"/>
    <w:rsid w:val="1B75677D"/>
    <w:rsid w:val="1C700645"/>
    <w:rsid w:val="1E2B08DE"/>
    <w:rsid w:val="228A7F52"/>
    <w:rsid w:val="26505C2C"/>
    <w:rsid w:val="269A116F"/>
    <w:rsid w:val="27851C46"/>
    <w:rsid w:val="28A84E0D"/>
    <w:rsid w:val="2A8E4F98"/>
    <w:rsid w:val="2AC86808"/>
    <w:rsid w:val="2BF1089B"/>
    <w:rsid w:val="2C96772F"/>
    <w:rsid w:val="2D1029B3"/>
    <w:rsid w:val="31E572B1"/>
    <w:rsid w:val="340B724C"/>
    <w:rsid w:val="385749BB"/>
    <w:rsid w:val="39C778CB"/>
    <w:rsid w:val="39F753BE"/>
    <w:rsid w:val="3A2A2E17"/>
    <w:rsid w:val="3BFC6367"/>
    <w:rsid w:val="3E7E06CF"/>
    <w:rsid w:val="43794803"/>
    <w:rsid w:val="467D0D60"/>
    <w:rsid w:val="474E7113"/>
    <w:rsid w:val="47E8051D"/>
    <w:rsid w:val="48730DB6"/>
    <w:rsid w:val="48D24DF6"/>
    <w:rsid w:val="49F734D1"/>
    <w:rsid w:val="4A710A4C"/>
    <w:rsid w:val="4B02043E"/>
    <w:rsid w:val="4DD77E24"/>
    <w:rsid w:val="4F21329D"/>
    <w:rsid w:val="4FBB289F"/>
    <w:rsid w:val="50B070F6"/>
    <w:rsid w:val="52B52BC3"/>
    <w:rsid w:val="57BD1397"/>
    <w:rsid w:val="5B4A5A56"/>
    <w:rsid w:val="5EC67292"/>
    <w:rsid w:val="620A28BF"/>
    <w:rsid w:val="63D8483A"/>
    <w:rsid w:val="65B404B3"/>
    <w:rsid w:val="67A823BA"/>
    <w:rsid w:val="67C20B38"/>
    <w:rsid w:val="68A636D2"/>
    <w:rsid w:val="6B834F37"/>
    <w:rsid w:val="6C841835"/>
    <w:rsid w:val="6DAD01A5"/>
    <w:rsid w:val="6E2D429C"/>
    <w:rsid w:val="6EBD5E0B"/>
    <w:rsid w:val="71F72FBF"/>
    <w:rsid w:val="732C3AF9"/>
    <w:rsid w:val="73B45694"/>
    <w:rsid w:val="74BA240E"/>
    <w:rsid w:val="768D1C9D"/>
    <w:rsid w:val="76C22772"/>
    <w:rsid w:val="78116DA7"/>
    <w:rsid w:val="79AC2A01"/>
    <w:rsid w:val="7AC925EF"/>
    <w:rsid w:val="7ACC08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kern w:val="2"/>
      <w:sz w:val="24"/>
      <w:szCs w:val="24"/>
      <w:lang w:val="en-GB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6"/>
    <w:qFormat/>
    <w:uiPriority w:val="0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qFormat/>
    <w:uiPriority w:val="0"/>
    <w:rPr>
      <w:color w:val="954F72"/>
      <w:u w:val="single"/>
    </w:rPr>
  </w:style>
  <w:style w:type="character" w:styleId="10">
    <w:name w:val="Emphasis"/>
    <w:qFormat/>
    <w:uiPriority w:val="0"/>
    <w:rPr>
      <w:i/>
    </w:rPr>
  </w:style>
  <w:style w:type="character" w:styleId="11">
    <w:name w:val="Hyperlink"/>
    <w:unhideWhenUsed/>
    <w:qFormat/>
    <w:uiPriority w:val="0"/>
    <w:rPr>
      <w:color w:val="0563C1"/>
      <w:u w:val="single"/>
    </w:rPr>
  </w:style>
  <w:style w:type="character" w:styleId="12">
    <w:name w:val="annotation reference"/>
    <w:uiPriority w:val="0"/>
    <w:rPr>
      <w:sz w:val="21"/>
      <w:szCs w:val="21"/>
    </w:rPr>
  </w:style>
  <w:style w:type="character" w:customStyle="1" w:styleId="13">
    <w:name w:val="批注文字 字符"/>
    <w:link w:val="2"/>
    <w:qFormat/>
    <w:uiPriority w:val="0"/>
    <w:rPr>
      <w:rFonts w:ascii="Calibri" w:hAnsi="Calibri" w:eastAsia="宋体" w:cs="Times New Roman"/>
      <w:kern w:val="2"/>
      <w:sz w:val="21"/>
      <w:szCs w:val="24"/>
      <w:lang w:val="en-GB"/>
    </w:rPr>
  </w:style>
  <w:style w:type="character" w:customStyle="1" w:styleId="14">
    <w:name w:val="页脚 字符"/>
    <w:link w:val="3"/>
    <w:uiPriority w:val="99"/>
    <w:rPr>
      <w:rFonts w:eastAsia="Times New Roman"/>
      <w:kern w:val="2"/>
      <w:sz w:val="18"/>
      <w:szCs w:val="18"/>
      <w:lang w:val="en-GB"/>
    </w:rPr>
  </w:style>
  <w:style w:type="character" w:customStyle="1" w:styleId="15">
    <w:name w:val="页眉 字符"/>
    <w:link w:val="4"/>
    <w:uiPriority w:val="0"/>
    <w:rPr>
      <w:rFonts w:eastAsia="Times New Roman"/>
      <w:kern w:val="2"/>
      <w:sz w:val="18"/>
      <w:szCs w:val="18"/>
      <w:lang w:val="en-GB"/>
    </w:rPr>
  </w:style>
  <w:style w:type="character" w:customStyle="1" w:styleId="16">
    <w:name w:val="批注主题 字符"/>
    <w:link w:val="5"/>
    <w:qFormat/>
    <w:uiPriority w:val="0"/>
    <w:rPr>
      <w:rFonts w:ascii="Calibri" w:hAnsi="Calibri" w:eastAsia="宋体" w:cs="Times New Roman"/>
      <w:b/>
      <w:bCs/>
      <w:kern w:val="2"/>
      <w:sz w:val="21"/>
      <w:szCs w:val="24"/>
      <w:lang w:val="en-GB"/>
    </w:rPr>
  </w:style>
  <w:style w:type="paragraph" w:customStyle="1" w:styleId="17">
    <w:name w:val="Table Paragraph"/>
    <w:basedOn w:val="1"/>
    <w:qFormat/>
    <w:uiPriority w:val="1"/>
    <w:pPr>
      <w:spacing w:before="16"/>
    </w:pPr>
    <w:rPr>
      <w:rFonts w:cs="Times New Roman"/>
      <w:lang w:val="en-US" w:eastAsia="en-US" w:bidi="en-US"/>
    </w:rPr>
  </w:style>
  <w:style w:type="paragraph" w:customStyle="1" w:styleId="18">
    <w:name w:val="修订1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GB" w:eastAsia="zh-CN" w:bidi="ar-SA"/>
    </w:rPr>
  </w:style>
  <w:style w:type="paragraph" w:customStyle="1" w:styleId="19">
    <w:name w:val="修订2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GB" w:eastAsia="zh-CN" w:bidi="ar-SA"/>
    </w:rPr>
  </w:style>
  <w:style w:type="paragraph" w:customStyle="1" w:styleId="20">
    <w:name w:val="_Style 19"/>
    <w:unhideWhenUsed/>
    <w:uiPriority w:val="99"/>
    <w:rPr>
      <w:rFonts w:ascii="Times New Roman" w:hAnsi="Times New Roman" w:eastAsia="Times New Roman" w:cs="Times New Roman"/>
      <w:kern w:val="2"/>
      <w:sz w:val="24"/>
      <w:szCs w:val="24"/>
      <w:lang w:val="en-GB" w:eastAsia="zh-CN" w:bidi="ar-SA"/>
    </w:rPr>
  </w:style>
  <w:style w:type="character" w:customStyle="1" w:styleId="21">
    <w:name w:val="A0"/>
    <w:qFormat/>
    <w:uiPriority w:val="99"/>
    <w:rPr>
      <w:rFonts w:cs="JansonText LT"/>
      <w:color w:val="000000"/>
      <w:sz w:val="16"/>
      <w:szCs w:val="16"/>
    </w:rPr>
  </w:style>
  <w:style w:type="character" w:customStyle="1" w:styleId="22">
    <w:name w:val="A9"/>
    <w:qFormat/>
    <w:uiPriority w:val="99"/>
    <w:rPr>
      <w:rFonts w:cs="JansonText LT"/>
      <w:b/>
      <w:bCs/>
      <w:i/>
      <w:iCs/>
      <w:color w:val="00000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4599</Words>
  <Characters>26215</Characters>
  <Lines>218</Lines>
  <Paragraphs>61</Paragraphs>
  <TotalTime>458</TotalTime>
  <ScaleCrop>false</ScaleCrop>
  <LinksUpToDate>false</LinksUpToDate>
  <CharactersWithSpaces>30753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2023-06-29T14:55:00Z</dcterms:created>
  <dc:creator>。</dc:creator>
  <cp:lastModifiedBy>Kexun Li</cp:lastModifiedBy>
  <dcterms:modified xsi:type="dcterms:W3CDTF">2023-12-17T13:06:08Z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2E7A39C0A87243B6B866474D80785036_13</vt:lpwstr>
  </property>
  <property fmtid="{D5CDD505-2E9C-101B-9397-08002B2CF9AE}" pid="4" name="ZOTERO_PREF_1">
    <vt:lpwstr>&lt;data data-version="3" zotero-version="6.0.26"&gt;&lt;session id="Y2rWTONV"/&gt;&lt;style id="" hasBibliography="0" bibliographyStyleHasBeenSet="0"/&gt;&lt;prefs/&gt;&lt;/data&gt;</vt:lpwstr>
  </property>
</Properties>
</file>