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F8ABC" w14:textId="513C02E9" w:rsidR="00655D8B" w:rsidRPr="00655D8B" w:rsidRDefault="00655D8B" w:rsidP="00655D8B">
      <w:pPr>
        <w:pStyle w:val="Heading1"/>
        <w:spacing w:line="480" w:lineRule="auto"/>
        <w:rPr>
          <w:rStyle w:val="Heading1Char"/>
          <w:rFonts w:cs="Times New Roman"/>
          <w:b/>
          <w:bCs/>
          <w:sz w:val="28"/>
          <w:szCs w:val="28"/>
        </w:rPr>
      </w:pPr>
      <w:bookmarkStart w:id="0" w:name="_GoBack"/>
      <w:bookmarkEnd w:id="0"/>
      <w:r w:rsidRPr="00655D8B">
        <w:rPr>
          <w:rStyle w:val="Heading1Char"/>
          <w:rFonts w:cs="Times New Roman"/>
          <w:b/>
          <w:bCs/>
          <w:sz w:val="28"/>
          <w:szCs w:val="28"/>
        </w:rPr>
        <w:t xml:space="preserve">Efficacy and </w:t>
      </w:r>
      <w:r w:rsidR="000F041E">
        <w:rPr>
          <w:rStyle w:val="Heading1Char"/>
          <w:rFonts w:cs="Times New Roman"/>
          <w:b/>
          <w:bCs/>
          <w:sz w:val="28"/>
          <w:szCs w:val="28"/>
        </w:rPr>
        <w:t>S</w:t>
      </w:r>
      <w:r w:rsidRPr="00655D8B">
        <w:rPr>
          <w:rStyle w:val="Heading1Char"/>
          <w:rFonts w:cs="Times New Roman"/>
          <w:b/>
          <w:bCs/>
          <w:sz w:val="28"/>
          <w:szCs w:val="28"/>
        </w:rPr>
        <w:t xml:space="preserve">afety of </w:t>
      </w:r>
      <w:r w:rsidR="000F041E">
        <w:rPr>
          <w:rStyle w:val="Heading1Char"/>
          <w:rFonts w:cs="Times New Roman"/>
          <w:b/>
          <w:bCs/>
          <w:sz w:val="28"/>
          <w:szCs w:val="28"/>
        </w:rPr>
        <w:t>the M</w:t>
      </w:r>
      <w:r w:rsidRPr="00655D8B">
        <w:rPr>
          <w:rStyle w:val="Heading1Char"/>
          <w:rFonts w:cs="Times New Roman"/>
          <w:b/>
          <w:bCs/>
          <w:sz w:val="28"/>
          <w:szCs w:val="28"/>
        </w:rPr>
        <w:t xml:space="preserve">elphalan/Hepatic Delivery System in </w:t>
      </w:r>
      <w:r w:rsidR="000F041E">
        <w:rPr>
          <w:rStyle w:val="Heading1Char"/>
          <w:rFonts w:cs="Times New Roman"/>
          <w:b/>
          <w:bCs/>
          <w:sz w:val="28"/>
          <w:szCs w:val="28"/>
        </w:rPr>
        <w:t>P</w:t>
      </w:r>
      <w:r w:rsidRPr="00655D8B">
        <w:rPr>
          <w:rStyle w:val="Heading1Char"/>
          <w:rFonts w:cs="Times New Roman"/>
          <w:b/>
          <w:bCs/>
          <w:sz w:val="28"/>
          <w:szCs w:val="28"/>
        </w:rPr>
        <w:t xml:space="preserve">atients with </w:t>
      </w:r>
      <w:r w:rsidR="000F041E">
        <w:rPr>
          <w:rStyle w:val="Heading1Char"/>
          <w:rFonts w:cs="Times New Roman"/>
          <w:b/>
          <w:bCs/>
          <w:sz w:val="28"/>
          <w:szCs w:val="28"/>
        </w:rPr>
        <w:t>U</w:t>
      </w:r>
      <w:r w:rsidRPr="00655D8B">
        <w:rPr>
          <w:rStyle w:val="Heading1Char"/>
          <w:rFonts w:cs="Times New Roman"/>
          <w:b/>
          <w:bCs/>
          <w:sz w:val="28"/>
          <w:szCs w:val="28"/>
        </w:rPr>
        <w:t xml:space="preserve">nresectable </w:t>
      </w:r>
      <w:r w:rsidR="000F041E">
        <w:rPr>
          <w:rStyle w:val="Heading1Char"/>
          <w:rFonts w:cs="Times New Roman"/>
          <w:b/>
          <w:bCs/>
          <w:sz w:val="28"/>
          <w:szCs w:val="28"/>
        </w:rPr>
        <w:t>M</w:t>
      </w:r>
      <w:r w:rsidRPr="00655D8B">
        <w:rPr>
          <w:rStyle w:val="Heading1Char"/>
          <w:rFonts w:cs="Times New Roman"/>
          <w:b/>
          <w:bCs/>
          <w:sz w:val="28"/>
          <w:szCs w:val="28"/>
        </w:rPr>
        <w:t xml:space="preserve">etastatic </w:t>
      </w:r>
      <w:r w:rsidR="000F041E">
        <w:rPr>
          <w:rStyle w:val="Heading1Char"/>
          <w:rFonts w:cs="Times New Roman"/>
          <w:b/>
          <w:bCs/>
          <w:sz w:val="28"/>
          <w:szCs w:val="28"/>
        </w:rPr>
        <w:t>U</w:t>
      </w:r>
      <w:r w:rsidRPr="00655D8B">
        <w:rPr>
          <w:rStyle w:val="Heading1Char"/>
          <w:rFonts w:cs="Times New Roman"/>
          <w:b/>
          <w:bCs/>
          <w:sz w:val="28"/>
          <w:szCs w:val="28"/>
        </w:rPr>
        <w:t xml:space="preserve">veal </w:t>
      </w:r>
      <w:r w:rsidR="000F041E">
        <w:rPr>
          <w:rStyle w:val="Heading1Char"/>
          <w:rFonts w:cs="Times New Roman"/>
          <w:b/>
          <w:bCs/>
          <w:sz w:val="28"/>
          <w:szCs w:val="28"/>
        </w:rPr>
        <w:t>M</w:t>
      </w:r>
      <w:r w:rsidRPr="00655D8B">
        <w:rPr>
          <w:rStyle w:val="Heading1Char"/>
          <w:rFonts w:cs="Times New Roman"/>
          <w:b/>
          <w:bCs/>
          <w:sz w:val="28"/>
          <w:szCs w:val="28"/>
        </w:rPr>
        <w:t xml:space="preserve">elanoma: Results from an </w:t>
      </w:r>
      <w:r w:rsidR="000F041E">
        <w:rPr>
          <w:rStyle w:val="Heading1Char"/>
          <w:rFonts w:cs="Times New Roman"/>
          <w:b/>
          <w:bCs/>
          <w:sz w:val="28"/>
          <w:szCs w:val="28"/>
        </w:rPr>
        <w:t>O</w:t>
      </w:r>
      <w:r w:rsidRPr="00655D8B">
        <w:rPr>
          <w:rStyle w:val="Heading1Char"/>
          <w:rFonts w:cs="Times New Roman"/>
          <w:b/>
          <w:bCs/>
          <w:sz w:val="28"/>
          <w:szCs w:val="28"/>
        </w:rPr>
        <w:t>pen-</w:t>
      </w:r>
      <w:r w:rsidR="000F041E">
        <w:rPr>
          <w:rStyle w:val="Heading1Char"/>
          <w:rFonts w:cs="Times New Roman"/>
          <w:b/>
          <w:bCs/>
          <w:sz w:val="28"/>
          <w:szCs w:val="28"/>
        </w:rPr>
        <w:t>L</w:t>
      </w:r>
      <w:r w:rsidRPr="00655D8B">
        <w:rPr>
          <w:rStyle w:val="Heading1Char"/>
          <w:rFonts w:cs="Times New Roman"/>
          <w:b/>
          <w:bCs/>
          <w:sz w:val="28"/>
          <w:szCs w:val="28"/>
        </w:rPr>
        <w:t xml:space="preserve">abel, </w:t>
      </w:r>
      <w:r w:rsidR="000F041E">
        <w:rPr>
          <w:rStyle w:val="Heading1Char"/>
          <w:rFonts w:cs="Times New Roman"/>
          <w:b/>
          <w:bCs/>
          <w:sz w:val="28"/>
          <w:szCs w:val="28"/>
        </w:rPr>
        <w:t>S</w:t>
      </w:r>
      <w:r w:rsidRPr="00655D8B">
        <w:rPr>
          <w:rStyle w:val="Heading1Char"/>
          <w:rFonts w:cs="Times New Roman"/>
          <w:b/>
          <w:bCs/>
          <w:sz w:val="28"/>
          <w:szCs w:val="28"/>
        </w:rPr>
        <w:t>ingle-</w:t>
      </w:r>
      <w:r w:rsidR="000F041E">
        <w:rPr>
          <w:rStyle w:val="Heading1Char"/>
          <w:rFonts w:cs="Times New Roman"/>
          <w:b/>
          <w:bCs/>
          <w:sz w:val="28"/>
          <w:szCs w:val="28"/>
        </w:rPr>
        <w:t>A</w:t>
      </w:r>
      <w:r w:rsidRPr="00655D8B">
        <w:rPr>
          <w:rStyle w:val="Heading1Char"/>
          <w:rFonts w:cs="Times New Roman"/>
          <w:b/>
          <w:bCs/>
          <w:sz w:val="28"/>
          <w:szCs w:val="28"/>
        </w:rPr>
        <w:t xml:space="preserve">rm, </w:t>
      </w:r>
      <w:r w:rsidR="000F041E">
        <w:rPr>
          <w:rStyle w:val="Heading1Char"/>
          <w:rFonts w:cs="Times New Roman"/>
          <w:b/>
          <w:bCs/>
          <w:sz w:val="28"/>
          <w:szCs w:val="28"/>
        </w:rPr>
        <w:t>M</w:t>
      </w:r>
      <w:r w:rsidRPr="00655D8B">
        <w:rPr>
          <w:rStyle w:val="Heading1Char"/>
          <w:rFonts w:cs="Times New Roman"/>
          <w:b/>
          <w:bCs/>
          <w:sz w:val="28"/>
          <w:szCs w:val="28"/>
        </w:rPr>
        <w:t xml:space="preserve">ulticenter Phase 3 </w:t>
      </w:r>
      <w:r w:rsidR="000F041E">
        <w:rPr>
          <w:rStyle w:val="Heading1Char"/>
          <w:rFonts w:cs="Times New Roman"/>
          <w:b/>
          <w:bCs/>
          <w:sz w:val="28"/>
          <w:szCs w:val="28"/>
        </w:rPr>
        <w:t>S</w:t>
      </w:r>
      <w:r w:rsidRPr="00655D8B">
        <w:rPr>
          <w:rStyle w:val="Heading1Char"/>
          <w:rFonts w:cs="Times New Roman"/>
          <w:b/>
          <w:bCs/>
          <w:sz w:val="28"/>
          <w:szCs w:val="28"/>
        </w:rPr>
        <w:t>tudy</w:t>
      </w:r>
    </w:p>
    <w:p w14:paraId="561A51F2" w14:textId="64AEA3A2" w:rsidR="00655D8B" w:rsidRPr="008066A4" w:rsidRDefault="00655D8B" w:rsidP="00655D8B">
      <w:pPr>
        <w:pStyle w:val="Paragraph"/>
        <w:rPr>
          <w:lang w:val="en-US"/>
        </w:rPr>
      </w:pPr>
      <w:r w:rsidRPr="008066A4">
        <w:rPr>
          <w:lang w:val="en-US"/>
        </w:rPr>
        <w:t>Jonathan S. Zager, MD, FACS</w:t>
      </w:r>
      <w:r w:rsidRPr="008066A4">
        <w:rPr>
          <w:vertAlign w:val="superscript"/>
          <w:lang w:val="en-US"/>
        </w:rPr>
        <w:t>1,</w:t>
      </w:r>
      <w:r w:rsidRPr="008066A4">
        <w:rPr>
          <w:color w:val="000000" w:themeColor="text1"/>
          <w:vertAlign w:val="superscript"/>
          <w:lang w:val="en-US"/>
        </w:rPr>
        <w:t>2</w:t>
      </w:r>
      <w:bookmarkStart w:id="1" w:name="_Hlk148094152"/>
      <w:r w:rsidRPr="00500BB8">
        <w:rPr>
          <w:color w:val="000000" w:themeColor="text1"/>
          <w:lang w:val="en-US"/>
        </w:rPr>
        <w:t>;</w:t>
      </w:r>
      <w:bookmarkEnd w:id="1"/>
      <w:r w:rsidRPr="008066A4">
        <w:rPr>
          <w:color w:val="000000" w:themeColor="text1"/>
          <w:lang w:val="en-US"/>
        </w:rPr>
        <w:t xml:space="preserve"> Marlana Orloff, MD</w:t>
      </w:r>
      <w:r w:rsidRPr="008066A4">
        <w:rPr>
          <w:color w:val="000000" w:themeColor="text1"/>
          <w:vertAlign w:val="superscript"/>
          <w:lang w:val="en-US"/>
        </w:rPr>
        <w:t>3</w:t>
      </w:r>
      <w:r w:rsidRPr="00500BB8">
        <w:rPr>
          <w:color w:val="000000" w:themeColor="text1"/>
          <w:lang w:val="en-US"/>
        </w:rPr>
        <w:t>;</w:t>
      </w:r>
      <w:r w:rsidRPr="008066A4">
        <w:rPr>
          <w:color w:val="000000" w:themeColor="text1"/>
          <w:lang w:val="en-US"/>
        </w:rPr>
        <w:t xml:space="preserve"> </w:t>
      </w:r>
      <w:r w:rsidRPr="008066A4">
        <w:rPr>
          <w:lang w:val="en-US"/>
        </w:rPr>
        <w:t>Pier Francesco Ferrucci, MD</w:t>
      </w:r>
      <w:r w:rsidRPr="008066A4">
        <w:rPr>
          <w:vertAlign w:val="superscript"/>
          <w:lang w:val="en-US"/>
        </w:rPr>
        <w:t>4</w:t>
      </w:r>
      <w:r w:rsidRPr="00500BB8">
        <w:rPr>
          <w:color w:val="000000" w:themeColor="text1"/>
          <w:lang w:val="en-US"/>
        </w:rPr>
        <w:t>;</w:t>
      </w:r>
      <w:r w:rsidRPr="008066A4">
        <w:rPr>
          <w:lang w:val="en-US"/>
        </w:rPr>
        <w:t xml:space="preserve"> </w:t>
      </w:r>
      <w:r w:rsidRPr="008066A4">
        <w:rPr>
          <w:color w:val="000000" w:themeColor="text1"/>
          <w:lang w:val="en-US"/>
        </w:rPr>
        <w:t>Junsung Choi, MD</w:t>
      </w:r>
      <w:r w:rsidRPr="008066A4">
        <w:rPr>
          <w:color w:val="000000" w:themeColor="text1"/>
          <w:vertAlign w:val="superscript"/>
          <w:lang w:val="en-US"/>
        </w:rPr>
        <w:t>1,2</w:t>
      </w:r>
      <w:r w:rsidRPr="00500BB8">
        <w:rPr>
          <w:color w:val="000000" w:themeColor="text1"/>
          <w:lang w:val="en-US"/>
        </w:rPr>
        <w:t>;</w:t>
      </w:r>
      <w:r w:rsidRPr="008066A4">
        <w:rPr>
          <w:color w:val="000000" w:themeColor="text1"/>
          <w:vertAlign w:val="superscript"/>
          <w:lang w:val="en-US"/>
        </w:rPr>
        <w:t xml:space="preserve"> </w:t>
      </w:r>
      <w:r w:rsidRPr="008066A4">
        <w:rPr>
          <w:color w:val="000000" w:themeColor="text1"/>
          <w:lang w:val="en-US"/>
        </w:rPr>
        <w:t xml:space="preserve">David </w:t>
      </w:r>
      <w:r>
        <w:rPr>
          <w:color w:val="000000" w:themeColor="text1"/>
          <w:lang w:val="en-US"/>
        </w:rPr>
        <w:t xml:space="preserve">J. </w:t>
      </w:r>
      <w:r w:rsidRPr="008066A4">
        <w:rPr>
          <w:color w:val="000000" w:themeColor="text1"/>
          <w:lang w:val="en-US"/>
        </w:rPr>
        <w:t>Eschelman, MD, FSIR</w:t>
      </w:r>
      <w:r w:rsidRPr="008066A4">
        <w:rPr>
          <w:color w:val="000000" w:themeColor="text1"/>
          <w:vertAlign w:val="superscript"/>
          <w:lang w:val="en-US"/>
        </w:rPr>
        <w:t>3</w:t>
      </w:r>
      <w:r w:rsidRPr="00500BB8">
        <w:rPr>
          <w:color w:val="000000" w:themeColor="text1"/>
          <w:lang w:val="en-US"/>
        </w:rPr>
        <w:t>;</w:t>
      </w:r>
      <w:r w:rsidRPr="008066A4">
        <w:rPr>
          <w:color w:val="FF0000"/>
          <w:lang w:val="en-US"/>
        </w:rPr>
        <w:t xml:space="preserve"> </w:t>
      </w:r>
      <w:r w:rsidRPr="008066A4">
        <w:rPr>
          <w:lang w:val="en-US"/>
        </w:rPr>
        <w:t>Evan S. Glazer, MD, PhD, FACS</w:t>
      </w:r>
      <w:r w:rsidRPr="008066A4">
        <w:rPr>
          <w:vertAlign w:val="superscript"/>
          <w:lang w:val="en-US"/>
        </w:rPr>
        <w:t>5</w:t>
      </w:r>
      <w:r w:rsidRPr="00500BB8">
        <w:rPr>
          <w:color w:val="000000" w:themeColor="text1"/>
          <w:lang w:val="en-US"/>
        </w:rPr>
        <w:t>;</w:t>
      </w:r>
      <w:r w:rsidRPr="008066A4">
        <w:rPr>
          <w:lang w:val="en-US"/>
        </w:rPr>
        <w:t xml:space="preserve"> Aslam Ejaz, MD</w:t>
      </w:r>
      <w:r w:rsidRPr="008066A4">
        <w:rPr>
          <w:color w:val="000000" w:themeColor="text1"/>
          <w:vertAlign w:val="superscript"/>
          <w:lang w:val="en-US"/>
        </w:rPr>
        <w:t>6</w:t>
      </w:r>
      <w:r w:rsidRPr="00500BB8">
        <w:rPr>
          <w:color w:val="000000" w:themeColor="text1"/>
          <w:lang w:val="en-US"/>
        </w:rPr>
        <w:t>;</w:t>
      </w:r>
      <w:r w:rsidRPr="008066A4">
        <w:rPr>
          <w:color w:val="000000" w:themeColor="text1"/>
          <w:lang w:val="en-US"/>
        </w:rPr>
        <w:t xml:space="preserve"> J. Harrison Howard, M</w:t>
      </w:r>
      <w:r w:rsidRPr="008066A4">
        <w:rPr>
          <w:lang w:val="en-US"/>
        </w:rPr>
        <w:t>D</w:t>
      </w:r>
      <w:r>
        <w:rPr>
          <w:vertAlign w:val="superscript"/>
          <w:lang w:val="en-US"/>
        </w:rPr>
        <w:t>7</w:t>
      </w:r>
      <w:r w:rsidRPr="00500BB8">
        <w:rPr>
          <w:color w:val="000000" w:themeColor="text1"/>
          <w:lang w:val="en-US"/>
        </w:rPr>
        <w:t>;</w:t>
      </w:r>
      <w:r w:rsidRPr="008066A4">
        <w:rPr>
          <w:lang w:val="en-US"/>
        </w:rPr>
        <w:t xml:space="preserve"> Erika Richtig, MD</w:t>
      </w:r>
      <w:r>
        <w:rPr>
          <w:vertAlign w:val="superscript"/>
          <w:lang w:val="en-US"/>
        </w:rPr>
        <w:t>8</w:t>
      </w:r>
      <w:r w:rsidRPr="00500BB8">
        <w:rPr>
          <w:color w:val="000000" w:themeColor="text1"/>
          <w:lang w:val="en-US"/>
        </w:rPr>
        <w:t>;</w:t>
      </w:r>
      <w:r w:rsidRPr="008066A4">
        <w:rPr>
          <w:lang w:val="en-US"/>
        </w:rPr>
        <w:t xml:space="preserve"> Sebastian Ochsenreither, MD</w:t>
      </w:r>
      <w:r>
        <w:rPr>
          <w:vertAlign w:val="superscript"/>
          <w:lang w:val="en-US"/>
        </w:rPr>
        <w:t>9</w:t>
      </w:r>
      <w:r w:rsidRPr="00500BB8">
        <w:rPr>
          <w:color w:val="000000" w:themeColor="text1"/>
          <w:lang w:val="en-US"/>
        </w:rPr>
        <w:t>;</w:t>
      </w:r>
      <w:r w:rsidRPr="008066A4">
        <w:rPr>
          <w:lang w:val="en-US"/>
        </w:rPr>
        <w:t xml:space="preserve"> Sunil A. Reddy, MD</w:t>
      </w:r>
      <w:r>
        <w:rPr>
          <w:vertAlign w:val="superscript"/>
          <w:lang w:val="en-US"/>
        </w:rPr>
        <w:t>10</w:t>
      </w:r>
      <w:r w:rsidRPr="00500BB8">
        <w:rPr>
          <w:color w:val="000000" w:themeColor="text1"/>
          <w:lang w:val="en-US"/>
        </w:rPr>
        <w:t>;</w:t>
      </w:r>
      <w:r w:rsidRPr="008066A4">
        <w:rPr>
          <w:lang w:val="en-US"/>
        </w:rPr>
        <w:t xml:space="preserve"> Michael C. Lowe, MD</w:t>
      </w:r>
      <w:r w:rsidRPr="008066A4">
        <w:rPr>
          <w:vertAlign w:val="superscript"/>
          <w:lang w:val="en-US"/>
        </w:rPr>
        <w:t>1</w:t>
      </w:r>
      <w:r>
        <w:rPr>
          <w:vertAlign w:val="superscript"/>
          <w:lang w:val="en-US"/>
        </w:rPr>
        <w:t>1</w:t>
      </w:r>
      <w:r w:rsidRPr="00500BB8">
        <w:rPr>
          <w:color w:val="000000" w:themeColor="text1"/>
          <w:lang w:val="en-US"/>
        </w:rPr>
        <w:t>;</w:t>
      </w:r>
      <w:r w:rsidRPr="008066A4">
        <w:rPr>
          <w:lang w:val="en-US"/>
        </w:rPr>
        <w:t xml:space="preserve"> Georgia M. Beasley, MD</w:t>
      </w:r>
      <w:r w:rsidRPr="008066A4">
        <w:rPr>
          <w:vertAlign w:val="superscript"/>
          <w:lang w:val="en-US"/>
        </w:rPr>
        <w:t>1</w:t>
      </w:r>
      <w:r>
        <w:rPr>
          <w:vertAlign w:val="superscript"/>
          <w:lang w:val="en-US"/>
        </w:rPr>
        <w:t>2</w:t>
      </w:r>
      <w:r w:rsidRPr="00500BB8">
        <w:rPr>
          <w:color w:val="000000" w:themeColor="text1"/>
          <w:lang w:val="en-US"/>
        </w:rPr>
        <w:t>;</w:t>
      </w:r>
      <w:r w:rsidRPr="008066A4">
        <w:rPr>
          <w:lang w:val="en-US"/>
        </w:rPr>
        <w:t xml:space="preserve"> Anja Gesierich, MD</w:t>
      </w:r>
      <w:r w:rsidRPr="008066A4">
        <w:rPr>
          <w:vertAlign w:val="superscript"/>
          <w:lang w:val="en-US"/>
        </w:rPr>
        <w:t>1</w:t>
      </w:r>
      <w:r>
        <w:rPr>
          <w:vertAlign w:val="superscript"/>
          <w:lang w:val="en-US"/>
        </w:rPr>
        <w:t>3</w:t>
      </w:r>
      <w:r w:rsidRPr="00500BB8">
        <w:rPr>
          <w:color w:val="000000" w:themeColor="text1"/>
          <w:lang w:val="en-US"/>
        </w:rPr>
        <w:t>;</w:t>
      </w:r>
      <w:r w:rsidRPr="008066A4">
        <w:rPr>
          <w:lang w:val="en-US"/>
        </w:rPr>
        <w:t xml:space="preserve"> Armin Bender, MD</w:t>
      </w:r>
      <w:r w:rsidRPr="008066A4">
        <w:rPr>
          <w:vertAlign w:val="superscript"/>
          <w:lang w:val="en-US"/>
        </w:rPr>
        <w:t>1</w:t>
      </w:r>
      <w:r>
        <w:rPr>
          <w:vertAlign w:val="superscript"/>
          <w:lang w:val="en-US"/>
        </w:rPr>
        <w:t>4</w:t>
      </w:r>
      <w:r w:rsidRPr="00500BB8">
        <w:rPr>
          <w:color w:val="000000" w:themeColor="text1"/>
          <w:lang w:val="en-US"/>
        </w:rPr>
        <w:t>;</w:t>
      </w:r>
      <w:r w:rsidRPr="008066A4">
        <w:rPr>
          <w:lang w:val="en-US"/>
        </w:rPr>
        <w:t xml:space="preserve"> Martin Gschnell, MD</w:t>
      </w:r>
      <w:r w:rsidRPr="008066A4">
        <w:rPr>
          <w:vertAlign w:val="superscript"/>
          <w:lang w:val="en-US"/>
        </w:rPr>
        <w:t>1</w:t>
      </w:r>
      <w:r>
        <w:rPr>
          <w:vertAlign w:val="superscript"/>
          <w:lang w:val="en-US"/>
        </w:rPr>
        <w:t>4</w:t>
      </w:r>
      <w:r w:rsidRPr="00500BB8">
        <w:rPr>
          <w:color w:val="000000" w:themeColor="text1"/>
          <w:lang w:val="en-US"/>
        </w:rPr>
        <w:t>;</w:t>
      </w:r>
      <w:r w:rsidRPr="008066A4">
        <w:rPr>
          <w:lang w:val="en-US"/>
        </w:rPr>
        <w:t xml:space="preserve"> Reinhard Dummer, MD</w:t>
      </w:r>
      <w:r w:rsidRPr="008066A4">
        <w:rPr>
          <w:vertAlign w:val="superscript"/>
          <w:lang w:val="en-US"/>
        </w:rPr>
        <w:t>1</w:t>
      </w:r>
      <w:r>
        <w:rPr>
          <w:vertAlign w:val="superscript"/>
          <w:lang w:val="en-US"/>
        </w:rPr>
        <w:t>5</w:t>
      </w:r>
      <w:r w:rsidRPr="00500BB8">
        <w:rPr>
          <w:color w:val="000000" w:themeColor="text1"/>
          <w:lang w:val="en-US"/>
        </w:rPr>
        <w:t>;</w:t>
      </w:r>
      <w:r w:rsidRPr="008066A4">
        <w:rPr>
          <w:lang w:val="en-US"/>
        </w:rPr>
        <w:t xml:space="preserve"> Michel Rivoire, MD</w:t>
      </w:r>
      <w:r w:rsidRPr="008066A4">
        <w:rPr>
          <w:vertAlign w:val="superscript"/>
          <w:lang w:val="en-US"/>
        </w:rPr>
        <w:t>1</w:t>
      </w:r>
      <w:r>
        <w:rPr>
          <w:vertAlign w:val="superscript"/>
          <w:lang w:val="en-US"/>
        </w:rPr>
        <w:t>6</w:t>
      </w:r>
      <w:r w:rsidRPr="00500BB8">
        <w:rPr>
          <w:color w:val="000000" w:themeColor="text1"/>
          <w:lang w:val="en-US"/>
        </w:rPr>
        <w:t>;</w:t>
      </w:r>
      <w:r w:rsidRPr="008066A4">
        <w:rPr>
          <w:lang w:val="en-US"/>
        </w:rPr>
        <w:t xml:space="preserve"> Ana Arance, MD, PhD</w:t>
      </w:r>
      <w:r w:rsidRPr="008066A4">
        <w:rPr>
          <w:vertAlign w:val="superscript"/>
          <w:lang w:val="en-US"/>
        </w:rPr>
        <w:t>1</w:t>
      </w:r>
      <w:r>
        <w:rPr>
          <w:vertAlign w:val="superscript"/>
          <w:lang w:val="en-US"/>
        </w:rPr>
        <w:t>7</w:t>
      </w:r>
      <w:r w:rsidRPr="00500BB8">
        <w:rPr>
          <w:color w:val="000000" w:themeColor="text1"/>
          <w:lang w:val="en-US"/>
        </w:rPr>
        <w:t>;</w:t>
      </w:r>
      <w:r w:rsidRPr="008066A4">
        <w:rPr>
          <w:lang w:val="en-US"/>
        </w:rPr>
        <w:t xml:space="preserve"> Stephen William Fenwick, MD, FRCS</w:t>
      </w:r>
      <w:r w:rsidRPr="008066A4">
        <w:rPr>
          <w:vertAlign w:val="superscript"/>
          <w:lang w:val="en-US"/>
        </w:rPr>
        <w:t>1</w:t>
      </w:r>
      <w:r>
        <w:rPr>
          <w:vertAlign w:val="superscript"/>
          <w:lang w:val="en-US"/>
        </w:rPr>
        <w:t>8</w:t>
      </w:r>
      <w:r w:rsidRPr="00500BB8">
        <w:rPr>
          <w:color w:val="000000" w:themeColor="text1"/>
          <w:lang w:val="en-US"/>
        </w:rPr>
        <w:t>;</w:t>
      </w:r>
      <w:r w:rsidRPr="008066A4">
        <w:rPr>
          <w:lang w:val="en-US"/>
        </w:rPr>
        <w:t xml:space="preserve"> </w:t>
      </w:r>
      <w:r>
        <w:rPr>
          <w:lang w:val="en-US"/>
        </w:rPr>
        <w:t>Joseph J. Sacco, MD</w:t>
      </w:r>
      <w:r>
        <w:rPr>
          <w:vertAlign w:val="superscript"/>
          <w:lang w:val="en-US"/>
        </w:rPr>
        <w:t>19</w:t>
      </w:r>
      <w:r w:rsidRPr="00500BB8">
        <w:rPr>
          <w:color w:val="000000" w:themeColor="text1"/>
          <w:lang w:val="en-US"/>
        </w:rPr>
        <w:t>;</w:t>
      </w:r>
      <w:r>
        <w:rPr>
          <w:vertAlign w:val="superscript"/>
          <w:lang w:val="en-US"/>
        </w:rPr>
        <w:t xml:space="preserve"> </w:t>
      </w:r>
      <w:r w:rsidRPr="008066A4">
        <w:rPr>
          <w:lang w:val="en-US"/>
        </w:rPr>
        <w:t>Sebastian Haferkamp, MD</w:t>
      </w:r>
      <w:r>
        <w:rPr>
          <w:vertAlign w:val="superscript"/>
          <w:lang w:val="en-US"/>
        </w:rPr>
        <w:t>20</w:t>
      </w:r>
      <w:r w:rsidRPr="00500BB8">
        <w:rPr>
          <w:color w:val="000000" w:themeColor="text1"/>
          <w:lang w:val="en-US"/>
        </w:rPr>
        <w:t>;</w:t>
      </w:r>
      <w:r w:rsidRPr="008066A4">
        <w:rPr>
          <w:lang w:val="en-US"/>
        </w:rPr>
        <w:t xml:space="preserve"> Carsten Weishaupt, MD</w:t>
      </w:r>
      <w:r>
        <w:rPr>
          <w:vertAlign w:val="superscript"/>
          <w:lang w:val="en-US"/>
        </w:rPr>
        <w:t>21</w:t>
      </w:r>
      <w:r w:rsidRPr="00500BB8">
        <w:rPr>
          <w:color w:val="000000" w:themeColor="text1"/>
          <w:lang w:val="en-US"/>
        </w:rPr>
        <w:t>;</w:t>
      </w:r>
      <w:r w:rsidRPr="008066A4">
        <w:rPr>
          <w:lang w:val="en-US"/>
        </w:rPr>
        <w:t xml:space="preserve"> Johnny John, MD</w:t>
      </w:r>
      <w:r w:rsidRPr="008066A4">
        <w:rPr>
          <w:vertAlign w:val="superscript"/>
          <w:lang w:val="en-US"/>
        </w:rPr>
        <w:t>2</w:t>
      </w:r>
      <w:r>
        <w:rPr>
          <w:vertAlign w:val="superscript"/>
          <w:lang w:val="en-US"/>
        </w:rPr>
        <w:t>2</w:t>
      </w:r>
      <w:r w:rsidRPr="00500BB8">
        <w:rPr>
          <w:color w:val="000000" w:themeColor="text1"/>
          <w:lang w:val="en-US"/>
        </w:rPr>
        <w:t>;</w:t>
      </w:r>
      <w:r w:rsidRPr="008066A4">
        <w:rPr>
          <w:lang w:val="en-US"/>
        </w:rPr>
        <w:t xml:space="preserve"> Matthew Wheater, MD, PhD, MRCP</w:t>
      </w:r>
      <w:r w:rsidRPr="008066A4">
        <w:rPr>
          <w:vertAlign w:val="superscript"/>
          <w:lang w:val="en-US"/>
        </w:rPr>
        <w:t>2</w:t>
      </w:r>
      <w:r>
        <w:rPr>
          <w:vertAlign w:val="superscript"/>
          <w:lang w:val="en-US"/>
        </w:rPr>
        <w:t>3</w:t>
      </w:r>
      <w:r w:rsidRPr="00500BB8">
        <w:rPr>
          <w:color w:val="000000" w:themeColor="text1"/>
          <w:lang w:val="en-US"/>
        </w:rPr>
        <w:t>;</w:t>
      </w:r>
      <w:r w:rsidRPr="008066A4">
        <w:rPr>
          <w:lang w:val="en-US"/>
        </w:rPr>
        <w:t xml:space="preserve"> Christian H. Ottensmeier, MD PhD, </w:t>
      </w:r>
      <w:r w:rsidR="0091592C" w:rsidRPr="008066A4">
        <w:rPr>
          <w:lang w:val="en-US"/>
        </w:rPr>
        <w:t>FRCP</w:t>
      </w:r>
      <w:r w:rsidR="0091592C">
        <w:rPr>
          <w:vertAlign w:val="superscript"/>
          <w:lang w:val="en-US"/>
        </w:rPr>
        <w:t>18</w:t>
      </w:r>
    </w:p>
    <w:p w14:paraId="4AC6904C" w14:textId="77777777" w:rsidR="00655D8B" w:rsidRPr="008066A4" w:rsidRDefault="00655D8B" w:rsidP="00655D8B">
      <w:pPr>
        <w:pStyle w:val="Affiliation"/>
        <w:spacing w:line="480" w:lineRule="auto"/>
        <w:rPr>
          <w:lang w:val="en-US"/>
        </w:rPr>
      </w:pPr>
      <w:r w:rsidRPr="008066A4">
        <w:rPr>
          <w:lang w:val="en-US"/>
        </w:rPr>
        <w:t xml:space="preserve">Affiliations: </w:t>
      </w:r>
    </w:p>
    <w:p w14:paraId="3E9A9637" w14:textId="4AFC4863" w:rsidR="00655D8B" w:rsidRPr="008066A4" w:rsidRDefault="00655D8B" w:rsidP="00655D8B">
      <w:pPr>
        <w:pStyle w:val="Correspondencedetails"/>
        <w:spacing w:line="480" w:lineRule="auto"/>
        <w:rPr>
          <w:i/>
          <w:iCs/>
          <w:lang w:val="en-US"/>
        </w:rPr>
      </w:pPr>
      <w:r w:rsidRPr="008066A4">
        <w:rPr>
          <w:i/>
          <w:iCs/>
          <w:vertAlign w:val="superscript"/>
          <w:lang w:val="en-US"/>
        </w:rPr>
        <w:t>1</w:t>
      </w:r>
      <w:r w:rsidRPr="008066A4">
        <w:rPr>
          <w:i/>
          <w:iCs/>
          <w:lang w:val="en-US"/>
        </w:rPr>
        <w:t xml:space="preserve">Moffitt Cancer Center, Tampa, FL, USA; </w:t>
      </w:r>
      <w:r w:rsidRPr="008066A4">
        <w:rPr>
          <w:i/>
          <w:iCs/>
          <w:color w:val="000000" w:themeColor="text1"/>
          <w:vertAlign w:val="superscript"/>
          <w:lang w:val="en-US"/>
        </w:rPr>
        <w:t>2</w:t>
      </w:r>
      <w:r w:rsidRPr="008066A4">
        <w:rPr>
          <w:i/>
          <w:iCs/>
          <w:color w:val="000000" w:themeColor="text1"/>
          <w:lang w:val="en-US"/>
        </w:rPr>
        <w:t>University of South Florida Morsani College of Medicine,</w:t>
      </w:r>
      <w:r w:rsidR="001F1650">
        <w:rPr>
          <w:i/>
          <w:iCs/>
          <w:color w:val="000000" w:themeColor="text1"/>
          <w:lang w:val="en-US"/>
        </w:rPr>
        <w:t xml:space="preserve"> Tampa,</w:t>
      </w:r>
      <w:r w:rsidRPr="008066A4">
        <w:rPr>
          <w:i/>
          <w:iCs/>
          <w:color w:val="000000" w:themeColor="text1"/>
          <w:lang w:val="en-US"/>
        </w:rPr>
        <w:t xml:space="preserve"> FL, USA; </w:t>
      </w:r>
      <w:r w:rsidRPr="008066A4">
        <w:rPr>
          <w:i/>
          <w:iCs/>
          <w:vertAlign w:val="superscript"/>
          <w:lang w:val="en-US"/>
        </w:rPr>
        <w:t>3</w:t>
      </w:r>
      <w:r w:rsidRPr="008066A4">
        <w:rPr>
          <w:i/>
          <w:iCs/>
          <w:lang w:val="en-US"/>
        </w:rPr>
        <w:t xml:space="preserve">Thomas Jefferson University, Philadelphia, PA, USA; </w:t>
      </w:r>
      <w:r w:rsidR="0091592C" w:rsidRPr="001373EB">
        <w:rPr>
          <w:i/>
          <w:iCs/>
          <w:vertAlign w:val="superscript"/>
          <w:lang w:val="en-US"/>
        </w:rPr>
        <w:t>4</w:t>
      </w:r>
      <w:r w:rsidR="0091592C" w:rsidRPr="001373EB">
        <w:rPr>
          <w:i/>
          <w:iCs/>
          <w:lang w:val="en-US"/>
        </w:rPr>
        <w:t>European Institute of Oncolog</w:t>
      </w:r>
      <w:r w:rsidR="0091592C">
        <w:rPr>
          <w:i/>
          <w:iCs/>
          <w:lang w:val="en-US"/>
        </w:rPr>
        <w:t>y</w:t>
      </w:r>
      <w:r w:rsidRPr="008066A4">
        <w:rPr>
          <w:i/>
          <w:iCs/>
          <w:lang w:val="en-US"/>
        </w:rPr>
        <w:t xml:space="preserve">, IRCCS, Milan, Italy; </w:t>
      </w:r>
      <w:r w:rsidRPr="008066A4">
        <w:rPr>
          <w:i/>
          <w:iCs/>
          <w:vertAlign w:val="superscript"/>
          <w:lang w:val="en-US"/>
        </w:rPr>
        <w:t>5</w:t>
      </w:r>
      <w:r w:rsidRPr="008066A4">
        <w:rPr>
          <w:i/>
          <w:iCs/>
          <w:lang w:val="en-US"/>
        </w:rPr>
        <w:t xml:space="preserve">The University of Tennessee Health Science Center, Memphis, TN, USA; </w:t>
      </w:r>
      <w:r w:rsidRPr="008066A4">
        <w:rPr>
          <w:i/>
          <w:iCs/>
          <w:vertAlign w:val="superscript"/>
          <w:lang w:val="en-US"/>
        </w:rPr>
        <w:t>6</w:t>
      </w:r>
      <w:r w:rsidRPr="008066A4">
        <w:rPr>
          <w:i/>
          <w:iCs/>
          <w:lang w:val="en-US"/>
        </w:rPr>
        <w:t xml:space="preserve">The Ohio State University, Columbus, OH, USA; </w:t>
      </w:r>
      <w:r w:rsidRPr="008066A4">
        <w:rPr>
          <w:i/>
          <w:iCs/>
          <w:vertAlign w:val="superscript"/>
          <w:lang w:val="en-US"/>
        </w:rPr>
        <w:t>7</w:t>
      </w:r>
      <w:r w:rsidRPr="008066A4">
        <w:rPr>
          <w:lang w:val="en-US"/>
        </w:rPr>
        <w:t xml:space="preserve"> </w:t>
      </w:r>
      <w:r w:rsidRPr="00B34D6B">
        <w:rPr>
          <w:i/>
          <w:iCs/>
          <w:lang w:val="en-US"/>
        </w:rPr>
        <w:t>University of South Alabama, Mobile, AL, USA</w:t>
      </w:r>
      <w:r>
        <w:rPr>
          <w:lang w:val="en-US"/>
        </w:rPr>
        <w:t xml:space="preserve">; </w:t>
      </w:r>
      <w:r w:rsidRPr="002C27A7">
        <w:rPr>
          <w:vertAlign w:val="superscript"/>
          <w:lang w:val="en-US"/>
        </w:rPr>
        <w:t>8</w:t>
      </w:r>
      <w:r w:rsidRPr="008066A4">
        <w:rPr>
          <w:i/>
          <w:iCs/>
          <w:lang w:val="en-US"/>
        </w:rPr>
        <w:t xml:space="preserve">Medical University of Graz, Graz, Austria; </w:t>
      </w:r>
      <w:r>
        <w:rPr>
          <w:i/>
          <w:iCs/>
          <w:vertAlign w:val="superscript"/>
          <w:lang w:val="en-US"/>
        </w:rPr>
        <w:t>9</w:t>
      </w:r>
      <w:r w:rsidRPr="008066A4">
        <w:rPr>
          <w:i/>
          <w:iCs/>
          <w:lang w:val="en-US"/>
        </w:rPr>
        <w:t xml:space="preserve">Charité </w:t>
      </w:r>
      <w:r w:rsidR="0091592C" w:rsidRPr="0091592C">
        <w:rPr>
          <w:i/>
          <w:iCs/>
          <w:lang w:val="en-US"/>
        </w:rPr>
        <w:t>Comprehensive Cancer Center</w:t>
      </w:r>
      <w:r w:rsidRPr="008066A4">
        <w:rPr>
          <w:i/>
          <w:iCs/>
          <w:lang w:val="en-US"/>
        </w:rPr>
        <w:t xml:space="preserve">, Berlin, Germany; </w:t>
      </w:r>
      <w:r w:rsidRPr="00F868D1">
        <w:rPr>
          <w:i/>
          <w:iCs/>
          <w:vertAlign w:val="superscript"/>
          <w:lang w:val="en-US"/>
        </w:rPr>
        <w:t>10</w:t>
      </w:r>
      <w:r w:rsidRPr="008066A4">
        <w:rPr>
          <w:i/>
          <w:iCs/>
          <w:lang w:val="en-US"/>
        </w:rPr>
        <w:t>Stanford</w:t>
      </w:r>
      <w:r w:rsidRPr="008066A4">
        <w:rPr>
          <w:i/>
          <w:iCs/>
          <w:vertAlign w:val="superscript"/>
          <w:lang w:val="en-US"/>
        </w:rPr>
        <w:t xml:space="preserve"> </w:t>
      </w:r>
      <w:r w:rsidRPr="008066A4">
        <w:rPr>
          <w:i/>
          <w:iCs/>
          <w:lang w:val="en-US"/>
        </w:rPr>
        <w:t xml:space="preserve">University, Stanford, CA, USA; </w:t>
      </w:r>
      <w:r w:rsidRPr="008066A4">
        <w:rPr>
          <w:i/>
          <w:iCs/>
          <w:vertAlign w:val="superscript"/>
          <w:lang w:val="en-US"/>
        </w:rPr>
        <w:t>1</w:t>
      </w:r>
      <w:r>
        <w:rPr>
          <w:i/>
          <w:iCs/>
          <w:vertAlign w:val="superscript"/>
          <w:lang w:val="en-US"/>
        </w:rPr>
        <w:t>1</w:t>
      </w:r>
      <w:r w:rsidRPr="008066A4">
        <w:rPr>
          <w:i/>
          <w:iCs/>
          <w:lang w:val="en-US"/>
        </w:rPr>
        <w:t xml:space="preserve">Emory University, Atlanta, GA, USA; </w:t>
      </w:r>
      <w:r w:rsidRPr="008066A4">
        <w:rPr>
          <w:i/>
          <w:iCs/>
          <w:vertAlign w:val="superscript"/>
          <w:lang w:val="en-US"/>
        </w:rPr>
        <w:t>1</w:t>
      </w:r>
      <w:r>
        <w:rPr>
          <w:i/>
          <w:iCs/>
          <w:vertAlign w:val="superscript"/>
          <w:lang w:val="en-US"/>
        </w:rPr>
        <w:t>2</w:t>
      </w:r>
      <w:r w:rsidRPr="008066A4">
        <w:rPr>
          <w:i/>
          <w:iCs/>
          <w:lang w:val="en-US"/>
        </w:rPr>
        <w:t xml:space="preserve">Duke University, Durham, NC, USA; </w:t>
      </w:r>
      <w:r w:rsidRPr="008066A4">
        <w:rPr>
          <w:i/>
          <w:iCs/>
          <w:vertAlign w:val="superscript"/>
          <w:lang w:val="en-US"/>
        </w:rPr>
        <w:t>1</w:t>
      </w:r>
      <w:r>
        <w:rPr>
          <w:i/>
          <w:iCs/>
          <w:vertAlign w:val="superscript"/>
          <w:lang w:val="en-US"/>
        </w:rPr>
        <w:t>3</w:t>
      </w:r>
      <w:r w:rsidRPr="008066A4">
        <w:rPr>
          <w:i/>
          <w:iCs/>
          <w:lang w:val="en-US"/>
        </w:rPr>
        <w:t xml:space="preserve">University Hospital Würzburg, Würzburg, Germany; </w:t>
      </w:r>
      <w:r w:rsidRPr="008066A4">
        <w:rPr>
          <w:i/>
          <w:iCs/>
          <w:vertAlign w:val="superscript"/>
          <w:lang w:val="en-US"/>
        </w:rPr>
        <w:t>1</w:t>
      </w:r>
      <w:r>
        <w:rPr>
          <w:i/>
          <w:iCs/>
          <w:vertAlign w:val="superscript"/>
          <w:lang w:val="en-US"/>
        </w:rPr>
        <w:t>4</w:t>
      </w:r>
      <w:r w:rsidRPr="008066A4">
        <w:rPr>
          <w:i/>
          <w:iCs/>
          <w:lang w:val="en-US"/>
        </w:rPr>
        <w:t xml:space="preserve">University Hospital Marburg, </w:t>
      </w:r>
      <w:r w:rsidR="000F041E">
        <w:rPr>
          <w:i/>
          <w:iCs/>
          <w:lang w:val="en-US"/>
        </w:rPr>
        <w:t xml:space="preserve">Marburg, </w:t>
      </w:r>
      <w:r w:rsidRPr="008066A4">
        <w:rPr>
          <w:i/>
          <w:iCs/>
          <w:lang w:val="en-US"/>
        </w:rPr>
        <w:t xml:space="preserve">Germany; </w:t>
      </w:r>
      <w:r w:rsidRPr="008066A4">
        <w:rPr>
          <w:i/>
          <w:iCs/>
          <w:vertAlign w:val="superscript"/>
          <w:lang w:val="en-US"/>
        </w:rPr>
        <w:t>1</w:t>
      </w:r>
      <w:r>
        <w:rPr>
          <w:i/>
          <w:iCs/>
          <w:vertAlign w:val="superscript"/>
          <w:lang w:val="en-US"/>
        </w:rPr>
        <w:t>5</w:t>
      </w:r>
      <w:r w:rsidRPr="008066A4">
        <w:rPr>
          <w:i/>
          <w:iCs/>
          <w:lang w:val="en-US"/>
        </w:rPr>
        <w:t xml:space="preserve">University Hospital Zürich, Zürich, Switzerland; </w:t>
      </w:r>
      <w:r w:rsidRPr="008066A4">
        <w:rPr>
          <w:i/>
          <w:iCs/>
          <w:vertAlign w:val="superscript"/>
          <w:lang w:val="en-US"/>
        </w:rPr>
        <w:t>1</w:t>
      </w:r>
      <w:r>
        <w:rPr>
          <w:i/>
          <w:iCs/>
          <w:vertAlign w:val="superscript"/>
          <w:lang w:val="en-US"/>
        </w:rPr>
        <w:t>6</w:t>
      </w:r>
      <w:r w:rsidRPr="008066A4">
        <w:rPr>
          <w:i/>
          <w:iCs/>
          <w:lang w:val="en-US"/>
        </w:rPr>
        <w:t>Léon Bérard Center, Lyon, France;</w:t>
      </w:r>
      <w:r w:rsidRPr="008066A4">
        <w:rPr>
          <w:lang w:val="en-US"/>
        </w:rPr>
        <w:t xml:space="preserve"> </w:t>
      </w:r>
      <w:r w:rsidRPr="00C2258E">
        <w:rPr>
          <w:i/>
          <w:iCs/>
          <w:vertAlign w:val="superscript"/>
          <w:lang w:val="en-US"/>
        </w:rPr>
        <w:t>17</w:t>
      </w:r>
      <w:r w:rsidRPr="00C2258E">
        <w:rPr>
          <w:i/>
          <w:iCs/>
          <w:lang w:val="en-US"/>
        </w:rPr>
        <w:t xml:space="preserve">Hospital Clínic Barcelona, Barcelona, Spain; </w:t>
      </w:r>
      <w:r w:rsidRPr="00C2258E">
        <w:rPr>
          <w:i/>
          <w:iCs/>
          <w:vertAlign w:val="superscript"/>
          <w:lang w:val="en-US"/>
        </w:rPr>
        <w:t>18</w:t>
      </w:r>
      <w:r w:rsidRPr="00C2258E">
        <w:rPr>
          <w:i/>
          <w:iCs/>
          <w:lang w:val="en-US"/>
        </w:rPr>
        <w:t>Liverpool University Hospital</w:t>
      </w:r>
      <w:r w:rsidR="009356C8">
        <w:rPr>
          <w:i/>
          <w:iCs/>
          <w:lang w:val="en-US"/>
        </w:rPr>
        <w:t xml:space="preserve">s </w:t>
      </w:r>
      <w:r w:rsidR="009356C8" w:rsidRPr="00C2258E">
        <w:rPr>
          <w:i/>
          <w:iCs/>
          <w:lang w:val="en-US"/>
        </w:rPr>
        <w:t>NHS Foundation Trust</w:t>
      </w:r>
      <w:r w:rsidRPr="00C2258E">
        <w:rPr>
          <w:i/>
          <w:iCs/>
          <w:lang w:val="en-US"/>
        </w:rPr>
        <w:t xml:space="preserve">, Liverpool, UK; </w:t>
      </w:r>
      <w:r w:rsidRPr="00C2258E">
        <w:rPr>
          <w:i/>
          <w:iCs/>
          <w:vertAlign w:val="superscript"/>
          <w:lang w:val="en-US"/>
        </w:rPr>
        <w:t>19</w:t>
      </w:r>
      <w:r w:rsidRPr="00C2258E">
        <w:rPr>
          <w:i/>
          <w:iCs/>
          <w:lang w:val="en-US"/>
        </w:rPr>
        <w:t>The Clatterbridge</w:t>
      </w:r>
      <w:r w:rsidRPr="00C2258E">
        <w:rPr>
          <w:i/>
          <w:iCs/>
          <w:vertAlign w:val="superscript"/>
          <w:lang w:val="en-US"/>
        </w:rPr>
        <w:t xml:space="preserve"> </w:t>
      </w:r>
      <w:r w:rsidRPr="00C2258E">
        <w:rPr>
          <w:i/>
          <w:iCs/>
          <w:lang w:val="en-US"/>
        </w:rPr>
        <w:t xml:space="preserve">Cancer Center, </w:t>
      </w:r>
      <w:r w:rsidRPr="00C2258E">
        <w:rPr>
          <w:i/>
          <w:iCs/>
          <w:lang w:val="en-US"/>
        </w:rPr>
        <w:lastRenderedPageBreak/>
        <w:t xml:space="preserve">University of Liverpool, Liverpool, UK; </w:t>
      </w:r>
      <w:r w:rsidRPr="00C2258E">
        <w:rPr>
          <w:i/>
          <w:iCs/>
          <w:vertAlign w:val="superscript"/>
          <w:lang w:val="en-US"/>
        </w:rPr>
        <w:t>20</w:t>
      </w:r>
      <w:r w:rsidRPr="00C2258E">
        <w:rPr>
          <w:i/>
          <w:iCs/>
          <w:lang w:val="en-US"/>
        </w:rPr>
        <w:t xml:space="preserve">University Hospital Regensburg, Regensburg, Germany; </w:t>
      </w:r>
      <w:r w:rsidRPr="00C2258E">
        <w:rPr>
          <w:i/>
          <w:iCs/>
          <w:vertAlign w:val="superscript"/>
          <w:lang w:val="en-US"/>
        </w:rPr>
        <w:t>21</w:t>
      </w:r>
      <w:r w:rsidR="009356C8" w:rsidRPr="009356C8">
        <w:rPr>
          <w:i/>
          <w:iCs/>
          <w:lang w:val="en-US"/>
        </w:rPr>
        <w:t xml:space="preserve"> </w:t>
      </w:r>
      <w:r w:rsidR="009356C8" w:rsidRPr="00C2258E">
        <w:rPr>
          <w:i/>
          <w:iCs/>
          <w:lang w:val="en-US"/>
        </w:rPr>
        <w:t xml:space="preserve">University Hospital </w:t>
      </w:r>
      <w:r w:rsidRPr="00C2258E">
        <w:rPr>
          <w:i/>
          <w:iCs/>
          <w:lang w:val="en-US"/>
        </w:rPr>
        <w:t>Münster, Münster, Germany;</w:t>
      </w:r>
      <w:r w:rsidRPr="00C2258E">
        <w:rPr>
          <w:lang w:val="en-US"/>
        </w:rPr>
        <w:t xml:space="preserve"> </w:t>
      </w:r>
      <w:r w:rsidRPr="00C2258E">
        <w:rPr>
          <w:vertAlign w:val="superscript"/>
          <w:lang w:val="en-US"/>
        </w:rPr>
        <w:t>22</w:t>
      </w:r>
      <w:r w:rsidRPr="00C2258E">
        <w:rPr>
          <w:i/>
          <w:iCs/>
          <w:lang w:val="en-US"/>
        </w:rPr>
        <w:t xml:space="preserve">Delcath Systems, Inc., </w:t>
      </w:r>
      <w:r w:rsidR="00D37805" w:rsidRPr="00D37805">
        <w:rPr>
          <w:i/>
          <w:iCs/>
          <w:lang w:val="en-US"/>
        </w:rPr>
        <w:t>Queensbury</w:t>
      </w:r>
      <w:r w:rsidR="00D37805">
        <w:rPr>
          <w:i/>
          <w:iCs/>
          <w:lang w:val="en-US"/>
        </w:rPr>
        <w:t>, NY</w:t>
      </w:r>
      <w:r w:rsidRPr="00C2258E">
        <w:rPr>
          <w:i/>
          <w:iCs/>
          <w:lang w:val="en-US"/>
        </w:rPr>
        <w:t xml:space="preserve">, USA; </w:t>
      </w:r>
      <w:r w:rsidRPr="00C2258E">
        <w:rPr>
          <w:i/>
          <w:iCs/>
          <w:vertAlign w:val="superscript"/>
          <w:lang w:val="en-US"/>
        </w:rPr>
        <w:t>23</w:t>
      </w:r>
      <w:r w:rsidRPr="00C2258E">
        <w:rPr>
          <w:i/>
          <w:iCs/>
          <w:lang w:val="en-US"/>
        </w:rPr>
        <w:t>University Hospital Southampton</w:t>
      </w:r>
      <w:r w:rsidR="009356C8" w:rsidRPr="009356C8">
        <w:rPr>
          <w:i/>
          <w:iCs/>
          <w:lang w:val="en-US"/>
        </w:rPr>
        <w:t xml:space="preserve"> </w:t>
      </w:r>
      <w:r w:rsidR="009356C8" w:rsidRPr="00C2258E">
        <w:rPr>
          <w:i/>
          <w:iCs/>
          <w:lang w:val="en-US"/>
        </w:rPr>
        <w:t>NHS Foundation Trust</w:t>
      </w:r>
      <w:r w:rsidRPr="00C2258E">
        <w:rPr>
          <w:i/>
          <w:iCs/>
          <w:lang w:val="en-US"/>
        </w:rPr>
        <w:t>, Southampton, UK</w:t>
      </w:r>
      <w:r w:rsidR="0091592C">
        <w:rPr>
          <w:i/>
          <w:iCs/>
          <w:lang w:val="en-US"/>
        </w:rPr>
        <w:t>.</w:t>
      </w:r>
    </w:p>
    <w:p w14:paraId="1931BFFC" w14:textId="722C7EA6" w:rsidR="001220EE" w:rsidRDefault="001220EE">
      <w:r>
        <w:br w:type="page"/>
      </w:r>
    </w:p>
    <w:p w14:paraId="18148F98" w14:textId="77777777" w:rsidR="001220EE" w:rsidRPr="00D266B0" w:rsidRDefault="001220EE" w:rsidP="001220EE">
      <w:pPr>
        <w:pStyle w:val="Heading1"/>
        <w:spacing w:line="480" w:lineRule="auto"/>
        <w:rPr>
          <w:rFonts w:cs="Times New Roman"/>
          <w:szCs w:val="24"/>
          <w:lang w:val="en-US"/>
        </w:rPr>
      </w:pPr>
      <w:r w:rsidRPr="00D266B0">
        <w:rPr>
          <w:rFonts w:cs="Times New Roman"/>
          <w:szCs w:val="24"/>
          <w:lang w:val="en-US"/>
        </w:rPr>
        <w:lastRenderedPageBreak/>
        <w:t>SUPPLEMENTARY APPENDIX</w:t>
      </w:r>
    </w:p>
    <w:p w14:paraId="61B917CE" w14:textId="77777777" w:rsidR="00094695" w:rsidRDefault="00094695" w:rsidP="00094695">
      <w:pPr>
        <w:pStyle w:val="Paragraph"/>
        <w:numPr>
          <w:ilvl w:val="0"/>
          <w:numId w:val="2"/>
        </w:numPr>
        <w:rPr>
          <w:lang w:val="en-US"/>
        </w:rPr>
      </w:pPr>
      <w:r>
        <w:rPr>
          <w:lang w:val="en-US"/>
        </w:rPr>
        <w:t>Figure S1. Participant Flow Diagram</w:t>
      </w:r>
    </w:p>
    <w:p w14:paraId="05FD07E1" w14:textId="77777777" w:rsidR="001220EE" w:rsidRPr="00D266B0" w:rsidRDefault="001220EE" w:rsidP="001220EE">
      <w:pPr>
        <w:pStyle w:val="Paragraph"/>
        <w:numPr>
          <w:ilvl w:val="0"/>
          <w:numId w:val="2"/>
        </w:numPr>
        <w:rPr>
          <w:lang w:val="en-US"/>
        </w:rPr>
      </w:pPr>
      <w:r w:rsidRPr="00D266B0">
        <w:rPr>
          <w:lang w:val="en-US"/>
        </w:rPr>
        <w:t xml:space="preserve">Inclusion/exclusion criteria </w:t>
      </w:r>
    </w:p>
    <w:p w14:paraId="5723E581" w14:textId="77777777" w:rsidR="001220EE" w:rsidRPr="00D266B0" w:rsidRDefault="001220EE" w:rsidP="001220EE">
      <w:pPr>
        <w:pStyle w:val="Paragraph"/>
        <w:numPr>
          <w:ilvl w:val="0"/>
          <w:numId w:val="2"/>
        </w:numPr>
        <w:rPr>
          <w:lang w:val="en-US"/>
        </w:rPr>
      </w:pPr>
      <w:r w:rsidRPr="00D266B0">
        <w:rPr>
          <w:lang w:val="en-US"/>
        </w:rPr>
        <w:t>Study treatment: melphalan/Hepatic Delivery System (melphalan/HDS)</w:t>
      </w:r>
    </w:p>
    <w:p w14:paraId="17286A7F" w14:textId="77777777" w:rsidR="001220EE" w:rsidRPr="00D266B0" w:rsidRDefault="001220EE" w:rsidP="001220EE">
      <w:pPr>
        <w:pStyle w:val="Paragraph"/>
        <w:numPr>
          <w:ilvl w:val="0"/>
          <w:numId w:val="2"/>
        </w:numPr>
        <w:rPr>
          <w:lang w:val="en-US"/>
        </w:rPr>
      </w:pPr>
      <w:r w:rsidRPr="00D266B0">
        <w:rPr>
          <w:lang w:val="en-US"/>
        </w:rPr>
        <w:t>Dose and schedule of melphalan/HDS treatment</w:t>
      </w:r>
    </w:p>
    <w:p w14:paraId="46172575" w14:textId="77777777" w:rsidR="001220EE" w:rsidRPr="00D266B0" w:rsidRDefault="001220EE" w:rsidP="001220EE">
      <w:pPr>
        <w:pStyle w:val="Paragraph"/>
        <w:numPr>
          <w:ilvl w:val="0"/>
          <w:numId w:val="2"/>
        </w:numPr>
        <w:rPr>
          <w:lang w:val="en-US"/>
        </w:rPr>
      </w:pPr>
      <w:r w:rsidRPr="00D266B0">
        <w:rPr>
          <w:lang w:val="en-US"/>
        </w:rPr>
        <w:t>Meta-analysis of historical data and sample size considerations</w:t>
      </w:r>
    </w:p>
    <w:p w14:paraId="447EC331" w14:textId="0E43ABE9" w:rsidR="00C44321" w:rsidRPr="0076675D" w:rsidRDefault="001220EE" w:rsidP="00AB2820">
      <w:pPr>
        <w:pStyle w:val="Newparagraph"/>
        <w:spacing w:before="240"/>
        <w:ind w:firstLine="0"/>
        <w:rPr>
          <w:b/>
          <w:bCs/>
          <w:color w:val="000000" w:themeColor="text1"/>
          <w:lang w:val="en-US"/>
        </w:rPr>
      </w:pPr>
      <w:r w:rsidRPr="0076675D">
        <w:rPr>
          <w:b/>
          <w:bCs/>
          <w:color w:val="000000" w:themeColor="text1"/>
          <w:lang w:val="en-US"/>
        </w:rPr>
        <w:t>References</w:t>
      </w:r>
    </w:p>
    <w:p w14:paraId="5FD99490" w14:textId="77777777" w:rsidR="00094695" w:rsidRDefault="00C44321">
      <w:pPr>
        <w:rPr>
          <w:b/>
          <w:bCs/>
          <w:color w:val="44546A" w:themeColor="text2"/>
        </w:rPr>
        <w:sectPr w:rsidR="00094695" w:rsidSect="00144834">
          <w:pgSz w:w="11901" w:h="16840" w:code="9"/>
          <w:pgMar w:top="1354" w:right="1195" w:bottom="1354" w:left="1699" w:header="720" w:footer="720" w:gutter="0"/>
          <w:cols w:space="708"/>
          <w:docGrid w:linePitch="360"/>
        </w:sectPr>
      </w:pPr>
      <w:r>
        <w:rPr>
          <w:b/>
          <w:bCs/>
          <w:color w:val="44546A" w:themeColor="text2"/>
        </w:rPr>
        <w:br w:type="page"/>
      </w:r>
    </w:p>
    <w:p w14:paraId="3A7E001D" w14:textId="6C9B0A10" w:rsidR="00094695" w:rsidRDefault="00DD4E08" w:rsidP="00094695">
      <w:pPr>
        <w:rPr>
          <w:rFonts w:ascii="Times New Roman" w:hAnsi="Times New Roman" w:cs="Times New Roman"/>
          <w:b/>
          <w:bCs/>
          <w:color w:val="44546A" w:themeColor="text2"/>
          <w:kern w:val="0"/>
          <w:sz w:val="24"/>
          <w:szCs w:val="24"/>
          <w:lang w:eastAsia="en-GB"/>
          <w14:ligatures w14:val="none"/>
        </w:rPr>
        <w:sectPr w:rsidR="00094695" w:rsidSect="00144834">
          <w:pgSz w:w="16840" w:h="11901" w:orient="landscape" w:code="9"/>
          <w:pgMar w:top="1699" w:right="1354" w:bottom="1195" w:left="1354" w:header="720" w:footer="720" w:gutter="0"/>
          <w:cols w:space="708"/>
          <w:docGrid w:linePitch="360"/>
        </w:sectPr>
      </w:pPr>
      <w:r>
        <w:rPr>
          <w:rFonts w:ascii="Times New Roman" w:hAnsi="Times New Roman" w:cs="Times New Roman"/>
          <w:b/>
          <w:bCs/>
          <w:noProof/>
          <w:color w:val="44546A" w:themeColor="text2"/>
          <w:kern w:val="0"/>
          <w:sz w:val="24"/>
          <w:szCs w:val="24"/>
          <w:lang w:val="en-IN" w:eastAsia="en-IN"/>
        </w:rPr>
        <w:lastRenderedPageBreak/>
        <mc:AlternateContent>
          <mc:Choice Requires="wpg">
            <w:drawing>
              <wp:anchor distT="0" distB="0" distL="114300" distR="114300" simplePos="0" relativeHeight="251659264" behindDoc="0" locked="0" layoutInCell="1" allowOverlap="1" wp14:anchorId="12DDF43D" wp14:editId="28184BEA">
                <wp:simplePos x="0" y="0"/>
                <wp:positionH relativeFrom="margin">
                  <wp:align>center</wp:align>
                </wp:positionH>
                <wp:positionV relativeFrom="paragraph">
                  <wp:posOffset>646568</wp:posOffset>
                </wp:positionV>
                <wp:extent cx="5868036" cy="4823462"/>
                <wp:effectExtent l="0" t="0" r="18415" b="15240"/>
                <wp:wrapNone/>
                <wp:docPr id="1504621114" name="Group 9"/>
                <wp:cNvGraphicFramePr/>
                <a:graphic xmlns:a="http://schemas.openxmlformats.org/drawingml/2006/main">
                  <a:graphicData uri="http://schemas.microsoft.com/office/word/2010/wordprocessingGroup">
                    <wpg:wgp>
                      <wpg:cNvGrpSpPr/>
                      <wpg:grpSpPr>
                        <a:xfrm>
                          <a:off x="0" y="0"/>
                          <a:ext cx="5868036" cy="4823462"/>
                          <a:chOff x="-28" y="0"/>
                          <a:chExt cx="4553467" cy="4823462"/>
                        </a:xfrm>
                      </wpg:grpSpPr>
                      <wps:wsp>
                        <wps:cNvPr id="138508006" name="Rectangle 2"/>
                        <wps:cNvSpPr/>
                        <wps:spPr>
                          <a:xfrm>
                            <a:off x="518256" y="0"/>
                            <a:ext cx="4035112" cy="133124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C4557F" w14:textId="65C62674" w:rsidR="00094695" w:rsidRPr="004E33BE" w:rsidRDefault="00094695" w:rsidP="00094695">
                              <w:pPr>
                                <w:spacing w:line="240" w:lineRule="auto"/>
                                <w:rPr>
                                  <w:rFonts w:ascii="Times New Roman" w:hAnsi="Times New Roman" w:cs="Times New Roman"/>
                                  <w:b/>
                                  <w:bCs/>
                                  <w:color w:val="000000" w:themeColor="text1"/>
                                  <w:kern w:val="24"/>
                                  <w:sz w:val="24"/>
                                  <w:szCs w:val="24"/>
                                </w:rPr>
                              </w:pPr>
                              <w:r w:rsidRPr="004E33BE">
                                <w:rPr>
                                  <w:rFonts w:ascii="Times New Roman" w:hAnsi="Times New Roman" w:cs="Times New Roman"/>
                                  <w:b/>
                                  <w:bCs/>
                                  <w:color w:val="000000" w:themeColor="text1"/>
                                  <w:kern w:val="24"/>
                                  <w:sz w:val="24"/>
                                  <w:szCs w:val="24"/>
                                </w:rPr>
                                <w:t>Melphalan/HDS</w:t>
                              </w:r>
                            </w:p>
                            <w:p w14:paraId="0910CE98" w14:textId="675B38BA" w:rsidR="00094695" w:rsidRPr="004E33BE" w:rsidRDefault="007E7AF1" w:rsidP="00094695">
                              <w:pPr>
                                <w:pStyle w:val="ListParagraph"/>
                                <w:numPr>
                                  <w:ilvl w:val="0"/>
                                  <w:numId w:val="11"/>
                                </w:numPr>
                                <w:tabs>
                                  <w:tab w:val="clear" w:pos="720"/>
                                  <w:tab w:val="num" w:pos="540"/>
                                </w:tabs>
                                <w:spacing w:line="240" w:lineRule="auto"/>
                                <w:ind w:left="360" w:hanging="180"/>
                                <w:rPr>
                                  <w:color w:val="000000" w:themeColor="text1"/>
                                  <w:kern w:val="24"/>
                                </w:rPr>
                              </w:pPr>
                              <w:r w:rsidRPr="004E33BE">
                                <w:rPr>
                                  <w:color w:val="000000" w:themeColor="text1"/>
                                  <w:kern w:val="24"/>
                                </w:rPr>
                                <w:t>Enrolled</w:t>
                              </w:r>
                              <w:r w:rsidR="00094695" w:rsidRPr="004E33BE">
                                <w:rPr>
                                  <w:color w:val="000000" w:themeColor="text1"/>
                                  <w:kern w:val="24"/>
                                </w:rPr>
                                <w:t xml:space="preserve">: </w:t>
                              </w:r>
                              <w:r w:rsidR="00365E5F" w:rsidRPr="004E33BE">
                                <w:rPr>
                                  <w:color w:val="000000" w:themeColor="text1"/>
                                  <w:kern w:val="24"/>
                                </w:rPr>
                                <w:t>102</w:t>
                              </w:r>
                            </w:p>
                            <w:p w14:paraId="64D24E72" w14:textId="75717BA1" w:rsidR="00094695" w:rsidRPr="004E33BE" w:rsidRDefault="00094695" w:rsidP="00094695">
                              <w:pPr>
                                <w:pStyle w:val="ListParagraph"/>
                                <w:numPr>
                                  <w:ilvl w:val="0"/>
                                  <w:numId w:val="11"/>
                                </w:numPr>
                                <w:tabs>
                                  <w:tab w:val="clear" w:pos="720"/>
                                  <w:tab w:val="num" w:pos="540"/>
                                </w:tabs>
                                <w:spacing w:line="240" w:lineRule="auto"/>
                                <w:ind w:left="360" w:hanging="180"/>
                                <w:rPr>
                                  <w:color w:val="000000" w:themeColor="text1"/>
                                  <w:kern w:val="24"/>
                                </w:rPr>
                              </w:pPr>
                              <w:r w:rsidRPr="004E33BE">
                                <w:rPr>
                                  <w:color w:val="000000" w:themeColor="text1"/>
                                  <w:kern w:val="24"/>
                                </w:rPr>
                                <w:t xml:space="preserve">Received treatment: </w:t>
                              </w:r>
                              <w:r w:rsidR="00365E5F" w:rsidRPr="004E33BE">
                                <w:rPr>
                                  <w:color w:val="000000" w:themeColor="text1"/>
                                  <w:kern w:val="24"/>
                                </w:rPr>
                                <w:t>91</w:t>
                              </w:r>
                            </w:p>
                            <w:p w14:paraId="73185236" w14:textId="199A456A" w:rsidR="00094695" w:rsidRPr="004E33BE" w:rsidRDefault="00094695" w:rsidP="00094695">
                              <w:pPr>
                                <w:pStyle w:val="ListParagraph"/>
                                <w:numPr>
                                  <w:ilvl w:val="0"/>
                                  <w:numId w:val="11"/>
                                </w:numPr>
                                <w:tabs>
                                  <w:tab w:val="clear" w:pos="720"/>
                                  <w:tab w:val="num" w:pos="540"/>
                                </w:tabs>
                                <w:spacing w:line="240" w:lineRule="auto"/>
                                <w:ind w:left="360" w:hanging="180"/>
                                <w:rPr>
                                  <w:color w:val="000000" w:themeColor="text1"/>
                                  <w:kern w:val="24"/>
                                </w:rPr>
                              </w:pPr>
                              <w:r w:rsidRPr="004E33BE">
                                <w:rPr>
                                  <w:color w:val="000000" w:themeColor="text1"/>
                                  <w:kern w:val="24"/>
                                </w:rPr>
                                <w:t xml:space="preserve">Did not receive treatment: </w:t>
                              </w:r>
                              <w:r w:rsidR="00365E5F" w:rsidRPr="004E33BE">
                                <w:rPr>
                                  <w:color w:val="000000" w:themeColor="text1"/>
                                  <w:kern w:val="24"/>
                                </w:rPr>
                                <w:t>11</w:t>
                              </w:r>
                            </w:p>
                            <w:p w14:paraId="0716E9EA" w14:textId="19860D19" w:rsidR="00094695" w:rsidRPr="004E33BE" w:rsidRDefault="00094695" w:rsidP="00094695">
                              <w:pPr>
                                <w:pStyle w:val="ListParagraph"/>
                                <w:numPr>
                                  <w:ilvl w:val="1"/>
                                  <w:numId w:val="11"/>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Treatment attempted: </w:t>
                              </w:r>
                              <w:r w:rsidR="00365E5F" w:rsidRPr="004E33BE">
                                <w:rPr>
                                  <w:color w:val="000000" w:themeColor="text1"/>
                                  <w:kern w:val="24"/>
                                </w:rPr>
                                <w:t>4</w:t>
                              </w:r>
                            </w:p>
                            <w:p w14:paraId="15187912" w14:textId="55D76BE7" w:rsidR="00094695" w:rsidRPr="004E33BE" w:rsidRDefault="00094695" w:rsidP="00094695">
                              <w:pPr>
                                <w:pStyle w:val="ListParagraph"/>
                                <w:numPr>
                                  <w:ilvl w:val="1"/>
                                  <w:numId w:val="11"/>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Treatment not attempted: </w:t>
                              </w:r>
                              <w:r w:rsidR="00365E5F" w:rsidRPr="004E33BE">
                                <w:rPr>
                                  <w:color w:val="000000" w:themeColor="text1"/>
                                  <w:kern w:val="24"/>
                                </w:rPr>
                                <w:t>7</w:t>
                              </w:r>
                            </w:p>
                          </w:txbxContent>
                        </wps:txbx>
                        <wps:bodyPr wrap="square" rtlCol="0" anchor="ctr">
                          <a:noAutofit/>
                        </wps:bodyPr>
                      </wps:wsp>
                      <wps:wsp>
                        <wps:cNvPr id="265428365" name="Rectangle 3"/>
                        <wps:cNvSpPr/>
                        <wps:spPr>
                          <a:xfrm>
                            <a:off x="518254" y="1404515"/>
                            <a:ext cx="4035185" cy="228790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B05EA4" w14:textId="2FBCA781" w:rsidR="00094695" w:rsidRPr="004E33BE" w:rsidRDefault="00094695" w:rsidP="00094695">
                              <w:pPr>
                                <w:pStyle w:val="ListParagraph"/>
                                <w:numPr>
                                  <w:ilvl w:val="0"/>
                                  <w:numId w:val="14"/>
                                </w:numPr>
                                <w:tabs>
                                  <w:tab w:val="clear" w:pos="720"/>
                                </w:tabs>
                                <w:spacing w:line="240" w:lineRule="auto"/>
                                <w:ind w:left="360" w:hanging="180"/>
                                <w:rPr>
                                  <w:color w:val="000000" w:themeColor="text1"/>
                                  <w:kern w:val="24"/>
                                </w:rPr>
                              </w:pPr>
                              <w:r w:rsidRPr="004E33BE">
                                <w:rPr>
                                  <w:color w:val="000000" w:themeColor="text1"/>
                                  <w:kern w:val="24"/>
                                </w:rPr>
                                <w:t xml:space="preserve">Completed </w:t>
                              </w:r>
                              <w:r w:rsidR="00A02B99">
                                <w:rPr>
                                  <w:color w:val="000000" w:themeColor="text1"/>
                                  <w:kern w:val="24"/>
                                </w:rPr>
                                <w:t>the maximum 6 cycles of treatment permitted</w:t>
                              </w:r>
                              <w:r w:rsidRPr="004E33BE">
                                <w:rPr>
                                  <w:color w:val="000000" w:themeColor="text1"/>
                                  <w:kern w:val="24"/>
                                </w:rPr>
                                <w:t xml:space="preserve"> per protocol: </w:t>
                              </w:r>
                              <w:r w:rsidR="00365E5F" w:rsidRPr="004E33BE">
                                <w:rPr>
                                  <w:color w:val="000000" w:themeColor="text1"/>
                                  <w:kern w:val="24"/>
                                </w:rPr>
                                <w:t>34</w:t>
                              </w:r>
                            </w:p>
                            <w:p w14:paraId="112B802A" w14:textId="5AB1DFE0" w:rsidR="00094695" w:rsidRPr="004E33BE" w:rsidRDefault="00094695" w:rsidP="00094695">
                              <w:pPr>
                                <w:pStyle w:val="ListParagraph"/>
                                <w:numPr>
                                  <w:ilvl w:val="0"/>
                                  <w:numId w:val="14"/>
                                </w:numPr>
                                <w:tabs>
                                  <w:tab w:val="clear" w:pos="720"/>
                                </w:tabs>
                                <w:spacing w:line="240" w:lineRule="auto"/>
                                <w:ind w:left="360" w:hanging="180"/>
                                <w:rPr>
                                  <w:color w:val="000000" w:themeColor="text1"/>
                                  <w:kern w:val="24"/>
                                </w:rPr>
                              </w:pPr>
                              <w:r w:rsidRPr="004E33BE">
                                <w:rPr>
                                  <w:color w:val="000000" w:themeColor="text1"/>
                                  <w:kern w:val="24"/>
                                </w:rPr>
                                <w:t xml:space="preserve">Discontinued treatment: </w:t>
                              </w:r>
                              <w:r w:rsidR="00365E5F" w:rsidRPr="004E33BE">
                                <w:rPr>
                                  <w:color w:val="000000" w:themeColor="text1"/>
                                  <w:kern w:val="24"/>
                                </w:rPr>
                                <w:t>57</w:t>
                              </w:r>
                            </w:p>
                            <w:p w14:paraId="4CE082C7" w14:textId="14AAE3ED"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Disease progression – Investigator decision: </w:t>
                              </w:r>
                              <w:r w:rsidR="00365E5F" w:rsidRPr="004E33BE">
                                <w:rPr>
                                  <w:color w:val="000000" w:themeColor="text1"/>
                                  <w:kern w:val="24"/>
                                </w:rPr>
                                <w:t>15</w:t>
                              </w:r>
                            </w:p>
                            <w:p w14:paraId="212FAC45" w14:textId="050575E8" w:rsidR="00365E5F" w:rsidRPr="004E33BE" w:rsidRDefault="00365E5F" w:rsidP="00365E5F">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Serious adverse event: </w:t>
                              </w:r>
                              <w:r w:rsidR="004E33BE" w:rsidRPr="004E33BE">
                                <w:rPr>
                                  <w:color w:val="000000" w:themeColor="text1"/>
                                  <w:kern w:val="24"/>
                                </w:rPr>
                                <w:t>10</w:t>
                              </w:r>
                            </w:p>
                            <w:p w14:paraId="353BB68D" w14:textId="4A0649D1" w:rsidR="00365E5F" w:rsidRPr="004E33BE" w:rsidRDefault="00365E5F" w:rsidP="00365E5F">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Investigator’s decision: </w:t>
                              </w:r>
                              <w:r w:rsidR="004E33BE" w:rsidRPr="004E33BE">
                                <w:rPr>
                                  <w:color w:val="000000" w:themeColor="text1"/>
                                  <w:kern w:val="24"/>
                                </w:rPr>
                                <w:t>9</w:t>
                              </w:r>
                            </w:p>
                            <w:p w14:paraId="5C05FCFC" w14:textId="7BC10177"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Disease progression requiring systemic therapy: </w:t>
                              </w:r>
                              <w:r w:rsidR="004E33BE" w:rsidRPr="004E33BE">
                                <w:rPr>
                                  <w:color w:val="000000" w:themeColor="text1"/>
                                  <w:kern w:val="24"/>
                                </w:rPr>
                                <w:t>8</w:t>
                              </w:r>
                            </w:p>
                            <w:p w14:paraId="696F09EB" w14:textId="4F1F02D2" w:rsidR="004E33BE" w:rsidRPr="004E33BE" w:rsidRDefault="00094695" w:rsidP="004E33BE">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Adverse event: </w:t>
                              </w:r>
                              <w:r w:rsidR="004E33BE" w:rsidRPr="004E33BE">
                                <w:rPr>
                                  <w:color w:val="000000" w:themeColor="text1"/>
                                  <w:kern w:val="24"/>
                                </w:rPr>
                                <w:t>6</w:t>
                              </w:r>
                            </w:p>
                            <w:p w14:paraId="0E748F8D" w14:textId="38C14489" w:rsidR="00365E5F" w:rsidRPr="004E33BE" w:rsidRDefault="00365E5F" w:rsidP="004E33BE">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Hepatic-only disease progression: 3</w:t>
                              </w:r>
                            </w:p>
                            <w:p w14:paraId="0BA335BF" w14:textId="0BCCDA04"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Withdrawal of consent: </w:t>
                              </w:r>
                              <w:r w:rsidR="004E33BE" w:rsidRPr="004E33BE">
                                <w:rPr>
                                  <w:color w:val="000000" w:themeColor="text1"/>
                                  <w:kern w:val="24"/>
                                </w:rPr>
                                <w:t>3</w:t>
                              </w:r>
                            </w:p>
                            <w:p w14:paraId="0F5184E1" w14:textId="77777777"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COVID: 1</w:t>
                              </w:r>
                            </w:p>
                            <w:p w14:paraId="456370D2" w14:textId="77777777"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Poor patient compliance: 1</w:t>
                              </w:r>
                            </w:p>
                            <w:p w14:paraId="12EC1444" w14:textId="77777777"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Serious adverse event resulting in death: 1</w:t>
                              </w:r>
                            </w:p>
                          </w:txbxContent>
                        </wps:txbx>
                        <wps:bodyPr wrap="square" rtlCol="0" anchor="t">
                          <a:noAutofit/>
                        </wps:bodyPr>
                      </wps:wsp>
                      <wps:wsp>
                        <wps:cNvPr id="946360083" name="Rectangle: Rounded Corners 4"/>
                        <wps:cNvSpPr/>
                        <wps:spPr>
                          <a:xfrm rot="16200000">
                            <a:off x="-451746" y="453686"/>
                            <a:ext cx="1329172" cy="425736"/>
                          </a:xfrm>
                          <a:prstGeom prst="roundRect">
                            <a:avLst/>
                          </a:prstGeom>
                          <a:solidFill>
                            <a:schemeClr val="bg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D21E5E" w14:textId="0C9FFFE1" w:rsidR="00094695" w:rsidRDefault="00094695" w:rsidP="00094695">
                              <w:pPr>
                                <w:spacing w:after="0" w:line="240" w:lineRule="auto"/>
                                <w:jc w:val="center"/>
                                <w:rPr>
                                  <w:rFonts w:ascii="Times New Roman" w:hAnsi="Times New Roman" w:cs="Times New Roman"/>
                                  <w:color w:val="000000" w:themeColor="text1"/>
                                  <w:kern w:val="24"/>
                                  <w:sz w:val="24"/>
                                  <w:szCs w:val="24"/>
                                </w:rPr>
                              </w:pPr>
                              <w:r w:rsidRPr="004E33BE">
                                <w:rPr>
                                  <w:rFonts w:ascii="Times New Roman" w:hAnsi="Times New Roman" w:cs="Times New Roman"/>
                                  <w:color w:val="000000" w:themeColor="text1"/>
                                  <w:kern w:val="24"/>
                                  <w:sz w:val="24"/>
                                  <w:szCs w:val="24"/>
                                </w:rPr>
                                <w:t>Treatment</w:t>
                              </w:r>
                            </w:p>
                            <w:p w14:paraId="79564D6A" w14:textId="77777777" w:rsidR="002872A6" w:rsidRPr="004E33BE" w:rsidRDefault="002872A6" w:rsidP="00094695">
                              <w:pPr>
                                <w:spacing w:after="0" w:line="240" w:lineRule="auto"/>
                                <w:jc w:val="center"/>
                                <w:rPr>
                                  <w:rFonts w:ascii="Times New Roman" w:hAnsi="Times New Roman" w:cs="Times New Roman"/>
                                  <w:color w:val="000000" w:themeColor="text1"/>
                                  <w:kern w:val="24"/>
                                  <w:sz w:val="24"/>
                                  <w:szCs w:val="24"/>
                                </w:rPr>
                              </w:pPr>
                            </w:p>
                          </w:txbxContent>
                        </wps:txbx>
                        <wps:bodyPr wrap="square" rtlCol="0" anchor="ctr">
                          <a:noAutofit/>
                        </wps:bodyPr>
                      </wps:wsp>
                      <wps:wsp>
                        <wps:cNvPr id="280134350" name="Rectangle: Rounded Corners 5"/>
                        <wps:cNvSpPr/>
                        <wps:spPr>
                          <a:xfrm rot="16200000">
                            <a:off x="-929703" y="2336893"/>
                            <a:ext cx="2287841" cy="422984"/>
                          </a:xfrm>
                          <a:prstGeom prst="roundRect">
                            <a:avLst/>
                          </a:prstGeom>
                          <a:solidFill>
                            <a:schemeClr val="bg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8E3AF53" w14:textId="77777777" w:rsidR="00094695" w:rsidRPr="004E33BE" w:rsidRDefault="00094695" w:rsidP="00094695">
                              <w:pPr>
                                <w:spacing w:after="0" w:line="240" w:lineRule="auto"/>
                                <w:jc w:val="center"/>
                                <w:rPr>
                                  <w:rFonts w:ascii="Times New Roman" w:hAnsi="Times New Roman" w:cs="Times New Roman"/>
                                  <w:color w:val="000000" w:themeColor="text1"/>
                                  <w:kern w:val="24"/>
                                  <w:sz w:val="24"/>
                                  <w:szCs w:val="24"/>
                                </w:rPr>
                              </w:pPr>
                              <w:r w:rsidRPr="004E33BE">
                                <w:rPr>
                                  <w:rFonts w:ascii="Times New Roman" w:hAnsi="Times New Roman" w:cs="Times New Roman"/>
                                  <w:color w:val="000000" w:themeColor="text1"/>
                                  <w:kern w:val="24"/>
                                  <w:sz w:val="24"/>
                                  <w:szCs w:val="24"/>
                                </w:rPr>
                                <w:t>Follow-up</w:t>
                              </w:r>
                            </w:p>
                            <w:p w14:paraId="01C9DF51" w14:textId="77777777" w:rsidR="00094695" w:rsidRPr="001D5FD6" w:rsidRDefault="00094695" w:rsidP="00094695">
                              <w:pPr>
                                <w:spacing w:after="0" w:line="240" w:lineRule="auto"/>
                                <w:jc w:val="center"/>
                                <w:rPr>
                                  <w:rFonts w:ascii="Times New Roman" w:hAnsi="Times New Roman" w:cs="Times New Roman"/>
                                  <w:color w:val="000000" w:themeColor="text1"/>
                                  <w:kern w:val="24"/>
                                  <w:sz w:val="20"/>
                                  <w:szCs w:val="20"/>
                                </w:rPr>
                              </w:pPr>
                            </w:p>
                          </w:txbxContent>
                        </wps:txbx>
                        <wps:bodyPr wrap="square" rtlCol="0" anchor="ctr">
                          <a:noAutofit/>
                        </wps:bodyPr>
                      </wps:wsp>
                      <wps:wsp>
                        <wps:cNvPr id="648830815" name="Rectangle: Rounded Corners 6"/>
                        <wps:cNvSpPr/>
                        <wps:spPr>
                          <a:xfrm rot="16200000">
                            <a:off x="-308003" y="4089754"/>
                            <a:ext cx="1049020" cy="418396"/>
                          </a:xfrm>
                          <a:prstGeom prst="roundRect">
                            <a:avLst/>
                          </a:prstGeom>
                          <a:solidFill>
                            <a:schemeClr val="bg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88E9F0" w14:textId="77777777" w:rsidR="00094695" w:rsidRPr="004E33BE" w:rsidRDefault="00094695" w:rsidP="00094695">
                              <w:pPr>
                                <w:spacing w:after="0" w:line="240" w:lineRule="auto"/>
                                <w:jc w:val="center"/>
                                <w:rPr>
                                  <w:rFonts w:ascii="Times New Roman" w:hAnsi="Times New Roman" w:cs="Times New Roman"/>
                                  <w:color w:val="000000" w:themeColor="text1"/>
                                  <w:kern w:val="24"/>
                                  <w:sz w:val="24"/>
                                  <w:szCs w:val="24"/>
                                </w:rPr>
                              </w:pPr>
                              <w:r w:rsidRPr="004E33BE">
                                <w:rPr>
                                  <w:rFonts w:ascii="Times New Roman" w:hAnsi="Times New Roman" w:cs="Times New Roman"/>
                                  <w:color w:val="000000" w:themeColor="text1"/>
                                  <w:kern w:val="24"/>
                                  <w:sz w:val="24"/>
                                  <w:szCs w:val="24"/>
                                </w:rPr>
                                <w:t>Analysis population</w:t>
                              </w:r>
                            </w:p>
                          </w:txbxContent>
                        </wps:txbx>
                        <wps:bodyPr rtlCol="0" anchor="ctr">
                          <a:noAutofit/>
                        </wps:bodyPr>
                      </wps:wsp>
                      <wps:wsp>
                        <wps:cNvPr id="434848908" name="Rectangle 7"/>
                        <wps:cNvSpPr/>
                        <wps:spPr>
                          <a:xfrm>
                            <a:off x="518254" y="3774641"/>
                            <a:ext cx="4035132" cy="104711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1287A0" w14:textId="1D6A3264" w:rsidR="00094695" w:rsidRPr="004E33BE" w:rsidRDefault="00094695" w:rsidP="00094695">
                              <w:pPr>
                                <w:pStyle w:val="ListParagraph"/>
                                <w:numPr>
                                  <w:ilvl w:val="0"/>
                                  <w:numId w:val="16"/>
                                </w:numPr>
                                <w:spacing w:line="240" w:lineRule="auto"/>
                                <w:rPr>
                                  <w:color w:val="000000" w:themeColor="text1"/>
                                  <w:kern w:val="24"/>
                                </w:rPr>
                              </w:pPr>
                              <w:r w:rsidRPr="004E33BE">
                                <w:rPr>
                                  <w:color w:val="000000" w:themeColor="text1"/>
                                  <w:kern w:val="24"/>
                                </w:rPr>
                                <w:t>Intention-to-treat population N=102</w:t>
                              </w:r>
                            </w:p>
                            <w:p w14:paraId="49E9AEC9" w14:textId="77777777" w:rsidR="00094695" w:rsidRPr="004E33BE" w:rsidRDefault="00094695" w:rsidP="00094695">
                              <w:pPr>
                                <w:pStyle w:val="ListParagraph"/>
                                <w:numPr>
                                  <w:ilvl w:val="0"/>
                                  <w:numId w:val="16"/>
                                </w:numPr>
                                <w:spacing w:line="240" w:lineRule="auto"/>
                                <w:rPr>
                                  <w:color w:val="000000" w:themeColor="text1"/>
                                  <w:kern w:val="24"/>
                                </w:rPr>
                              </w:pPr>
                              <w:r w:rsidRPr="004E33BE">
                                <w:rPr>
                                  <w:color w:val="000000" w:themeColor="text1"/>
                                  <w:kern w:val="24"/>
                                </w:rPr>
                                <w:t>Safety population N=95</w:t>
                              </w:r>
                            </w:p>
                            <w:p w14:paraId="24E32E90" w14:textId="77777777" w:rsidR="00094695" w:rsidRPr="004E33BE" w:rsidRDefault="00094695" w:rsidP="00094695">
                              <w:pPr>
                                <w:pStyle w:val="ListParagraph"/>
                                <w:numPr>
                                  <w:ilvl w:val="0"/>
                                  <w:numId w:val="16"/>
                                </w:numPr>
                                <w:spacing w:line="240" w:lineRule="auto"/>
                                <w:rPr>
                                  <w:color w:val="000000" w:themeColor="text1"/>
                                  <w:kern w:val="24"/>
                                </w:rPr>
                              </w:pPr>
                              <w:r w:rsidRPr="004E33BE">
                                <w:rPr>
                                  <w:color w:val="000000" w:themeColor="text1"/>
                                  <w:kern w:val="24"/>
                                </w:rPr>
                                <w:t>Treated population N=91</w:t>
                              </w:r>
                            </w:p>
                          </w:txbxContent>
                        </wps:txbx>
                        <wps:bodyPr wrap="square"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DDF43D" id="Group 9" o:spid="_x0000_s1026" style="position:absolute;margin-left:0;margin-top:50.9pt;width:462.05pt;height:379.8pt;z-index:251659264;mso-position-horizontal:center;mso-position-horizontal-relative:margin;mso-width-relative:margin;mso-height-relative:margin" coordorigin="" coordsize="45534,48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">
                <v:rect id="Rectangle 2" o:spid="_x0000_s1027" style="position:absolute;left:5182;width:40351;height:13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" filled="f" strokecolor="black [3213]" strokeweight="1pt">
                  <v:textbox>
                    <w:txbxContent>
                      <w:p w14:paraId="6AC4557F" w14:textId="65C62674" w:rsidR="00094695" w:rsidRPr="004E33BE" w:rsidRDefault="00094695" w:rsidP="00094695">
                        <w:pPr>
                          <w:spacing w:line="240" w:lineRule="auto"/>
                          <w:rPr>
                            <w:rFonts w:ascii="Times New Roman" w:hAnsi="Times New Roman" w:cs="Times New Roman"/>
                            <w:b/>
                            <w:bCs/>
                            <w:color w:val="000000" w:themeColor="text1"/>
                            <w:kern w:val="24"/>
                            <w:sz w:val="24"/>
                            <w:szCs w:val="24"/>
                          </w:rPr>
                        </w:pPr>
                        <w:r w:rsidRPr="004E33BE">
                          <w:rPr>
                            <w:rFonts w:ascii="Times New Roman" w:hAnsi="Times New Roman" w:cs="Times New Roman"/>
                            <w:b/>
                            <w:bCs/>
                            <w:color w:val="000000" w:themeColor="text1"/>
                            <w:kern w:val="24"/>
                            <w:sz w:val="24"/>
                            <w:szCs w:val="24"/>
                          </w:rPr>
                          <w:t>Melphalan/HDS</w:t>
                        </w:r>
                      </w:p>
                      <w:p w14:paraId="0910CE98" w14:textId="675B38BA" w:rsidR="00094695" w:rsidRPr="004E33BE" w:rsidRDefault="007E7AF1" w:rsidP="00094695">
                        <w:pPr>
                          <w:pStyle w:val="ListParagraph"/>
                          <w:numPr>
                            <w:ilvl w:val="0"/>
                            <w:numId w:val="11"/>
                          </w:numPr>
                          <w:tabs>
                            <w:tab w:val="clear" w:pos="720"/>
                            <w:tab w:val="num" w:pos="540"/>
                          </w:tabs>
                          <w:spacing w:line="240" w:lineRule="auto"/>
                          <w:ind w:left="360" w:hanging="180"/>
                          <w:rPr>
                            <w:color w:val="000000" w:themeColor="text1"/>
                            <w:kern w:val="24"/>
                          </w:rPr>
                        </w:pPr>
                        <w:r w:rsidRPr="004E33BE">
                          <w:rPr>
                            <w:color w:val="000000" w:themeColor="text1"/>
                            <w:kern w:val="24"/>
                          </w:rPr>
                          <w:t>Enrolled</w:t>
                        </w:r>
                        <w:r w:rsidR="00094695" w:rsidRPr="004E33BE">
                          <w:rPr>
                            <w:color w:val="000000" w:themeColor="text1"/>
                            <w:kern w:val="24"/>
                          </w:rPr>
                          <w:t xml:space="preserve">: </w:t>
                        </w:r>
                        <w:r w:rsidR="00365E5F" w:rsidRPr="004E33BE">
                          <w:rPr>
                            <w:color w:val="000000" w:themeColor="text1"/>
                            <w:kern w:val="24"/>
                          </w:rPr>
                          <w:t>102</w:t>
                        </w:r>
                      </w:p>
                      <w:p w14:paraId="64D24E72" w14:textId="75717BA1" w:rsidR="00094695" w:rsidRPr="004E33BE" w:rsidRDefault="00094695" w:rsidP="00094695">
                        <w:pPr>
                          <w:pStyle w:val="ListParagraph"/>
                          <w:numPr>
                            <w:ilvl w:val="0"/>
                            <w:numId w:val="11"/>
                          </w:numPr>
                          <w:tabs>
                            <w:tab w:val="clear" w:pos="720"/>
                            <w:tab w:val="num" w:pos="540"/>
                          </w:tabs>
                          <w:spacing w:line="240" w:lineRule="auto"/>
                          <w:ind w:left="360" w:hanging="180"/>
                          <w:rPr>
                            <w:color w:val="000000" w:themeColor="text1"/>
                            <w:kern w:val="24"/>
                          </w:rPr>
                        </w:pPr>
                        <w:r w:rsidRPr="004E33BE">
                          <w:rPr>
                            <w:color w:val="000000" w:themeColor="text1"/>
                            <w:kern w:val="24"/>
                          </w:rPr>
                          <w:t xml:space="preserve">Received treatment: </w:t>
                        </w:r>
                        <w:r w:rsidR="00365E5F" w:rsidRPr="004E33BE">
                          <w:rPr>
                            <w:color w:val="000000" w:themeColor="text1"/>
                            <w:kern w:val="24"/>
                          </w:rPr>
                          <w:t>91</w:t>
                        </w:r>
                      </w:p>
                      <w:p w14:paraId="73185236" w14:textId="199A456A" w:rsidR="00094695" w:rsidRPr="004E33BE" w:rsidRDefault="00094695" w:rsidP="00094695">
                        <w:pPr>
                          <w:pStyle w:val="ListParagraph"/>
                          <w:numPr>
                            <w:ilvl w:val="0"/>
                            <w:numId w:val="11"/>
                          </w:numPr>
                          <w:tabs>
                            <w:tab w:val="clear" w:pos="720"/>
                            <w:tab w:val="num" w:pos="540"/>
                          </w:tabs>
                          <w:spacing w:line="240" w:lineRule="auto"/>
                          <w:ind w:left="360" w:hanging="180"/>
                          <w:rPr>
                            <w:color w:val="000000" w:themeColor="text1"/>
                            <w:kern w:val="24"/>
                          </w:rPr>
                        </w:pPr>
                        <w:r w:rsidRPr="004E33BE">
                          <w:rPr>
                            <w:color w:val="000000" w:themeColor="text1"/>
                            <w:kern w:val="24"/>
                          </w:rPr>
                          <w:t xml:space="preserve">Did not receive treatment: </w:t>
                        </w:r>
                        <w:r w:rsidR="00365E5F" w:rsidRPr="004E33BE">
                          <w:rPr>
                            <w:color w:val="000000" w:themeColor="text1"/>
                            <w:kern w:val="24"/>
                          </w:rPr>
                          <w:t>11</w:t>
                        </w:r>
                      </w:p>
                      <w:p w14:paraId="0716E9EA" w14:textId="19860D19" w:rsidR="00094695" w:rsidRPr="004E33BE" w:rsidRDefault="00094695" w:rsidP="00094695">
                        <w:pPr>
                          <w:pStyle w:val="ListParagraph"/>
                          <w:numPr>
                            <w:ilvl w:val="1"/>
                            <w:numId w:val="11"/>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Treatment attempted: </w:t>
                        </w:r>
                        <w:r w:rsidR="00365E5F" w:rsidRPr="004E33BE">
                          <w:rPr>
                            <w:color w:val="000000" w:themeColor="text1"/>
                            <w:kern w:val="24"/>
                          </w:rPr>
                          <w:t>4</w:t>
                        </w:r>
                      </w:p>
                      <w:p w14:paraId="15187912" w14:textId="55D76BE7" w:rsidR="00094695" w:rsidRPr="004E33BE" w:rsidRDefault="00094695" w:rsidP="00094695">
                        <w:pPr>
                          <w:pStyle w:val="ListParagraph"/>
                          <w:numPr>
                            <w:ilvl w:val="1"/>
                            <w:numId w:val="11"/>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Treatment not attempted: </w:t>
                        </w:r>
                        <w:r w:rsidR="00365E5F" w:rsidRPr="004E33BE">
                          <w:rPr>
                            <w:color w:val="000000" w:themeColor="text1"/>
                            <w:kern w:val="24"/>
                          </w:rPr>
                          <w:t>7</w:t>
                        </w:r>
                      </w:p>
                    </w:txbxContent>
                  </v:textbox>
                </v:rect>
                <v:rect id="Rectangle 3" o:spid="_x0000_s1028" style="position:absolute;left:5182;top:14045;width:40352;height:22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" filled="f" strokecolor="black [3213]" strokeweight="1pt">
                  <v:textbox>
                    <w:txbxContent>
                      <w:p w14:paraId="28B05EA4" w14:textId="2FBCA781" w:rsidR="00094695" w:rsidRPr="004E33BE" w:rsidRDefault="00094695" w:rsidP="00094695">
                        <w:pPr>
                          <w:pStyle w:val="ListParagraph"/>
                          <w:numPr>
                            <w:ilvl w:val="0"/>
                            <w:numId w:val="14"/>
                          </w:numPr>
                          <w:tabs>
                            <w:tab w:val="clear" w:pos="720"/>
                          </w:tabs>
                          <w:spacing w:line="240" w:lineRule="auto"/>
                          <w:ind w:left="360" w:hanging="180"/>
                          <w:rPr>
                            <w:color w:val="000000" w:themeColor="text1"/>
                            <w:kern w:val="24"/>
                          </w:rPr>
                        </w:pPr>
                        <w:r w:rsidRPr="004E33BE">
                          <w:rPr>
                            <w:color w:val="000000" w:themeColor="text1"/>
                            <w:kern w:val="24"/>
                          </w:rPr>
                          <w:t xml:space="preserve">Completed </w:t>
                        </w:r>
                        <w:r w:rsidR="00A02B99">
                          <w:rPr>
                            <w:color w:val="000000" w:themeColor="text1"/>
                            <w:kern w:val="24"/>
                          </w:rPr>
                          <w:t>the maximum 6 cycles of treatment permitted</w:t>
                        </w:r>
                        <w:r w:rsidRPr="004E33BE">
                          <w:rPr>
                            <w:color w:val="000000" w:themeColor="text1"/>
                            <w:kern w:val="24"/>
                          </w:rPr>
                          <w:t xml:space="preserve"> per protocol: </w:t>
                        </w:r>
                        <w:r w:rsidR="00365E5F" w:rsidRPr="004E33BE">
                          <w:rPr>
                            <w:color w:val="000000" w:themeColor="text1"/>
                            <w:kern w:val="24"/>
                          </w:rPr>
                          <w:t>34</w:t>
                        </w:r>
                      </w:p>
                      <w:p w14:paraId="112B802A" w14:textId="5AB1DFE0" w:rsidR="00094695" w:rsidRPr="004E33BE" w:rsidRDefault="00094695" w:rsidP="00094695">
                        <w:pPr>
                          <w:pStyle w:val="ListParagraph"/>
                          <w:numPr>
                            <w:ilvl w:val="0"/>
                            <w:numId w:val="14"/>
                          </w:numPr>
                          <w:tabs>
                            <w:tab w:val="clear" w:pos="720"/>
                          </w:tabs>
                          <w:spacing w:line="240" w:lineRule="auto"/>
                          <w:ind w:left="360" w:hanging="180"/>
                          <w:rPr>
                            <w:color w:val="000000" w:themeColor="text1"/>
                            <w:kern w:val="24"/>
                          </w:rPr>
                        </w:pPr>
                        <w:r w:rsidRPr="004E33BE">
                          <w:rPr>
                            <w:color w:val="000000" w:themeColor="text1"/>
                            <w:kern w:val="24"/>
                          </w:rPr>
                          <w:t xml:space="preserve">Discontinued treatment: </w:t>
                        </w:r>
                        <w:r w:rsidR="00365E5F" w:rsidRPr="004E33BE">
                          <w:rPr>
                            <w:color w:val="000000" w:themeColor="text1"/>
                            <w:kern w:val="24"/>
                          </w:rPr>
                          <w:t>57</w:t>
                        </w:r>
                      </w:p>
                      <w:p w14:paraId="4CE082C7" w14:textId="14AAE3ED"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Disease progression – Investigator decision: </w:t>
                        </w:r>
                        <w:r w:rsidR="00365E5F" w:rsidRPr="004E33BE">
                          <w:rPr>
                            <w:color w:val="000000" w:themeColor="text1"/>
                            <w:kern w:val="24"/>
                          </w:rPr>
                          <w:t>15</w:t>
                        </w:r>
                      </w:p>
                      <w:p w14:paraId="212FAC45" w14:textId="050575E8" w:rsidR="00365E5F" w:rsidRPr="004E33BE" w:rsidRDefault="00365E5F" w:rsidP="00365E5F">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Serious adverse event: </w:t>
                        </w:r>
                        <w:r w:rsidR="004E33BE" w:rsidRPr="004E33BE">
                          <w:rPr>
                            <w:color w:val="000000" w:themeColor="text1"/>
                            <w:kern w:val="24"/>
                          </w:rPr>
                          <w:t>10</w:t>
                        </w:r>
                      </w:p>
                      <w:p w14:paraId="353BB68D" w14:textId="4A0649D1" w:rsidR="00365E5F" w:rsidRPr="004E33BE" w:rsidRDefault="00365E5F" w:rsidP="00365E5F">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Investigator’s decision: </w:t>
                        </w:r>
                        <w:r w:rsidR="004E33BE" w:rsidRPr="004E33BE">
                          <w:rPr>
                            <w:color w:val="000000" w:themeColor="text1"/>
                            <w:kern w:val="24"/>
                          </w:rPr>
                          <w:t>9</w:t>
                        </w:r>
                      </w:p>
                      <w:p w14:paraId="5C05FCFC" w14:textId="7BC10177"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Disease progression requiring systemic therapy: </w:t>
                        </w:r>
                        <w:r w:rsidR="004E33BE" w:rsidRPr="004E33BE">
                          <w:rPr>
                            <w:color w:val="000000" w:themeColor="text1"/>
                            <w:kern w:val="24"/>
                          </w:rPr>
                          <w:t>8</w:t>
                        </w:r>
                      </w:p>
                      <w:p w14:paraId="696F09EB" w14:textId="4F1F02D2" w:rsidR="004E33BE" w:rsidRPr="004E33BE" w:rsidRDefault="00094695" w:rsidP="004E33BE">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Adverse event: </w:t>
                        </w:r>
                        <w:r w:rsidR="004E33BE" w:rsidRPr="004E33BE">
                          <w:rPr>
                            <w:color w:val="000000" w:themeColor="text1"/>
                            <w:kern w:val="24"/>
                          </w:rPr>
                          <w:t>6</w:t>
                        </w:r>
                      </w:p>
                      <w:p w14:paraId="0E748F8D" w14:textId="38C14489" w:rsidR="00365E5F" w:rsidRPr="004E33BE" w:rsidRDefault="00365E5F" w:rsidP="004E33BE">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Hepatic-only disease progression: 3</w:t>
                        </w:r>
                      </w:p>
                      <w:p w14:paraId="0BA335BF" w14:textId="0BCCDA04"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 xml:space="preserve">Withdrawal of consent: </w:t>
                        </w:r>
                        <w:r w:rsidR="004E33BE" w:rsidRPr="004E33BE">
                          <w:rPr>
                            <w:color w:val="000000" w:themeColor="text1"/>
                            <w:kern w:val="24"/>
                          </w:rPr>
                          <w:t>3</w:t>
                        </w:r>
                      </w:p>
                      <w:p w14:paraId="0F5184E1" w14:textId="77777777"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COVID: 1</w:t>
                        </w:r>
                      </w:p>
                      <w:p w14:paraId="456370D2" w14:textId="77777777"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Poor patient compliance: 1</w:t>
                        </w:r>
                      </w:p>
                      <w:p w14:paraId="12EC1444" w14:textId="77777777" w:rsidR="00094695" w:rsidRPr="004E33BE" w:rsidRDefault="00094695" w:rsidP="00094695">
                        <w:pPr>
                          <w:pStyle w:val="ListParagraph"/>
                          <w:numPr>
                            <w:ilvl w:val="1"/>
                            <w:numId w:val="14"/>
                          </w:numPr>
                          <w:tabs>
                            <w:tab w:val="clear" w:pos="1440"/>
                            <w:tab w:val="num" w:pos="1080"/>
                          </w:tabs>
                          <w:spacing w:line="240" w:lineRule="auto"/>
                          <w:ind w:left="720" w:hanging="180"/>
                          <w:rPr>
                            <w:color w:val="000000" w:themeColor="text1"/>
                            <w:kern w:val="24"/>
                          </w:rPr>
                        </w:pPr>
                        <w:r w:rsidRPr="004E33BE">
                          <w:rPr>
                            <w:color w:val="000000" w:themeColor="text1"/>
                            <w:kern w:val="24"/>
                          </w:rPr>
                          <w:t>Serious adverse event resulting in death: 1</w:t>
                        </w:r>
                      </w:p>
                    </w:txbxContent>
                  </v:textbox>
                </v:rect>
                <v:roundrect id="Rectangle: Rounded Corners 4" o:spid="_x0000_s1029" style="position:absolute;left:-4517;top:4536;width:13292;height:425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" fillcolor="#e7e6e6 [3214]" strokecolor="black [3213]" strokeweight="1pt">
                  <v:stroke joinstyle="miter"/>
                  <v:textbox>
                    <w:txbxContent>
                      <w:p w14:paraId="05D21E5E" w14:textId="0C9FFFE1" w:rsidR="00094695" w:rsidRDefault="00094695" w:rsidP="00094695">
                        <w:pPr>
                          <w:spacing w:after="0" w:line="240" w:lineRule="auto"/>
                          <w:jc w:val="center"/>
                          <w:rPr>
                            <w:rFonts w:ascii="Times New Roman" w:hAnsi="Times New Roman" w:cs="Times New Roman"/>
                            <w:color w:val="000000" w:themeColor="text1"/>
                            <w:kern w:val="24"/>
                            <w:sz w:val="24"/>
                            <w:szCs w:val="24"/>
                          </w:rPr>
                        </w:pPr>
                        <w:r w:rsidRPr="004E33BE">
                          <w:rPr>
                            <w:rFonts w:ascii="Times New Roman" w:hAnsi="Times New Roman" w:cs="Times New Roman"/>
                            <w:color w:val="000000" w:themeColor="text1"/>
                            <w:kern w:val="24"/>
                            <w:sz w:val="24"/>
                            <w:szCs w:val="24"/>
                          </w:rPr>
                          <w:t>Treatment</w:t>
                        </w:r>
                      </w:p>
                      <w:p w14:paraId="79564D6A" w14:textId="77777777" w:rsidR="002872A6" w:rsidRPr="004E33BE" w:rsidRDefault="002872A6" w:rsidP="00094695">
                        <w:pPr>
                          <w:spacing w:after="0" w:line="240" w:lineRule="auto"/>
                          <w:jc w:val="center"/>
                          <w:rPr>
                            <w:rFonts w:ascii="Times New Roman" w:hAnsi="Times New Roman" w:cs="Times New Roman"/>
                            <w:color w:val="000000" w:themeColor="text1"/>
                            <w:kern w:val="24"/>
                            <w:sz w:val="24"/>
                            <w:szCs w:val="24"/>
                          </w:rPr>
                        </w:pPr>
                      </w:p>
                    </w:txbxContent>
                  </v:textbox>
                </v:roundrect>
                <v:roundrect id="Rectangle: Rounded Corners 5" o:spid="_x0000_s1030" style="position:absolute;left:-9298;top:23369;width:22879;height:4230;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" fillcolor="#e7e6e6 [3214]" strokecolor="black [3213]" strokeweight="1pt">
                  <v:stroke joinstyle="miter"/>
                  <v:textbox>
                    <w:txbxContent>
                      <w:p w14:paraId="68E3AF53" w14:textId="77777777" w:rsidR="00094695" w:rsidRPr="004E33BE" w:rsidRDefault="00094695" w:rsidP="00094695">
                        <w:pPr>
                          <w:spacing w:after="0" w:line="240" w:lineRule="auto"/>
                          <w:jc w:val="center"/>
                          <w:rPr>
                            <w:rFonts w:ascii="Times New Roman" w:hAnsi="Times New Roman" w:cs="Times New Roman"/>
                            <w:color w:val="000000" w:themeColor="text1"/>
                            <w:kern w:val="24"/>
                            <w:sz w:val="24"/>
                            <w:szCs w:val="24"/>
                          </w:rPr>
                        </w:pPr>
                        <w:r w:rsidRPr="004E33BE">
                          <w:rPr>
                            <w:rFonts w:ascii="Times New Roman" w:hAnsi="Times New Roman" w:cs="Times New Roman"/>
                            <w:color w:val="000000" w:themeColor="text1"/>
                            <w:kern w:val="24"/>
                            <w:sz w:val="24"/>
                            <w:szCs w:val="24"/>
                          </w:rPr>
                          <w:t>Follow-up</w:t>
                        </w:r>
                      </w:p>
                      <w:p w14:paraId="01C9DF51" w14:textId="77777777" w:rsidR="00094695" w:rsidRPr="001D5FD6" w:rsidRDefault="00094695" w:rsidP="00094695">
                        <w:pPr>
                          <w:spacing w:after="0" w:line="240" w:lineRule="auto"/>
                          <w:jc w:val="center"/>
                          <w:rPr>
                            <w:rFonts w:ascii="Times New Roman" w:hAnsi="Times New Roman" w:cs="Times New Roman"/>
                            <w:color w:val="000000" w:themeColor="text1"/>
                            <w:kern w:val="24"/>
                            <w:sz w:val="20"/>
                            <w:szCs w:val="20"/>
                          </w:rPr>
                        </w:pPr>
                      </w:p>
                    </w:txbxContent>
                  </v:textbox>
                </v:roundrect>
                <v:roundrect id="Rectangle: Rounded Corners 6" o:spid="_x0000_s1031" style="position:absolute;left:-3080;top:40897;width:10490;height:4184;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" fillcolor="#e7e6e6 [3214]" strokecolor="black [3213]" strokeweight="1pt">
                  <v:stroke joinstyle="miter"/>
                  <v:textbox>
                    <w:txbxContent>
                      <w:p w14:paraId="3888E9F0" w14:textId="77777777" w:rsidR="00094695" w:rsidRPr="004E33BE" w:rsidRDefault="00094695" w:rsidP="00094695">
                        <w:pPr>
                          <w:spacing w:after="0" w:line="240" w:lineRule="auto"/>
                          <w:jc w:val="center"/>
                          <w:rPr>
                            <w:rFonts w:ascii="Times New Roman" w:hAnsi="Times New Roman" w:cs="Times New Roman"/>
                            <w:color w:val="000000" w:themeColor="text1"/>
                            <w:kern w:val="24"/>
                            <w:sz w:val="24"/>
                            <w:szCs w:val="24"/>
                          </w:rPr>
                        </w:pPr>
                        <w:r w:rsidRPr="004E33BE">
                          <w:rPr>
                            <w:rFonts w:ascii="Times New Roman" w:hAnsi="Times New Roman" w:cs="Times New Roman"/>
                            <w:color w:val="000000" w:themeColor="text1"/>
                            <w:kern w:val="24"/>
                            <w:sz w:val="24"/>
                            <w:szCs w:val="24"/>
                          </w:rPr>
                          <w:t>Analysis population</w:t>
                        </w:r>
                      </w:p>
                    </w:txbxContent>
                  </v:textbox>
                </v:roundrect>
                <v:rect id="Rectangle 7" o:spid="_x0000_s1032" style="position:absolute;left:5182;top:37746;width:40351;height:10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" filled="f" strokecolor="black [3213]" strokeweight="1pt">
                  <v:textbox>
                    <w:txbxContent>
                      <w:p w14:paraId="081287A0" w14:textId="1D6A3264" w:rsidR="00094695" w:rsidRPr="004E33BE" w:rsidRDefault="00094695" w:rsidP="00094695">
                        <w:pPr>
                          <w:pStyle w:val="ListParagraph"/>
                          <w:numPr>
                            <w:ilvl w:val="0"/>
                            <w:numId w:val="16"/>
                          </w:numPr>
                          <w:spacing w:line="240" w:lineRule="auto"/>
                          <w:rPr>
                            <w:color w:val="000000" w:themeColor="text1"/>
                            <w:kern w:val="24"/>
                          </w:rPr>
                        </w:pPr>
                        <w:r w:rsidRPr="004E33BE">
                          <w:rPr>
                            <w:color w:val="000000" w:themeColor="text1"/>
                            <w:kern w:val="24"/>
                          </w:rPr>
                          <w:t>Intention-to-treat population N=102</w:t>
                        </w:r>
                      </w:p>
                      <w:p w14:paraId="49E9AEC9" w14:textId="77777777" w:rsidR="00094695" w:rsidRPr="004E33BE" w:rsidRDefault="00094695" w:rsidP="00094695">
                        <w:pPr>
                          <w:pStyle w:val="ListParagraph"/>
                          <w:numPr>
                            <w:ilvl w:val="0"/>
                            <w:numId w:val="16"/>
                          </w:numPr>
                          <w:spacing w:line="240" w:lineRule="auto"/>
                          <w:rPr>
                            <w:color w:val="000000" w:themeColor="text1"/>
                            <w:kern w:val="24"/>
                          </w:rPr>
                        </w:pPr>
                        <w:r w:rsidRPr="004E33BE">
                          <w:rPr>
                            <w:color w:val="000000" w:themeColor="text1"/>
                            <w:kern w:val="24"/>
                          </w:rPr>
                          <w:t>Safety population N=95</w:t>
                        </w:r>
                      </w:p>
                      <w:p w14:paraId="24E32E90" w14:textId="77777777" w:rsidR="00094695" w:rsidRPr="004E33BE" w:rsidRDefault="00094695" w:rsidP="00094695">
                        <w:pPr>
                          <w:pStyle w:val="ListParagraph"/>
                          <w:numPr>
                            <w:ilvl w:val="0"/>
                            <w:numId w:val="16"/>
                          </w:numPr>
                          <w:spacing w:line="240" w:lineRule="auto"/>
                          <w:rPr>
                            <w:color w:val="000000" w:themeColor="text1"/>
                            <w:kern w:val="24"/>
                          </w:rPr>
                        </w:pPr>
                        <w:r w:rsidRPr="004E33BE">
                          <w:rPr>
                            <w:color w:val="000000" w:themeColor="text1"/>
                            <w:kern w:val="24"/>
                          </w:rPr>
                          <w:t>Treated population N=91</w:t>
                        </w:r>
                      </w:p>
                    </w:txbxContent>
                  </v:textbox>
                </v:rect>
                <w10:wrap anchorx="margin"/>
              </v:group>
            </w:pict>
          </mc:Fallback>
        </mc:AlternateContent>
      </w:r>
      <w:r w:rsidR="00094695">
        <w:rPr>
          <w:rFonts w:ascii="Times New Roman" w:hAnsi="Times New Roman" w:cs="Times New Roman"/>
          <w:b/>
          <w:bCs/>
          <w:color w:val="44546A" w:themeColor="text2"/>
          <w:kern w:val="0"/>
          <w:sz w:val="24"/>
          <w:szCs w:val="24"/>
          <w:lang w:eastAsia="en-GB"/>
          <w14:ligatures w14:val="none"/>
        </w:rPr>
        <w:t>Figure S1. Participant Flow Diagram</w:t>
      </w:r>
    </w:p>
    <w:p w14:paraId="5526B4BA" w14:textId="1270EF9B" w:rsidR="00C44321" w:rsidRDefault="00C44321">
      <w:pPr>
        <w:rPr>
          <w:rFonts w:ascii="Times New Roman" w:hAnsi="Times New Roman" w:cs="Times New Roman"/>
          <w:b/>
          <w:bCs/>
          <w:color w:val="44546A" w:themeColor="text2"/>
          <w:kern w:val="0"/>
          <w:sz w:val="24"/>
          <w:szCs w:val="24"/>
          <w:lang w:eastAsia="en-GB"/>
          <w14:ligatures w14:val="none"/>
        </w:rPr>
      </w:pPr>
    </w:p>
    <w:p w14:paraId="4BB44A4D" w14:textId="77777777" w:rsidR="00094695" w:rsidRDefault="00094695">
      <w:pPr>
        <w:rPr>
          <w:rFonts w:ascii="Times New Roman" w:hAnsi="Times New Roman" w:cs="Times New Roman"/>
          <w:b/>
          <w:bCs/>
          <w:color w:val="44546A" w:themeColor="text2"/>
          <w:kern w:val="0"/>
          <w:sz w:val="24"/>
          <w:szCs w:val="24"/>
          <w:lang w:eastAsia="en-GB"/>
          <w14:ligatures w14:val="none"/>
        </w:rPr>
      </w:pPr>
    </w:p>
    <w:p w14:paraId="6521D4EA" w14:textId="77777777" w:rsidR="009105F4" w:rsidRPr="0076675D" w:rsidRDefault="009105F4" w:rsidP="009105F4">
      <w:pPr>
        <w:pStyle w:val="Heading3"/>
        <w:spacing w:line="480" w:lineRule="auto"/>
        <w:rPr>
          <w:rStyle w:val="Heading2Char"/>
          <w:rFonts w:ascii="Times New Roman" w:hAnsi="Times New Roman" w:cs="Times New Roman"/>
          <w:b/>
          <w:i/>
          <w:iCs/>
          <w:color w:val="000000" w:themeColor="text1"/>
        </w:rPr>
      </w:pPr>
      <w:r w:rsidRPr="0076675D">
        <w:rPr>
          <w:rStyle w:val="Heading2Char"/>
          <w:rFonts w:ascii="Times New Roman" w:hAnsi="Times New Roman" w:cs="Times New Roman"/>
          <w:b/>
          <w:i/>
          <w:iCs/>
          <w:color w:val="000000" w:themeColor="text1"/>
        </w:rPr>
        <w:t>Inclusion/exclusion criteria</w:t>
      </w:r>
    </w:p>
    <w:p w14:paraId="5DF1F18B" w14:textId="77777777" w:rsidR="009105F4" w:rsidRPr="00D266B0" w:rsidRDefault="009105F4" w:rsidP="009105F4">
      <w:pPr>
        <w:pStyle w:val="Paragraph"/>
        <w:rPr>
          <w:i/>
          <w:iCs/>
          <w:u w:val="single"/>
          <w:lang w:val="en-US"/>
        </w:rPr>
      </w:pPr>
      <w:r w:rsidRPr="00D266B0">
        <w:rPr>
          <w:i/>
          <w:iCs/>
          <w:u w:val="single"/>
          <w:lang w:val="en-US"/>
        </w:rPr>
        <w:t>Inclusion criteria</w:t>
      </w:r>
    </w:p>
    <w:p w14:paraId="25CC47DA" w14:textId="77777777" w:rsidR="009105F4" w:rsidRPr="00D266B0" w:rsidRDefault="009105F4" w:rsidP="009105F4">
      <w:pPr>
        <w:pStyle w:val="Paragraph"/>
        <w:rPr>
          <w:lang w:val="en-US"/>
        </w:rPr>
      </w:pPr>
      <w:r w:rsidRPr="00D266B0">
        <w:rPr>
          <w:lang w:val="en-US"/>
        </w:rPr>
        <w:t>Subjects were to meet all of the following criteria for study entry:</w:t>
      </w:r>
    </w:p>
    <w:p w14:paraId="28ED2E51" w14:textId="77777777" w:rsidR="009105F4" w:rsidRPr="00D266B0" w:rsidRDefault="009105F4" w:rsidP="009105F4">
      <w:pPr>
        <w:pStyle w:val="Paragraph"/>
        <w:numPr>
          <w:ilvl w:val="0"/>
          <w:numId w:val="3"/>
        </w:numPr>
        <w:ind w:left="900"/>
        <w:rPr>
          <w:lang w:val="en-US"/>
        </w:rPr>
      </w:pPr>
      <w:r w:rsidRPr="00D266B0">
        <w:rPr>
          <w:lang w:val="en-US"/>
        </w:rPr>
        <w:t>Male or female subjects ≥18 years of age.</w:t>
      </w:r>
    </w:p>
    <w:p w14:paraId="2E16B524" w14:textId="77777777" w:rsidR="009105F4" w:rsidRPr="00D266B0" w:rsidRDefault="009105F4" w:rsidP="009105F4">
      <w:pPr>
        <w:pStyle w:val="Paragraph"/>
        <w:numPr>
          <w:ilvl w:val="0"/>
          <w:numId w:val="3"/>
        </w:numPr>
        <w:ind w:left="900"/>
        <w:rPr>
          <w:lang w:val="en-US"/>
        </w:rPr>
      </w:pPr>
      <w:r w:rsidRPr="00D266B0">
        <w:rPr>
          <w:lang w:val="en-US"/>
        </w:rPr>
        <w:t>Subjects must weigh ≥35 kg (due to possible size limitations with respect to percutaneous catheterization of the femoral artery and vein using the Delcath Hepatic Delivery System [HDS]).</w:t>
      </w:r>
    </w:p>
    <w:p w14:paraId="382FE625" w14:textId="33145DDA" w:rsidR="009105F4" w:rsidRPr="00D266B0" w:rsidRDefault="009105F4" w:rsidP="009105F4">
      <w:pPr>
        <w:pStyle w:val="Paragraph"/>
        <w:numPr>
          <w:ilvl w:val="0"/>
          <w:numId w:val="3"/>
        </w:numPr>
        <w:ind w:left="810"/>
        <w:rPr>
          <w:lang w:val="en-US"/>
        </w:rPr>
      </w:pPr>
      <w:r w:rsidRPr="00D266B0">
        <w:rPr>
          <w:lang w:val="en-US"/>
        </w:rPr>
        <w:t xml:space="preserve">50% or less histologically or cytologically proven </w:t>
      </w:r>
      <w:r w:rsidR="006070D9">
        <w:rPr>
          <w:lang w:val="en-US"/>
        </w:rPr>
        <w:t>uveal</w:t>
      </w:r>
      <w:r w:rsidR="006070D9" w:rsidRPr="00D266B0">
        <w:rPr>
          <w:lang w:val="en-US"/>
        </w:rPr>
        <w:t xml:space="preserve"> </w:t>
      </w:r>
      <w:r w:rsidRPr="00D266B0">
        <w:rPr>
          <w:lang w:val="en-US"/>
        </w:rPr>
        <w:t>melanoma (</w:t>
      </w:r>
      <w:r w:rsidR="006070D9">
        <w:rPr>
          <w:lang w:val="en-US"/>
        </w:rPr>
        <w:t>U</w:t>
      </w:r>
      <w:r w:rsidR="006070D9" w:rsidRPr="00D266B0">
        <w:rPr>
          <w:lang w:val="en-US"/>
        </w:rPr>
        <w:t>M</w:t>
      </w:r>
      <w:r w:rsidRPr="00D266B0">
        <w:rPr>
          <w:lang w:val="en-US"/>
        </w:rPr>
        <w:t>) metastases in the parenchyma of the liver.</w:t>
      </w:r>
    </w:p>
    <w:p w14:paraId="209CD889" w14:textId="77777777" w:rsidR="009105F4" w:rsidRPr="00D266B0" w:rsidRDefault="009105F4" w:rsidP="009105F4">
      <w:pPr>
        <w:pStyle w:val="Paragraph"/>
        <w:numPr>
          <w:ilvl w:val="0"/>
          <w:numId w:val="3"/>
        </w:numPr>
        <w:ind w:left="810"/>
        <w:rPr>
          <w:lang w:val="en-US"/>
        </w:rPr>
      </w:pPr>
      <w:r w:rsidRPr="00D266B0">
        <w:rPr>
          <w:lang w:val="en-US"/>
        </w:rPr>
        <w:t>Disease in the liver measurable by computed tomography (CT) scan and/or magnetic resonance imaging (MRI).</w:t>
      </w:r>
    </w:p>
    <w:p w14:paraId="3C2BB0FF" w14:textId="77777777" w:rsidR="009105F4" w:rsidRPr="00D266B0" w:rsidRDefault="009105F4" w:rsidP="009105F4">
      <w:pPr>
        <w:pStyle w:val="Paragraph"/>
        <w:numPr>
          <w:ilvl w:val="0"/>
          <w:numId w:val="3"/>
        </w:numPr>
        <w:ind w:left="810"/>
        <w:rPr>
          <w:lang w:val="en-US"/>
        </w:rPr>
      </w:pPr>
      <w:r w:rsidRPr="00D266B0">
        <w:rPr>
          <w:lang w:val="en-US"/>
        </w:rPr>
        <w:t>Evidence of limited extrahepatic disease on preoperative radiological studies was acceptable if the life-threatening component of disease was in the liver. Limited extrahepatic disease was defined as follows: metastasis in bone, subcutaneous, lung, or lymph nodes that was amenable to resection or radiation and had a defined treatment plan.</w:t>
      </w:r>
    </w:p>
    <w:p w14:paraId="73320D6F" w14:textId="77777777" w:rsidR="009105F4" w:rsidRPr="00D266B0" w:rsidRDefault="009105F4" w:rsidP="009105F4">
      <w:pPr>
        <w:pStyle w:val="Paragraph"/>
        <w:numPr>
          <w:ilvl w:val="0"/>
          <w:numId w:val="3"/>
        </w:numPr>
        <w:ind w:left="810"/>
        <w:rPr>
          <w:lang w:val="en-US"/>
        </w:rPr>
      </w:pPr>
      <w:r w:rsidRPr="00D266B0">
        <w:rPr>
          <w:lang w:val="en-US"/>
        </w:rPr>
        <w:t xml:space="preserve">Scans used to determine eligibility (CT scan of the chest/abdomen/pelvis and MRI of the liver) performed within 28 days prior to eligibility. An MRI of the liver was required at Screening to validate that CT scan accurately reflects the extent of disease in the liver. For subjects with MRI intolerance, a 3-phase liver CT scan was </w:t>
      </w:r>
      <w:r w:rsidRPr="00D266B0">
        <w:rPr>
          <w:lang w:val="en-US"/>
        </w:rPr>
        <w:lastRenderedPageBreak/>
        <w:t>to be done in place of liver MRI.</w:t>
      </w:r>
    </w:p>
    <w:p w14:paraId="623A639E" w14:textId="77777777" w:rsidR="009105F4" w:rsidRPr="00D266B0" w:rsidRDefault="009105F4" w:rsidP="009105F4">
      <w:pPr>
        <w:pStyle w:val="Paragraph"/>
        <w:numPr>
          <w:ilvl w:val="0"/>
          <w:numId w:val="3"/>
        </w:numPr>
        <w:ind w:left="810"/>
        <w:rPr>
          <w:lang w:val="en-US"/>
        </w:rPr>
      </w:pPr>
      <w:r w:rsidRPr="00D266B0">
        <w:rPr>
          <w:lang w:val="en-US"/>
        </w:rPr>
        <w:t>Subjects with no chemotherapy, radiotherapy, chemoembolization, radioembolization, or immunoembolization for their malignancy within 30 days prior to treatment and recovered from all side effects of therapeutic and diagnostic interventions except those listed in Appendix B of the study protocol.</w:t>
      </w:r>
    </w:p>
    <w:p w14:paraId="750C8DD2" w14:textId="77777777" w:rsidR="009105F4" w:rsidRPr="00D266B0" w:rsidRDefault="009105F4" w:rsidP="009105F4">
      <w:pPr>
        <w:pStyle w:val="Paragraph"/>
        <w:numPr>
          <w:ilvl w:val="0"/>
          <w:numId w:val="3"/>
        </w:numPr>
        <w:ind w:left="810"/>
        <w:rPr>
          <w:lang w:val="en-US"/>
        </w:rPr>
      </w:pPr>
      <w:r w:rsidRPr="00D266B0">
        <w:rPr>
          <w:lang w:val="en-US"/>
        </w:rPr>
        <w:t>Subjects receiving anti-programmed cell death protein 1 immunotherapy, such as pembrolizumab or nivolumab, or human cytotoxic T-lymphocyte antigen 4 blocking antibody, such as ipilimumab, were to have completed treatment 8 weeks prior to study enrolment.</w:t>
      </w:r>
    </w:p>
    <w:p w14:paraId="7DA9A0EE" w14:textId="77777777" w:rsidR="009105F4" w:rsidRPr="00D266B0" w:rsidRDefault="009105F4" w:rsidP="009105F4">
      <w:pPr>
        <w:pStyle w:val="Paragraph"/>
        <w:numPr>
          <w:ilvl w:val="0"/>
          <w:numId w:val="3"/>
        </w:numPr>
        <w:ind w:left="720"/>
        <w:rPr>
          <w:lang w:val="en-US"/>
        </w:rPr>
      </w:pPr>
      <w:r w:rsidRPr="00D266B0">
        <w:rPr>
          <w:lang w:val="en-US"/>
        </w:rPr>
        <w:t>Subjects with an Eastern Cooperative Oncology Group Performance Status (ECOG PS) score of 0 to 1 at Screening.</w:t>
      </w:r>
    </w:p>
    <w:p w14:paraId="6F8FBD2C" w14:textId="77777777" w:rsidR="009105F4" w:rsidRPr="00D266B0" w:rsidRDefault="009105F4" w:rsidP="009105F4">
      <w:pPr>
        <w:pStyle w:val="Paragraph"/>
        <w:numPr>
          <w:ilvl w:val="0"/>
          <w:numId w:val="3"/>
        </w:numPr>
        <w:ind w:left="720"/>
        <w:rPr>
          <w:lang w:val="en-US"/>
        </w:rPr>
      </w:pPr>
      <w:r w:rsidRPr="00D266B0">
        <w:rPr>
          <w:lang w:val="en-US"/>
        </w:rPr>
        <w:t>Subjects with adequate hepatic function as evidenced by all of the following: total serum bilirubin ≤1.5× the upper limit of normal (ULN) and a prothrombin time within 2 seconds above the ULN and aspartate aminotransferase (AST)/alanine aminotransferase (ALT) must be ≤2.5× ULN.</w:t>
      </w:r>
    </w:p>
    <w:p w14:paraId="785944C8" w14:textId="77777777" w:rsidR="009105F4" w:rsidRPr="00D266B0" w:rsidRDefault="009105F4" w:rsidP="009105F4">
      <w:pPr>
        <w:pStyle w:val="Paragraph"/>
        <w:numPr>
          <w:ilvl w:val="0"/>
          <w:numId w:val="3"/>
        </w:numPr>
        <w:ind w:left="720"/>
        <w:rPr>
          <w:lang w:val="en-US"/>
        </w:rPr>
      </w:pPr>
      <w:r w:rsidRPr="00D266B0">
        <w:rPr>
          <w:lang w:val="en-US"/>
        </w:rPr>
        <w:t>Subjects must have all of the following: platelet count &gt;100000/μL, hemoglobin ≥10.0 g/dL, white blood cell (WBC) count &gt;2000/μL, absolute neutrophil count (ANC) ≥1.5×10</w:t>
      </w:r>
      <w:r w:rsidRPr="00780544">
        <w:rPr>
          <w:vertAlign w:val="superscript"/>
          <w:lang w:val="en-US"/>
        </w:rPr>
        <w:t>9</w:t>
      </w:r>
      <w:r w:rsidRPr="00D266B0">
        <w:rPr>
          <w:lang w:val="en-US"/>
        </w:rPr>
        <w:t>/L, and serum creatinine ≤1.5 mg/dL unless the measured creatinine clearance was &gt;40 mL/min/1.73 m</w:t>
      </w:r>
      <w:r w:rsidRPr="00780544">
        <w:rPr>
          <w:vertAlign w:val="superscript"/>
          <w:lang w:val="en-US"/>
        </w:rPr>
        <w:t>2</w:t>
      </w:r>
      <w:r w:rsidRPr="00D266B0">
        <w:rPr>
          <w:lang w:val="en-US"/>
        </w:rPr>
        <w:t>.</w:t>
      </w:r>
    </w:p>
    <w:p w14:paraId="13B099FB" w14:textId="77777777" w:rsidR="009105F4" w:rsidRPr="00D266B0" w:rsidRDefault="009105F4" w:rsidP="009105F4">
      <w:pPr>
        <w:pStyle w:val="Paragraph"/>
        <w:numPr>
          <w:ilvl w:val="0"/>
          <w:numId w:val="3"/>
        </w:numPr>
        <w:ind w:left="720"/>
        <w:rPr>
          <w:lang w:val="en-US"/>
        </w:rPr>
      </w:pPr>
      <w:r w:rsidRPr="00D266B0">
        <w:rPr>
          <w:lang w:val="en-US"/>
        </w:rPr>
        <w:t>Women of childbearing potential with a negative serum pregnancy test (β-human chorionic gonadotropin) within 7 days prior to eligibility.</w:t>
      </w:r>
    </w:p>
    <w:p w14:paraId="790FE641" w14:textId="77777777" w:rsidR="009105F4" w:rsidRPr="00D266B0" w:rsidRDefault="009105F4" w:rsidP="009105F4">
      <w:pPr>
        <w:pStyle w:val="Paragraph"/>
        <w:numPr>
          <w:ilvl w:val="0"/>
          <w:numId w:val="3"/>
        </w:numPr>
        <w:ind w:left="720"/>
        <w:rPr>
          <w:lang w:val="en-US"/>
        </w:rPr>
      </w:pPr>
      <w:r w:rsidRPr="00D266B0">
        <w:rPr>
          <w:lang w:val="en-US"/>
        </w:rPr>
        <w:t>Provided signed informed consent.</w:t>
      </w:r>
    </w:p>
    <w:p w14:paraId="72015507" w14:textId="77777777" w:rsidR="009105F4" w:rsidRPr="00D266B0" w:rsidRDefault="009105F4" w:rsidP="009105F4">
      <w:pPr>
        <w:pStyle w:val="Paragraph"/>
        <w:rPr>
          <w:i/>
          <w:iCs/>
          <w:u w:val="single"/>
          <w:lang w:val="en-US"/>
        </w:rPr>
      </w:pPr>
      <w:r w:rsidRPr="00D266B0">
        <w:rPr>
          <w:i/>
          <w:iCs/>
          <w:u w:val="single"/>
          <w:lang w:val="en-US"/>
        </w:rPr>
        <w:lastRenderedPageBreak/>
        <w:t>Exclusion criteria</w:t>
      </w:r>
    </w:p>
    <w:p w14:paraId="3827F2D7" w14:textId="77777777" w:rsidR="009105F4" w:rsidRPr="00D266B0" w:rsidRDefault="009105F4" w:rsidP="009105F4">
      <w:pPr>
        <w:pStyle w:val="Paragraph"/>
        <w:rPr>
          <w:lang w:val="en-US"/>
        </w:rPr>
      </w:pPr>
      <w:r w:rsidRPr="00D266B0">
        <w:rPr>
          <w:lang w:val="en-US"/>
        </w:rPr>
        <w:t>Subjects who met any of following criteria were to be excluded from study entry:</w:t>
      </w:r>
    </w:p>
    <w:p w14:paraId="6F9C0156" w14:textId="77777777" w:rsidR="009105F4" w:rsidRPr="00D266B0" w:rsidRDefault="009105F4" w:rsidP="009105F4">
      <w:pPr>
        <w:pStyle w:val="Paragraph"/>
        <w:numPr>
          <w:ilvl w:val="0"/>
          <w:numId w:val="4"/>
        </w:numPr>
        <w:rPr>
          <w:lang w:val="en-US"/>
        </w:rPr>
      </w:pPr>
      <w:r w:rsidRPr="00D266B0">
        <w:rPr>
          <w:lang w:val="en-US"/>
        </w:rPr>
        <w:t>Subjects with Child-Pugh Class B or C cirrhosis or with evidence of portal hypertension by history, endoscopy, or radiologic studies.</w:t>
      </w:r>
    </w:p>
    <w:p w14:paraId="4EEC3B46" w14:textId="77777777" w:rsidR="009105F4" w:rsidRPr="00D266B0" w:rsidRDefault="009105F4" w:rsidP="009105F4">
      <w:pPr>
        <w:pStyle w:val="Paragraph"/>
        <w:numPr>
          <w:ilvl w:val="0"/>
          <w:numId w:val="4"/>
        </w:numPr>
        <w:rPr>
          <w:lang w:val="en-US"/>
        </w:rPr>
      </w:pPr>
      <w:r w:rsidRPr="00D266B0">
        <w:rPr>
          <w:lang w:val="en-US"/>
        </w:rPr>
        <w:t>Subjects who were unable to undergo general anesthesia for any reason. Those with New York Heart Association active cardiac conditions. An evaluation of risk was to occur for those with functional classification II, III, or IV. This included, but was not limited to, the following conditions: unstable coronary syndrome (unstable or severe angina or myocardial infarction within 6 months prior to Screening), worsening or new-onset congestive heart failure, significant arrhythmias, or severe valvular disease.</w:t>
      </w:r>
    </w:p>
    <w:p w14:paraId="57AAD028" w14:textId="77777777" w:rsidR="009105F4" w:rsidRPr="00D266B0" w:rsidRDefault="009105F4" w:rsidP="009105F4">
      <w:pPr>
        <w:pStyle w:val="Paragraph"/>
        <w:numPr>
          <w:ilvl w:val="0"/>
          <w:numId w:val="4"/>
        </w:numPr>
        <w:rPr>
          <w:lang w:val="en-US"/>
        </w:rPr>
      </w:pPr>
      <w:r w:rsidRPr="00D266B0">
        <w:rPr>
          <w:lang w:val="en-US"/>
        </w:rPr>
        <w:t>History or evidence of clinically significant pulmonary disease that precluded the use of general anesthesia.</w:t>
      </w:r>
    </w:p>
    <w:p w14:paraId="4F0085AB" w14:textId="77777777" w:rsidR="009105F4" w:rsidRPr="00D266B0" w:rsidRDefault="009105F4" w:rsidP="009105F4">
      <w:pPr>
        <w:pStyle w:val="Paragraph"/>
        <w:numPr>
          <w:ilvl w:val="0"/>
          <w:numId w:val="4"/>
        </w:numPr>
        <w:rPr>
          <w:lang w:val="en-US"/>
        </w:rPr>
      </w:pPr>
      <w:r w:rsidRPr="00D266B0">
        <w:rPr>
          <w:lang w:val="en-US"/>
        </w:rPr>
        <w:t>Women of childbearing potential, i.e., fertile meaning not permanently sterilized and having had a menstrual period within the past 12 months, unable to undergo hormonal suppression to avoid menstruation during treatment.</w:t>
      </w:r>
    </w:p>
    <w:p w14:paraId="6214C39E" w14:textId="77777777" w:rsidR="009105F4" w:rsidRPr="00D266B0" w:rsidRDefault="009105F4" w:rsidP="009105F4">
      <w:pPr>
        <w:pStyle w:val="Paragraph"/>
        <w:numPr>
          <w:ilvl w:val="0"/>
          <w:numId w:val="4"/>
        </w:numPr>
        <w:rPr>
          <w:lang w:val="en-US"/>
        </w:rPr>
      </w:pPr>
      <w:r w:rsidRPr="00D266B0">
        <w:rPr>
          <w:lang w:val="en-US"/>
        </w:rPr>
        <w:t>Women of childbearing potential and fertile males (not permanently sterile by bilateral orchidectomy) unwilling or unable to use highly effective contraception method for consent to at least 6 months after the last administration of study treatment (e.g., combined hormonal contraception, progestogen-only hormonal contraception, intrauterine device, intrauterine hormone-releasing system, bilateral tubal occlusion, vasectomized partner, or sexual abstinence).</w:t>
      </w:r>
    </w:p>
    <w:p w14:paraId="51A15DB6" w14:textId="77777777" w:rsidR="009105F4" w:rsidRPr="00D266B0" w:rsidRDefault="009105F4" w:rsidP="009105F4">
      <w:pPr>
        <w:pStyle w:val="Paragraph"/>
        <w:numPr>
          <w:ilvl w:val="0"/>
          <w:numId w:val="4"/>
        </w:numPr>
        <w:rPr>
          <w:lang w:val="en-US"/>
        </w:rPr>
      </w:pPr>
      <w:r w:rsidRPr="00D266B0">
        <w:rPr>
          <w:lang w:val="en-US"/>
        </w:rPr>
        <w:lastRenderedPageBreak/>
        <w:t>Females who were pregnant or breastfeeding.</w:t>
      </w:r>
    </w:p>
    <w:p w14:paraId="3694FCBD" w14:textId="77777777" w:rsidR="009105F4" w:rsidRPr="00D266B0" w:rsidRDefault="009105F4" w:rsidP="009105F4">
      <w:pPr>
        <w:pStyle w:val="Paragraph"/>
        <w:numPr>
          <w:ilvl w:val="0"/>
          <w:numId w:val="4"/>
        </w:numPr>
        <w:rPr>
          <w:lang w:val="en-US"/>
        </w:rPr>
      </w:pPr>
      <w:r w:rsidRPr="00D266B0">
        <w:rPr>
          <w:lang w:val="en-US"/>
        </w:rPr>
        <w:t>Subjects taking immunosuppressive drugs; however, oral corticosteroids ≤10 mg/day were allowed.</w:t>
      </w:r>
    </w:p>
    <w:p w14:paraId="0CB0AE8A" w14:textId="77777777" w:rsidR="009105F4" w:rsidRPr="00D266B0" w:rsidRDefault="009105F4" w:rsidP="009105F4">
      <w:pPr>
        <w:pStyle w:val="Paragraph"/>
        <w:numPr>
          <w:ilvl w:val="0"/>
          <w:numId w:val="4"/>
        </w:numPr>
        <w:rPr>
          <w:lang w:val="en-US"/>
        </w:rPr>
      </w:pPr>
      <w:r w:rsidRPr="00D266B0">
        <w:rPr>
          <w:lang w:val="en-US"/>
        </w:rPr>
        <w:t>Subjects unable to be temporarily removed from chronic anticoagulation therapy.</w:t>
      </w:r>
    </w:p>
    <w:p w14:paraId="7124895F" w14:textId="77777777" w:rsidR="009105F4" w:rsidRPr="00D266B0" w:rsidRDefault="009105F4" w:rsidP="009105F4">
      <w:pPr>
        <w:pStyle w:val="Paragraph"/>
        <w:numPr>
          <w:ilvl w:val="0"/>
          <w:numId w:val="4"/>
        </w:numPr>
        <w:rPr>
          <w:lang w:val="en-US"/>
        </w:rPr>
      </w:pPr>
      <w:r w:rsidRPr="00D266B0">
        <w:rPr>
          <w:lang w:val="en-US"/>
        </w:rPr>
        <w:t>Subjects with active bacterial infections with systemic manifestations (malaise, fever, or leukocytosis) were not eligible until completion of appropriate therapy.</w:t>
      </w:r>
    </w:p>
    <w:p w14:paraId="21B6E5EB" w14:textId="77777777" w:rsidR="009105F4" w:rsidRPr="00D266B0" w:rsidRDefault="009105F4" w:rsidP="009105F4">
      <w:pPr>
        <w:pStyle w:val="Paragraph"/>
        <w:numPr>
          <w:ilvl w:val="0"/>
          <w:numId w:val="4"/>
        </w:numPr>
        <w:rPr>
          <w:lang w:val="en-US"/>
        </w:rPr>
      </w:pPr>
      <w:r w:rsidRPr="00D266B0">
        <w:rPr>
          <w:lang w:val="en-US"/>
        </w:rPr>
        <w:t>Subjects with severe allergic reaction to iodine contrast, which cannot be controlled by premedication with antihistamines and steroids.</w:t>
      </w:r>
    </w:p>
    <w:p w14:paraId="009F2B23" w14:textId="77777777" w:rsidR="009105F4" w:rsidRPr="00D266B0" w:rsidRDefault="009105F4" w:rsidP="009105F4">
      <w:pPr>
        <w:pStyle w:val="Paragraph"/>
        <w:numPr>
          <w:ilvl w:val="0"/>
          <w:numId w:val="4"/>
        </w:numPr>
        <w:rPr>
          <w:lang w:val="en-US"/>
        </w:rPr>
      </w:pPr>
      <w:r w:rsidRPr="00D266B0">
        <w:rPr>
          <w:lang w:val="en-US"/>
        </w:rPr>
        <w:t xml:space="preserve">Subjects with a history of or known hypersensitivity to melphalan or the components of </w:t>
      </w:r>
      <w:r>
        <w:rPr>
          <w:lang w:val="en-US"/>
        </w:rPr>
        <w:t>m</w:t>
      </w:r>
      <w:r w:rsidRPr="00D266B0">
        <w:rPr>
          <w:lang w:val="en-US"/>
        </w:rPr>
        <w:t>elphalan/HDS.</w:t>
      </w:r>
    </w:p>
    <w:p w14:paraId="75468B1E" w14:textId="77777777" w:rsidR="009105F4" w:rsidRPr="00D266B0" w:rsidRDefault="009105F4" w:rsidP="009105F4">
      <w:pPr>
        <w:pStyle w:val="Paragraph"/>
        <w:numPr>
          <w:ilvl w:val="0"/>
          <w:numId w:val="4"/>
        </w:numPr>
        <w:rPr>
          <w:lang w:val="en-US"/>
        </w:rPr>
      </w:pPr>
      <w:r w:rsidRPr="00D266B0">
        <w:rPr>
          <w:lang w:val="en-US"/>
        </w:rPr>
        <w:t>Subjects with a latex allergy.</w:t>
      </w:r>
    </w:p>
    <w:p w14:paraId="2E5400F3" w14:textId="77777777" w:rsidR="009105F4" w:rsidRPr="00D266B0" w:rsidRDefault="009105F4" w:rsidP="009105F4">
      <w:pPr>
        <w:pStyle w:val="Paragraph"/>
        <w:numPr>
          <w:ilvl w:val="0"/>
          <w:numId w:val="4"/>
        </w:numPr>
        <w:rPr>
          <w:lang w:val="en-US"/>
        </w:rPr>
      </w:pPr>
      <w:r w:rsidRPr="00D266B0">
        <w:rPr>
          <w:lang w:val="en-US"/>
        </w:rPr>
        <w:t>Subjects with a history of hypersensitivity to heparin or the presence of heparin-induced thrombocytopenia.</w:t>
      </w:r>
    </w:p>
    <w:p w14:paraId="67B543D1" w14:textId="77777777" w:rsidR="009105F4" w:rsidRPr="00D266B0" w:rsidRDefault="009105F4" w:rsidP="009105F4">
      <w:pPr>
        <w:pStyle w:val="Paragraph"/>
        <w:numPr>
          <w:ilvl w:val="0"/>
          <w:numId w:val="4"/>
        </w:numPr>
        <w:rPr>
          <w:lang w:val="en-US"/>
        </w:rPr>
      </w:pPr>
      <w:r w:rsidRPr="00D266B0">
        <w:rPr>
          <w:lang w:val="en-US"/>
        </w:rPr>
        <w:t>Subjects with a history of bleeding disorders or evidence of intracranial abnormalities that would put them at risk for bleeding with anticoagulation (e.g., strokes or active metastases).</w:t>
      </w:r>
    </w:p>
    <w:p w14:paraId="2FF78517" w14:textId="77777777" w:rsidR="009105F4" w:rsidRPr="00D266B0" w:rsidRDefault="009105F4" w:rsidP="009105F4">
      <w:pPr>
        <w:pStyle w:val="Paragraph"/>
        <w:numPr>
          <w:ilvl w:val="0"/>
          <w:numId w:val="4"/>
        </w:numPr>
        <w:rPr>
          <w:lang w:val="en-US"/>
        </w:rPr>
      </w:pPr>
      <w:r w:rsidRPr="00D266B0">
        <w:rPr>
          <w:lang w:val="en-US"/>
        </w:rPr>
        <w:t>Subjects with a history of gastrinoma. Note: For subjects with a history of liver surgery or major vasculature surgery, a CT scan or MR angiogram was required during Screening to assure that the subject did not have hepatic vasculature incompatible with perfusion, hepatofungal flow in the portal vein, or known unresolved venous shunting.</w:t>
      </w:r>
    </w:p>
    <w:p w14:paraId="45B986DE" w14:textId="77777777" w:rsidR="009105F4" w:rsidRPr="00D266B0" w:rsidRDefault="009105F4" w:rsidP="009105F4">
      <w:pPr>
        <w:pStyle w:val="Paragraph"/>
        <w:numPr>
          <w:ilvl w:val="0"/>
          <w:numId w:val="4"/>
        </w:numPr>
        <w:rPr>
          <w:lang w:val="en-US"/>
        </w:rPr>
      </w:pPr>
      <w:r w:rsidRPr="00D266B0">
        <w:rPr>
          <w:lang w:val="en-US"/>
        </w:rPr>
        <w:lastRenderedPageBreak/>
        <w:t>Known varices at risk of bleeding, including medium or large esophageal or gastric varices or active peptic ulcer.</w:t>
      </w:r>
    </w:p>
    <w:p w14:paraId="7977BF5F" w14:textId="77777777" w:rsidR="009105F4" w:rsidRPr="00D266B0" w:rsidRDefault="009105F4" w:rsidP="009105F4">
      <w:pPr>
        <w:pStyle w:val="Paragraph"/>
        <w:numPr>
          <w:ilvl w:val="0"/>
          <w:numId w:val="4"/>
        </w:numPr>
        <w:rPr>
          <w:lang w:val="en-US"/>
        </w:rPr>
      </w:pPr>
      <w:r w:rsidRPr="00D266B0">
        <w:rPr>
          <w:lang w:val="en-US"/>
        </w:rPr>
        <w:t>Subjects with prior Whipple’s procedure.</w:t>
      </w:r>
    </w:p>
    <w:p w14:paraId="01F59FB8" w14:textId="77777777" w:rsidR="009105F4" w:rsidRPr="00D266B0" w:rsidRDefault="009105F4" w:rsidP="009105F4">
      <w:pPr>
        <w:pStyle w:val="Paragraph"/>
        <w:numPr>
          <w:ilvl w:val="0"/>
          <w:numId w:val="4"/>
        </w:numPr>
        <w:rPr>
          <w:lang w:val="en-US"/>
        </w:rPr>
      </w:pPr>
      <w:r w:rsidRPr="00D266B0">
        <w:rPr>
          <w:lang w:val="en-US"/>
        </w:rPr>
        <w:t>Subjects with brain metastases or presence of other intracranial lesions at risk for bleeding by history or baseline radiologic imaging.</w:t>
      </w:r>
    </w:p>
    <w:p w14:paraId="46FD013A" w14:textId="77777777" w:rsidR="009105F4" w:rsidRPr="00D266B0" w:rsidRDefault="009105F4" w:rsidP="009105F4">
      <w:pPr>
        <w:pStyle w:val="Paragraph"/>
        <w:numPr>
          <w:ilvl w:val="0"/>
          <w:numId w:val="4"/>
        </w:numPr>
        <w:rPr>
          <w:lang w:val="en-US"/>
        </w:rPr>
      </w:pPr>
      <w:r w:rsidRPr="00D266B0">
        <w:rPr>
          <w:lang w:val="en-US"/>
        </w:rPr>
        <w:t>Subjects with an active liver infection, including hepatitis B and hepatitis C infection.</w:t>
      </w:r>
    </w:p>
    <w:p w14:paraId="7324EE6D" w14:textId="77777777" w:rsidR="009105F4" w:rsidRPr="00D266B0" w:rsidRDefault="009105F4" w:rsidP="009105F4">
      <w:pPr>
        <w:pStyle w:val="Paragraph"/>
        <w:numPr>
          <w:ilvl w:val="0"/>
          <w:numId w:val="4"/>
        </w:numPr>
        <w:rPr>
          <w:lang w:val="en-US"/>
        </w:rPr>
      </w:pPr>
      <w:r w:rsidRPr="00D266B0">
        <w:rPr>
          <w:lang w:val="en-US"/>
        </w:rPr>
        <w:t>Subjects with anti-hepatitis B core antibody positive or hepatitis B surface antigen but DNA negative were exception(s).</w:t>
      </w:r>
    </w:p>
    <w:p w14:paraId="6ADBD311" w14:textId="77777777" w:rsidR="009105F4" w:rsidRPr="00D266B0" w:rsidRDefault="009105F4" w:rsidP="009105F4">
      <w:pPr>
        <w:pStyle w:val="Paragraph"/>
        <w:numPr>
          <w:ilvl w:val="0"/>
          <w:numId w:val="4"/>
        </w:numPr>
        <w:rPr>
          <w:lang w:val="en-US"/>
        </w:rPr>
      </w:pPr>
      <w:r w:rsidRPr="00D266B0">
        <w:rPr>
          <w:lang w:val="en-US"/>
        </w:rPr>
        <w:t>Uncontrolled endocrine disorders including diabetes mellitus, hypothyroidism, or hyperthyroidism.</w:t>
      </w:r>
    </w:p>
    <w:p w14:paraId="0E3D1C9A" w14:textId="77777777" w:rsidR="009105F4" w:rsidRPr="00D266B0" w:rsidRDefault="009105F4" w:rsidP="009105F4">
      <w:pPr>
        <w:pStyle w:val="Paragraph"/>
        <w:numPr>
          <w:ilvl w:val="0"/>
          <w:numId w:val="4"/>
        </w:numPr>
        <w:rPr>
          <w:lang w:val="en-US"/>
        </w:rPr>
      </w:pPr>
      <w:r w:rsidRPr="00D266B0">
        <w:rPr>
          <w:lang w:val="en-US"/>
        </w:rPr>
        <w:t>Received any investigational agent for any indication within 30 days prior to the first treatment.</w:t>
      </w:r>
    </w:p>
    <w:p w14:paraId="597F094D" w14:textId="77777777" w:rsidR="009105F4" w:rsidRPr="00D266B0" w:rsidRDefault="009105F4" w:rsidP="009105F4">
      <w:pPr>
        <w:pStyle w:val="Paragraph"/>
        <w:numPr>
          <w:ilvl w:val="0"/>
          <w:numId w:val="4"/>
        </w:numPr>
        <w:rPr>
          <w:lang w:val="en-US"/>
        </w:rPr>
      </w:pPr>
      <w:r w:rsidRPr="00D266B0">
        <w:rPr>
          <w:lang w:val="en-US"/>
        </w:rPr>
        <w:t>Not recovered from side effects of prior therapy to ≤Grade 1 (according to National Cancer Institute [NCI] Common Terminology Criteria for Adverse Events [CTCAE] v.4.03). Certain side effects that were unlikely to develop into serious or life-threatening events (e.g., alopecia) are allowed at &gt;Grade 1.</w:t>
      </w:r>
    </w:p>
    <w:p w14:paraId="7994A224" w14:textId="2F6146EB" w:rsidR="009105F4" w:rsidRPr="00D266B0" w:rsidRDefault="009105F4" w:rsidP="009105F4">
      <w:pPr>
        <w:pStyle w:val="Paragraph"/>
        <w:numPr>
          <w:ilvl w:val="0"/>
          <w:numId w:val="4"/>
        </w:numPr>
        <w:rPr>
          <w:lang w:val="en-US"/>
        </w:rPr>
      </w:pPr>
      <w:r w:rsidRPr="00D266B0">
        <w:rPr>
          <w:lang w:val="en-US"/>
        </w:rPr>
        <w:t xml:space="preserve">Cancers other than </w:t>
      </w:r>
      <w:r w:rsidR="006070D9">
        <w:rPr>
          <w:lang w:val="en-US"/>
        </w:rPr>
        <w:t>U</w:t>
      </w:r>
      <w:r w:rsidRPr="00D266B0">
        <w:rPr>
          <w:lang w:val="en-US"/>
        </w:rPr>
        <w:t>M for which the subject was currently under treatment or still deemed to be not cancer-free.</w:t>
      </w:r>
    </w:p>
    <w:p w14:paraId="0DEC8043" w14:textId="77777777" w:rsidR="00FB270C" w:rsidRPr="00FB270C" w:rsidRDefault="00FB270C" w:rsidP="00FB270C">
      <w:pPr>
        <w:keepNext/>
        <w:spacing w:after="0" w:line="480" w:lineRule="auto"/>
        <w:ind w:right="562"/>
        <w:contextualSpacing/>
        <w:outlineLvl w:val="2"/>
        <w:rPr>
          <w:rFonts w:ascii="Times New Roman" w:eastAsia="MS Mincho" w:hAnsi="Times New Roman" w:cs="Times New Roman"/>
          <w:b/>
          <w:i/>
          <w:iCs/>
          <w:kern w:val="0"/>
          <w:sz w:val="24"/>
          <w:szCs w:val="24"/>
          <w:lang w:eastAsia="en-GB"/>
          <w14:ligatures w14:val="none"/>
        </w:rPr>
      </w:pPr>
      <w:r w:rsidRPr="00FB270C">
        <w:rPr>
          <w:rFonts w:ascii="Times New Roman" w:eastAsia="MS Mincho" w:hAnsi="Times New Roman" w:cs="Times New Roman"/>
          <w:b/>
          <w:bCs/>
          <w:i/>
          <w:iCs/>
          <w:kern w:val="0"/>
          <w:sz w:val="24"/>
          <w:szCs w:val="24"/>
          <w:lang w:eastAsia="en-GB"/>
          <w14:ligatures w14:val="none"/>
        </w:rPr>
        <w:t>Study treatment: melphalan/Hepatic Delivery System (melphalan/HDS)</w:t>
      </w:r>
    </w:p>
    <w:p w14:paraId="450137F9" w14:textId="77777777" w:rsidR="00FB270C" w:rsidRPr="00FB270C" w:rsidRDefault="00FB270C" w:rsidP="00FB270C">
      <w:p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 xml:space="preserve">The melphalan/HDS is a co-packaged drug-device combination product. Melphalan is a bifunctional alkylating agent with broad efficacy as an anticancer chemotherapeutic agent against various tumor histologies. It is well-studied and has limited liver toxicity, a high </w:t>
      </w:r>
      <w:r w:rsidRPr="00FB270C">
        <w:rPr>
          <w:rFonts w:ascii="Times New Roman" w:eastAsia="MS Mincho" w:hAnsi="Times New Roman" w:cs="Times New Roman"/>
          <w:kern w:val="0"/>
          <w:sz w:val="24"/>
          <w:szCs w:val="24"/>
          <w:lang w:eastAsia="en-GB"/>
          <w14:ligatures w14:val="none"/>
        </w:rPr>
        <w:lastRenderedPageBreak/>
        <w:t>hepatic extraction rate, a short half-life, and an immediate apoptosis effect on tumor cells.</w:t>
      </w:r>
      <w:r w:rsidRPr="00FB270C">
        <w:rPr>
          <w:rFonts w:ascii="Times New Roman" w:eastAsia="MS Mincho" w:hAnsi="Times New Roman" w:cs="Times New Roman"/>
          <w:kern w:val="0"/>
          <w:sz w:val="24"/>
          <w:szCs w:val="24"/>
          <w:vertAlign w:val="superscript"/>
          <w:lang w:eastAsia="en-GB"/>
          <w14:ligatures w14:val="none"/>
        </w:rPr>
        <w:t>1,2</w:t>
      </w:r>
      <w:r w:rsidRPr="00FB270C">
        <w:rPr>
          <w:rFonts w:ascii="Times New Roman" w:eastAsia="MS Mincho" w:hAnsi="Times New Roman" w:cs="Times New Roman"/>
          <w:kern w:val="0"/>
          <w:sz w:val="24"/>
          <w:szCs w:val="24"/>
          <w:lang w:eastAsia="en-GB"/>
          <w14:ligatures w14:val="none"/>
        </w:rPr>
        <w:t xml:space="preserve"> The HDS consists of an extracorporeal hemofiltration circuit (EFC), an infusion catheter to deliver melphalan to the hepatic artery, and a femoral access set. The EFC is a closed circuit of catheters that lowers the melphalan concentration in the hepatic venous blood before it is returned to the systemic circulation. The EFC includes a double-balloon catheter placed in the retro-hepatic inferior vena cava to isolate the hepatic venous blood from the systemic circulation, a hemofiltration circuit including hemofiltration cartridges to adsorb melphalan and a venous return line. This procedure of separating the liver with the double-balloon catheter, perfusion with melphalan, and hepatic venous blood filtration is called percutaneous hepatic perfusion.</w:t>
      </w:r>
      <w:r w:rsidRPr="00FB270C">
        <w:rPr>
          <w:rFonts w:ascii="Times New Roman" w:eastAsia="MS Mincho" w:hAnsi="Times New Roman" w:cs="Times New Roman"/>
          <w:kern w:val="0"/>
          <w:sz w:val="24"/>
          <w:szCs w:val="24"/>
          <w:vertAlign w:val="superscript"/>
          <w:lang w:eastAsia="en-GB"/>
          <w14:ligatures w14:val="none"/>
        </w:rPr>
        <w:t>3</w:t>
      </w:r>
      <w:r w:rsidRPr="00FB270C">
        <w:rPr>
          <w:rFonts w:ascii="Times New Roman" w:eastAsia="MS Mincho" w:hAnsi="Times New Roman" w:cs="Times New Roman"/>
          <w:kern w:val="0"/>
          <w:sz w:val="24"/>
          <w:szCs w:val="24"/>
          <w:lang w:eastAsia="en-GB"/>
          <w14:ligatures w14:val="none"/>
        </w:rPr>
        <w:t xml:space="preserve"> </w:t>
      </w:r>
    </w:p>
    <w:p w14:paraId="5ACD16AF" w14:textId="77777777" w:rsidR="00FB270C" w:rsidRPr="00FB270C" w:rsidRDefault="00FB270C" w:rsidP="00FB270C">
      <w:pPr>
        <w:keepNext/>
        <w:spacing w:after="0" w:line="480" w:lineRule="auto"/>
        <w:ind w:right="562"/>
        <w:contextualSpacing/>
        <w:outlineLvl w:val="2"/>
        <w:rPr>
          <w:rFonts w:ascii="Times New Roman" w:eastAsia="MS Mincho" w:hAnsi="Times New Roman" w:cs="Times New Roman"/>
          <w:b/>
          <w:i/>
          <w:iCs/>
          <w:kern w:val="0"/>
          <w:sz w:val="24"/>
          <w:szCs w:val="24"/>
          <w:lang w:eastAsia="en-GB"/>
          <w14:ligatures w14:val="none"/>
        </w:rPr>
      </w:pPr>
      <w:r w:rsidRPr="00FB270C">
        <w:rPr>
          <w:rFonts w:ascii="Times New Roman" w:eastAsia="MS Mincho" w:hAnsi="Times New Roman" w:cs="Times New Roman"/>
          <w:b/>
          <w:bCs/>
          <w:i/>
          <w:iCs/>
          <w:kern w:val="0"/>
          <w:sz w:val="24"/>
          <w:szCs w:val="24"/>
          <w:lang w:eastAsia="en-GB"/>
          <w14:ligatures w14:val="none"/>
        </w:rPr>
        <w:t>Dose and schedule of melphalan/HDS treatment</w:t>
      </w:r>
    </w:p>
    <w:p w14:paraId="08EC1F81" w14:textId="14EB1761" w:rsidR="00FB270C" w:rsidRPr="00FB270C" w:rsidRDefault="00FB270C" w:rsidP="00FB270C">
      <w:p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Patients with unresectable hepatic-dominant metastatic uveal melanoma (UM) received melphalan (3.0 mg/kg ideal body weight; maximum dose: 220 mg for a single treatment) once every 6</w:t>
      </w:r>
      <w:r w:rsidR="00303E54">
        <w:rPr>
          <w:rFonts w:ascii="Times New Roman" w:eastAsia="MS Mincho" w:hAnsi="Times New Roman" w:cs="Times New Roman"/>
          <w:kern w:val="0"/>
          <w:sz w:val="24"/>
          <w:szCs w:val="24"/>
          <w:lang w:eastAsia="en-GB"/>
          <w14:ligatures w14:val="none"/>
        </w:rPr>
        <w:t>-8</w:t>
      </w:r>
      <w:r w:rsidRPr="00FB270C">
        <w:rPr>
          <w:rFonts w:ascii="Times New Roman" w:eastAsia="MS Mincho" w:hAnsi="Times New Roman" w:cs="Times New Roman"/>
          <w:kern w:val="0"/>
          <w:sz w:val="24"/>
          <w:szCs w:val="24"/>
          <w:lang w:eastAsia="en-GB"/>
          <w14:ligatures w14:val="none"/>
        </w:rPr>
        <w:t xml:space="preserve"> weeks for a maximum of 6 cycles, with an acceptable delay of 2 weeks (i.e., 8 weeks in total) between cycles to allow for recovery from melphalan-related toxicity. Melphalan dose was calculated as shown in the table below. </w:t>
      </w:r>
    </w:p>
    <w:p w14:paraId="658148DD" w14:textId="77777777" w:rsidR="00FB270C" w:rsidRPr="00FB270C" w:rsidRDefault="00FB270C" w:rsidP="00FB270C">
      <w:pPr>
        <w:spacing w:after="0" w:line="480" w:lineRule="auto"/>
        <w:rPr>
          <w:rFonts w:ascii="Times New Roman" w:eastAsia="MS Mincho" w:hAnsi="Times New Roman" w:cs="Times New Roman"/>
          <w:b/>
          <w:bCs/>
          <w:i/>
          <w:iCs/>
          <w:kern w:val="0"/>
          <w:sz w:val="24"/>
          <w:szCs w:val="24"/>
          <w:lang w:eastAsia="en-GB"/>
          <w14:ligatures w14:val="none"/>
        </w:rPr>
      </w:pPr>
      <w:r w:rsidRPr="00FB270C">
        <w:rPr>
          <w:rFonts w:ascii="Times New Roman" w:eastAsia="MS Mincho" w:hAnsi="Times New Roman" w:cs="Times New Roman"/>
          <w:b/>
          <w:bCs/>
          <w:i/>
          <w:iCs/>
          <w:kern w:val="0"/>
          <w:sz w:val="24"/>
          <w:szCs w:val="24"/>
          <w:lang w:eastAsia="en-GB"/>
          <w14:ligatures w14:val="none"/>
        </w:rPr>
        <w:t>Ideal body weight calculation</w:t>
      </w:r>
    </w:p>
    <w:tbl>
      <w:tblPr>
        <w:tblStyle w:val="TableGrid1"/>
        <w:tblW w:w="0" w:type="auto"/>
        <w:tblLook w:val="04A0" w:firstRow="1" w:lastRow="0" w:firstColumn="1" w:lastColumn="0" w:noHBand="0" w:noVBand="1"/>
      </w:tblPr>
      <w:tblGrid>
        <w:gridCol w:w="1435"/>
        <w:gridCol w:w="2069"/>
        <w:gridCol w:w="5493"/>
      </w:tblGrid>
      <w:tr w:rsidR="00FB270C" w:rsidRPr="00FB270C" w14:paraId="67D70E8C" w14:textId="77777777" w:rsidTr="00230A3A">
        <w:tc>
          <w:tcPr>
            <w:tcW w:w="1435" w:type="dxa"/>
            <w:vAlign w:val="center"/>
          </w:tcPr>
          <w:p w14:paraId="2BD53E8C" w14:textId="77777777" w:rsidR="00FB270C" w:rsidRPr="00FB270C" w:rsidRDefault="00FB270C" w:rsidP="00FB270C">
            <w:pPr>
              <w:spacing w:line="480" w:lineRule="auto"/>
              <w:rPr>
                <w:rFonts w:ascii="Times New Roman" w:eastAsia="MS Mincho" w:hAnsi="Times New Roman" w:cs="Times New Roman"/>
                <w:b/>
                <w:bCs/>
                <w:sz w:val="24"/>
                <w:szCs w:val="24"/>
              </w:rPr>
            </w:pPr>
            <w:r w:rsidRPr="00FB270C">
              <w:rPr>
                <w:rFonts w:ascii="Times New Roman" w:eastAsia="MS Mincho" w:hAnsi="Times New Roman" w:cs="Times New Roman"/>
                <w:b/>
                <w:bCs/>
                <w:sz w:val="24"/>
                <w:szCs w:val="24"/>
              </w:rPr>
              <w:t>Gender</w:t>
            </w:r>
          </w:p>
        </w:tc>
        <w:tc>
          <w:tcPr>
            <w:tcW w:w="2070" w:type="dxa"/>
            <w:vAlign w:val="center"/>
          </w:tcPr>
          <w:p w14:paraId="2ECD48CB" w14:textId="77777777" w:rsidR="00FB270C" w:rsidRPr="00FB270C" w:rsidRDefault="00FB270C" w:rsidP="00FB270C">
            <w:pPr>
              <w:spacing w:line="480" w:lineRule="auto"/>
              <w:rPr>
                <w:rFonts w:ascii="Times New Roman" w:eastAsia="MS Mincho" w:hAnsi="Times New Roman" w:cs="Times New Roman"/>
                <w:b/>
                <w:bCs/>
                <w:sz w:val="24"/>
                <w:szCs w:val="24"/>
              </w:rPr>
            </w:pPr>
            <w:r w:rsidRPr="00FB270C">
              <w:rPr>
                <w:rFonts w:ascii="Times New Roman" w:eastAsia="MS Mincho" w:hAnsi="Times New Roman" w:cs="Times New Roman"/>
                <w:b/>
                <w:bCs/>
                <w:sz w:val="24"/>
                <w:szCs w:val="24"/>
              </w:rPr>
              <w:t>Height</w:t>
            </w:r>
          </w:p>
        </w:tc>
        <w:tc>
          <w:tcPr>
            <w:tcW w:w="5496" w:type="dxa"/>
            <w:vAlign w:val="center"/>
          </w:tcPr>
          <w:p w14:paraId="146E559C" w14:textId="77777777" w:rsidR="00FB270C" w:rsidRPr="00FB270C" w:rsidRDefault="00FB270C" w:rsidP="00FB270C">
            <w:pPr>
              <w:spacing w:line="480" w:lineRule="auto"/>
              <w:rPr>
                <w:rFonts w:ascii="Times New Roman" w:eastAsia="MS Mincho" w:hAnsi="Times New Roman" w:cs="Times New Roman"/>
                <w:b/>
                <w:bCs/>
                <w:sz w:val="24"/>
                <w:szCs w:val="24"/>
              </w:rPr>
            </w:pPr>
            <w:r w:rsidRPr="00FB270C">
              <w:rPr>
                <w:rFonts w:ascii="Times New Roman" w:eastAsia="MS Mincho" w:hAnsi="Times New Roman" w:cs="Times New Roman"/>
                <w:b/>
                <w:bCs/>
                <w:sz w:val="24"/>
                <w:szCs w:val="24"/>
              </w:rPr>
              <w:t>Ideal body weight</w:t>
            </w:r>
          </w:p>
        </w:tc>
      </w:tr>
      <w:tr w:rsidR="00FB270C" w:rsidRPr="00FB270C" w14:paraId="7231EECF" w14:textId="77777777" w:rsidTr="00230A3A">
        <w:tc>
          <w:tcPr>
            <w:tcW w:w="1435" w:type="dxa"/>
            <w:vMerge w:val="restart"/>
            <w:vAlign w:val="center"/>
          </w:tcPr>
          <w:p w14:paraId="4055F8A3"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Male</w:t>
            </w:r>
          </w:p>
        </w:tc>
        <w:tc>
          <w:tcPr>
            <w:tcW w:w="2070" w:type="dxa"/>
            <w:vAlign w:val="center"/>
          </w:tcPr>
          <w:p w14:paraId="3D304EA5"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≥152 cm</w:t>
            </w:r>
          </w:p>
        </w:tc>
        <w:tc>
          <w:tcPr>
            <w:tcW w:w="5496" w:type="dxa"/>
            <w:vAlign w:val="center"/>
          </w:tcPr>
          <w:p w14:paraId="0145EA16"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52 kg + 0.75 kg/cm of height &gt;152 cm</w:t>
            </w:r>
          </w:p>
        </w:tc>
      </w:tr>
      <w:tr w:rsidR="00FB270C" w:rsidRPr="00FB270C" w14:paraId="76EF7757" w14:textId="77777777" w:rsidTr="00230A3A">
        <w:tc>
          <w:tcPr>
            <w:tcW w:w="1435" w:type="dxa"/>
            <w:vMerge/>
            <w:vAlign w:val="center"/>
          </w:tcPr>
          <w:p w14:paraId="00A36A79" w14:textId="77777777" w:rsidR="00FB270C" w:rsidRPr="00FB270C" w:rsidRDefault="00FB270C" w:rsidP="00FB270C">
            <w:pPr>
              <w:spacing w:line="480" w:lineRule="auto"/>
              <w:rPr>
                <w:rFonts w:ascii="Times New Roman" w:eastAsia="MS Mincho" w:hAnsi="Times New Roman" w:cs="Times New Roman"/>
                <w:sz w:val="24"/>
                <w:szCs w:val="24"/>
              </w:rPr>
            </w:pPr>
          </w:p>
        </w:tc>
        <w:tc>
          <w:tcPr>
            <w:tcW w:w="2070" w:type="dxa"/>
            <w:vAlign w:val="center"/>
          </w:tcPr>
          <w:p w14:paraId="183858EF"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&lt;152 cm</w:t>
            </w:r>
          </w:p>
        </w:tc>
        <w:tc>
          <w:tcPr>
            <w:tcW w:w="5496" w:type="dxa"/>
            <w:vAlign w:val="center"/>
          </w:tcPr>
          <w:p w14:paraId="44B88C69"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52 kg – 0.75 kg/cm of height &lt;152 cm</w:t>
            </w:r>
          </w:p>
        </w:tc>
      </w:tr>
      <w:tr w:rsidR="00FB270C" w:rsidRPr="00FB270C" w14:paraId="09BF106C" w14:textId="77777777" w:rsidTr="00230A3A">
        <w:tc>
          <w:tcPr>
            <w:tcW w:w="1435" w:type="dxa"/>
            <w:vMerge w:val="restart"/>
            <w:vAlign w:val="center"/>
          </w:tcPr>
          <w:p w14:paraId="5BC22902"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Female</w:t>
            </w:r>
          </w:p>
        </w:tc>
        <w:tc>
          <w:tcPr>
            <w:tcW w:w="2070" w:type="dxa"/>
            <w:vAlign w:val="center"/>
          </w:tcPr>
          <w:p w14:paraId="42AC1ADA"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≥152 cm</w:t>
            </w:r>
          </w:p>
        </w:tc>
        <w:tc>
          <w:tcPr>
            <w:tcW w:w="5496" w:type="dxa"/>
            <w:vAlign w:val="center"/>
          </w:tcPr>
          <w:p w14:paraId="5F8EF0F7"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49 kg + 0.67 kg/cm of height &gt;152 cm</w:t>
            </w:r>
          </w:p>
        </w:tc>
      </w:tr>
      <w:tr w:rsidR="00FB270C" w:rsidRPr="00FB270C" w14:paraId="1AE42FEC" w14:textId="77777777" w:rsidTr="00230A3A">
        <w:tc>
          <w:tcPr>
            <w:tcW w:w="1435" w:type="dxa"/>
            <w:vMerge/>
            <w:vAlign w:val="center"/>
          </w:tcPr>
          <w:p w14:paraId="01E5A6CD" w14:textId="77777777" w:rsidR="00FB270C" w:rsidRPr="00FB270C" w:rsidRDefault="00FB270C" w:rsidP="00FB270C">
            <w:pPr>
              <w:spacing w:line="480" w:lineRule="auto"/>
              <w:rPr>
                <w:rFonts w:ascii="Times New Roman" w:eastAsia="MS Mincho" w:hAnsi="Times New Roman" w:cs="Times New Roman"/>
                <w:sz w:val="24"/>
                <w:szCs w:val="24"/>
              </w:rPr>
            </w:pPr>
          </w:p>
        </w:tc>
        <w:tc>
          <w:tcPr>
            <w:tcW w:w="2070" w:type="dxa"/>
            <w:vAlign w:val="center"/>
          </w:tcPr>
          <w:p w14:paraId="623CB65A"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&lt;152 cm</w:t>
            </w:r>
          </w:p>
        </w:tc>
        <w:tc>
          <w:tcPr>
            <w:tcW w:w="5496" w:type="dxa"/>
            <w:vAlign w:val="center"/>
          </w:tcPr>
          <w:p w14:paraId="4E2C7729"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49 kg – 0.67 kg/cm of height &lt;152 cm</w:t>
            </w:r>
          </w:p>
        </w:tc>
      </w:tr>
    </w:tbl>
    <w:p w14:paraId="3F0F23E9" w14:textId="77777777" w:rsidR="00FB270C" w:rsidRPr="00FB270C" w:rsidRDefault="00FB270C" w:rsidP="00FB270C">
      <w:p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Each treatment cycle consisted of 6 weeks with a window of ±2 weeks. The second to sixth treatments were not administered if one of the following criteria applied:</w:t>
      </w:r>
    </w:p>
    <w:p w14:paraId="42E17DCE" w14:textId="77777777" w:rsidR="00FB270C" w:rsidRPr="00FB270C" w:rsidRDefault="00FB270C" w:rsidP="00FB270C">
      <w:pPr>
        <w:numPr>
          <w:ilvl w:val="0"/>
          <w:numId w:val="6"/>
        </w:num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Hepatic disease progression</w:t>
      </w:r>
    </w:p>
    <w:p w14:paraId="5FA431B5" w14:textId="77777777" w:rsidR="00FB270C" w:rsidRPr="00FB270C" w:rsidRDefault="00FB270C" w:rsidP="00FB270C">
      <w:pPr>
        <w:numPr>
          <w:ilvl w:val="0"/>
          <w:numId w:val="6"/>
        </w:num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lastRenderedPageBreak/>
        <w:t xml:space="preserve">Extrahepatic disease progression </w:t>
      </w:r>
    </w:p>
    <w:p w14:paraId="3913DFD8" w14:textId="77777777" w:rsidR="00FB270C" w:rsidRPr="00FB270C" w:rsidRDefault="00FB270C" w:rsidP="00FB270C">
      <w:pPr>
        <w:numPr>
          <w:ilvl w:val="0"/>
          <w:numId w:val="6"/>
        </w:num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Treatment delay of 2 weeks (i.e., 8 weeks after the last melphalan/HDS treatment) due to prolonged toxicity</w:t>
      </w:r>
    </w:p>
    <w:p w14:paraId="4A7F3B4F" w14:textId="77777777" w:rsidR="00FB270C" w:rsidRPr="00FB270C" w:rsidRDefault="00FB270C" w:rsidP="00FB270C">
      <w:pPr>
        <w:widowControl w:val="0"/>
        <w:spacing w:before="240"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Tumor response was assessed every 12 weeks (±2 weeks) until disease progression. Patients with hepatic or extrahepatic progressive disease were discontinued from study treatment, and all patients were followed until death. The maximum duration of the study treatment phase for any patient was 12 months. Once a patient finished their treatments, they entered the follow-up period. If the patient had not progressed after their last treatment cycle, disease assessments were continued every 12 weeks (±2 weeks) until disease progression was documented. Meanwhile, if a patient had progressed after their last treatment cycle, their follow-up for survival status was done either in person or by phone every 3 months until death.</w:t>
      </w:r>
    </w:p>
    <w:p w14:paraId="0E131760" w14:textId="77777777" w:rsidR="00FB270C" w:rsidRPr="00FB270C" w:rsidRDefault="00FB270C" w:rsidP="00FB270C">
      <w:p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The dose of melphalan was to be reduced to 2.0 mg/kg for subsequent cycles if any of the following toxicities was observed:</w:t>
      </w:r>
    </w:p>
    <w:p w14:paraId="0D7470E8" w14:textId="77777777" w:rsidR="00FB270C" w:rsidRPr="00FB270C" w:rsidRDefault="00FB270C" w:rsidP="00FB270C">
      <w:pPr>
        <w:numPr>
          <w:ilvl w:val="0"/>
          <w:numId w:val="7"/>
        </w:num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Grade 4 neutropenia lasting &gt;5 days despite granulocyte growth factor support or Grade 3 or higher febrile neutropenia with granulocyte growth factor support.</w:t>
      </w:r>
    </w:p>
    <w:p w14:paraId="471C1C25" w14:textId="77777777" w:rsidR="00FB270C" w:rsidRPr="00FB270C" w:rsidRDefault="00FB270C" w:rsidP="00FB270C">
      <w:pPr>
        <w:numPr>
          <w:ilvl w:val="0"/>
          <w:numId w:val="7"/>
        </w:num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Grade 4 thrombocytopenia lasting &gt;5 days or Grade 3 thrombocytopenia associated with medically significant bleeding.</w:t>
      </w:r>
    </w:p>
    <w:p w14:paraId="2365E125" w14:textId="77777777" w:rsidR="00FB270C" w:rsidRPr="00FB270C" w:rsidRDefault="00FB270C" w:rsidP="00FB270C">
      <w:pPr>
        <w:keepNext/>
        <w:spacing w:after="0" w:line="480" w:lineRule="auto"/>
        <w:ind w:right="562"/>
        <w:contextualSpacing/>
        <w:outlineLvl w:val="2"/>
        <w:rPr>
          <w:rFonts w:ascii="Times New Roman" w:eastAsia="MS Mincho" w:hAnsi="Times New Roman" w:cs="Times New Roman"/>
          <w:b/>
          <w:bCs/>
          <w:color w:val="000000" w:themeColor="text1"/>
          <w:kern w:val="0"/>
          <w:sz w:val="24"/>
          <w:szCs w:val="24"/>
          <w:lang w:eastAsia="en-GB"/>
          <w14:ligatures w14:val="none"/>
        </w:rPr>
      </w:pPr>
      <w:r w:rsidRPr="00FB270C">
        <w:rPr>
          <w:rFonts w:ascii="Times New Roman" w:eastAsia="MS Mincho" w:hAnsi="Times New Roman" w:cs="Times New Roman"/>
          <w:b/>
          <w:bCs/>
          <w:color w:val="000000" w:themeColor="text1"/>
          <w:kern w:val="0"/>
          <w:sz w:val="24"/>
          <w:szCs w:val="24"/>
          <w:lang w:eastAsia="en-GB"/>
          <w14:ligatures w14:val="none"/>
        </w:rPr>
        <w:t>Meta-analysis of historical data and sample size considerations</w:t>
      </w:r>
    </w:p>
    <w:p w14:paraId="167B02F7" w14:textId="77777777" w:rsidR="00FB270C" w:rsidRPr="00FB270C" w:rsidRDefault="00FB270C" w:rsidP="00FB270C">
      <w:p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 xml:space="preserve">The meta-analysis of historical data included as a part of the information package for the US FDA, included data from 476 patients in 16 publications on both single agent and combination therapy response rates for immunotherapy treatments (e.g., checkpoint inhibitors) in patients with UM. </w:t>
      </w:r>
    </w:p>
    <w:p w14:paraId="082D6BE4" w14:textId="77777777" w:rsidR="00FB270C" w:rsidRPr="00FB270C" w:rsidRDefault="00FB270C" w:rsidP="00FB270C">
      <w:pPr>
        <w:widowControl w:val="0"/>
        <w:spacing w:before="240" w:after="0" w:line="480" w:lineRule="auto"/>
        <w:rPr>
          <w:rFonts w:ascii="Times New Roman" w:eastAsia="MS Mincho" w:hAnsi="Times New Roman" w:cs="Times New Roman"/>
          <w:i/>
          <w:iCs/>
          <w:kern w:val="0"/>
          <w:sz w:val="24"/>
          <w:szCs w:val="24"/>
          <w:u w:val="single"/>
          <w:lang w:eastAsia="en-GB"/>
          <w14:ligatures w14:val="none"/>
        </w:rPr>
      </w:pPr>
      <w:r w:rsidRPr="00FB270C">
        <w:rPr>
          <w:rFonts w:ascii="Times New Roman" w:eastAsia="MS Mincho" w:hAnsi="Times New Roman" w:cs="Times New Roman"/>
          <w:i/>
          <w:iCs/>
          <w:kern w:val="0"/>
          <w:sz w:val="24"/>
          <w:szCs w:val="24"/>
          <w:u w:val="single"/>
          <w:lang w:eastAsia="en-GB"/>
          <w14:ligatures w14:val="none"/>
        </w:rPr>
        <w:t xml:space="preserve">Individual Study Rates </w:t>
      </w:r>
    </w:p>
    <w:p w14:paraId="5190B91B" w14:textId="77777777" w:rsidR="00FB270C" w:rsidRPr="00FB270C" w:rsidRDefault="00FB270C" w:rsidP="00FB270C">
      <w:pPr>
        <w:autoSpaceDE w:val="0"/>
        <w:autoSpaceDN w:val="0"/>
        <w:adjustRightInd w:val="0"/>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lastRenderedPageBreak/>
        <w:t xml:space="preserve">Based on the data abstracted from each publication, the objective response rate (ORR) was calculated for each publication along with the 95% confidence interval (CI) of the estimates. When a publication reported a 0% event rate, an adjusted rate was calculated for the event. The adjusted rate for studies with no events was calculated as follows: </w:t>
      </w:r>
    </w:p>
    <w:p w14:paraId="381A3240" w14:textId="77777777" w:rsidR="00FB270C" w:rsidRPr="00FB270C" w:rsidRDefault="00FB270C" w:rsidP="00FB270C">
      <w:pPr>
        <w:autoSpaceDE w:val="0"/>
        <w:autoSpaceDN w:val="0"/>
        <w:adjustRightInd w:val="0"/>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 xml:space="preserve">Rate=1/(2*n +2) </w:t>
      </w:r>
    </w:p>
    <w:p w14:paraId="60069B3D" w14:textId="77777777" w:rsidR="00FB270C" w:rsidRPr="00FB270C" w:rsidRDefault="00FB270C" w:rsidP="00FB270C">
      <w:pPr>
        <w:autoSpaceDE w:val="0"/>
        <w:autoSpaceDN w:val="0"/>
        <w:adjustRightInd w:val="0"/>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 xml:space="preserve">Where n=sample size in the article. </w:t>
      </w:r>
    </w:p>
    <w:p w14:paraId="787E52C4" w14:textId="77777777" w:rsidR="00FB270C" w:rsidRPr="00FB270C" w:rsidRDefault="00FB270C" w:rsidP="00FB270C">
      <w:pPr>
        <w:autoSpaceDE w:val="0"/>
        <w:autoSpaceDN w:val="0"/>
        <w:adjustRightInd w:val="0"/>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 xml:space="preserve">Statistical analyses utilized the logit transformation (log odds) of the event rates. The 95% CI was converted from the upper and lower limits of the Logit event rate and from them derived the upper and lower limits of the event rate as follows: </w:t>
      </w:r>
    </w:p>
    <w:p w14:paraId="213A20B7" w14:textId="77777777" w:rsidR="00FB270C" w:rsidRPr="00FB270C" w:rsidRDefault="00FB270C" w:rsidP="00FB270C">
      <w:pPr>
        <w:autoSpaceDE w:val="0"/>
        <w:autoSpaceDN w:val="0"/>
        <w:adjustRightInd w:val="0"/>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 xml:space="preserve">LogitEventRateLower=LogitEventRate - 1.96* LogitEventRateSE </w:t>
      </w:r>
    </w:p>
    <w:p w14:paraId="4E05DB87" w14:textId="77777777" w:rsidR="00FB270C" w:rsidRPr="00FB270C" w:rsidRDefault="00FB270C" w:rsidP="00FB270C">
      <w:pPr>
        <w:autoSpaceDE w:val="0"/>
        <w:autoSpaceDN w:val="0"/>
        <w:adjustRightInd w:val="0"/>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 xml:space="preserve">LogitEventRateUpper=LogitEventRate + 1.96* LogitEventRateSE </w:t>
      </w:r>
    </w:p>
    <w:p w14:paraId="51C3BC15" w14:textId="77777777" w:rsidR="00FB270C" w:rsidRPr="00FB270C" w:rsidRDefault="00FB270C" w:rsidP="00FB270C">
      <w:pPr>
        <w:autoSpaceDE w:val="0"/>
        <w:autoSpaceDN w:val="0"/>
        <w:adjustRightInd w:val="0"/>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 xml:space="preserve">EventRateLower=Exp(LogitEventRateLower) / (Exp(LogitEventRateLower) + 1) </w:t>
      </w:r>
    </w:p>
    <w:p w14:paraId="5D135D00" w14:textId="77777777" w:rsidR="00FB270C" w:rsidRPr="00FB270C" w:rsidRDefault="00FB270C" w:rsidP="00FB270C">
      <w:pPr>
        <w:autoSpaceDE w:val="0"/>
        <w:autoSpaceDN w:val="0"/>
        <w:adjustRightInd w:val="0"/>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 xml:space="preserve">EventRateUpper=Exp(LogitEventRateUpper) / (Exp(LogitEventRateUpper) + 1) </w:t>
      </w:r>
    </w:p>
    <w:p w14:paraId="4AE3AE01" w14:textId="77777777" w:rsidR="00FB270C" w:rsidRPr="00FB270C" w:rsidRDefault="00FB270C" w:rsidP="00FB270C">
      <w:pPr>
        <w:widowControl w:val="0"/>
        <w:spacing w:before="240" w:after="0" w:line="480" w:lineRule="auto"/>
        <w:rPr>
          <w:rFonts w:ascii="Times New Roman" w:eastAsia="MS Mincho" w:hAnsi="Times New Roman" w:cs="Times New Roman"/>
          <w:i/>
          <w:iCs/>
          <w:kern w:val="0"/>
          <w:sz w:val="24"/>
          <w:szCs w:val="24"/>
          <w:u w:val="single"/>
          <w:lang w:eastAsia="en-GB"/>
          <w14:ligatures w14:val="none"/>
        </w:rPr>
      </w:pPr>
      <w:r w:rsidRPr="00FB270C">
        <w:rPr>
          <w:rFonts w:ascii="Times New Roman" w:eastAsia="MS Mincho" w:hAnsi="Times New Roman" w:cs="Times New Roman"/>
          <w:i/>
          <w:iCs/>
          <w:kern w:val="0"/>
          <w:sz w:val="24"/>
          <w:szCs w:val="24"/>
          <w:u w:val="single"/>
          <w:lang w:eastAsia="en-GB"/>
          <w14:ligatures w14:val="none"/>
        </w:rPr>
        <w:t xml:space="preserve">Pooled Rates Across Studies </w:t>
      </w:r>
    </w:p>
    <w:p w14:paraId="1B973083" w14:textId="77777777" w:rsidR="00FB270C" w:rsidRPr="00FB270C" w:rsidRDefault="00FB270C" w:rsidP="00FB270C">
      <w:pPr>
        <w:autoSpaceDE w:val="0"/>
        <w:autoSpaceDN w:val="0"/>
        <w:adjustRightInd w:val="0"/>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Pooled rates across studies for ORR were calculated based on both a random effects model and a fixed effects model. The random effects model utilized the approach of DerSimonian and Laird (1986).</w:t>
      </w:r>
      <w:r w:rsidRPr="00FB270C">
        <w:rPr>
          <w:rFonts w:ascii="Times New Roman" w:eastAsia="MS Mincho" w:hAnsi="Times New Roman" w:cs="Times New Roman"/>
          <w:kern w:val="0"/>
          <w:sz w:val="24"/>
          <w:szCs w:val="24"/>
          <w:vertAlign w:val="superscript"/>
          <w:lang w:eastAsia="en-GB"/>
          <w14:ligatures w14:val="none"/>
        </w:rPr>
        <w:t>4</w:t>
      </w:r>
      <w:r w:rsidRPr="00FB270C">
        <w:rPr>
          <w:rFonts w:ascii="Times New Roman" w:eastAsia="MS Mincho" w:hAnsi="Times New Roman" w:cs="Times New Roman"/>
          <w:kern w:val="0"/>
          <w:sz w:val="24"/>
          <w:szCs w:val="24"/>
          <w:lang w:eastAsia="en-GB"/>
          <w14:ligatures w14:val="none"/>
        </w:rPr>
        <w:t xml:space="preserve"> The results of the random effect model are presented and discussed in this report and the results of the fixed effect model are available upon request. </w:t>
      </w:r>
    </w:p>
    <w:p w14:paraId="122CC465" w14:textId="77777777" w:rsidR="00FB270C" w:rsidRPr="00FB270C" w:rsidRDefault="00FB270C" w:rsidP="00FB270C">
      <w:pPr>
        <w:widowControl w:val="0"/>
        <w:spacing w:before="240" w:after="0" w:line="480" w:lineRule="auto"/>
        <w:rPr>
          <w:rFonts w:ascii="Times New Roman" w:eastAsia="MS Mincho" w:hAnsi="Times New Roman" w:cs="Times New Roman"/>
          <w:i/>
          <w:iCs/>
          <w:kern w:val="0"/>
          <w:sz w:val="24"/>
          <w:szCs w:val="24"/>
          <w:u w:val="single"/>
          <w:lang w:eastAsia="en-GB"/>
          <w14:ligatures w14:val="none"/>
        </w:rPr>
      </w:pPr>
      <w:r w:rsidRPr="00FB270C">
        <w:rPr>
          <w:rFonts w:ascii="Times New Roman" w:eastAsia="MS Mincho" w:hAnsi="Times New Roman" w:cs="Times New Roman"/>
          <w:i/>
          <w:iCs/>
          <w:kern w:val="0"/>
          <w:sz w:val="24"/>
          <w:szCs w:val="24"/>
          <w:u w:val="single"/>
          <w:lang w:eastAsia="en-GB"/>
          <w14:ligatures w14:val="none"/>
        </w:rPr>
        <w:t xml:space="preserve">Testing Heterogeneity of the Studies </w:t>
      </w:r>
    </w:p>
    <w:p w14:paraId="5A771003" w14:textId="77777777" w:rsidR="00FB270C" w:rsidRPr="00FB270C" w:rsidRDefault="00FB270C" w:rsidP="00FB270C">
      <w:pPr>
        <w:autoSpaceDE w:val="0"/>
        <w:autoSpaceDN w:val="0"/>
        <w:adjustRightInd w:val="0"/>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Heterogeneity in effect size was formally examined using 2 statistics. The first statistic is the Q statistic.</w:t>
      </w:r>
      <w:r w:rsidRPr="00FB270C">
        <w:rPr>
          <w:rFonts w:ascii="Times New Roman" w:eastAsia="MS Mincho" w:hAnsi="Times New Roman" w:cs="Times New Roman"/>
          <w:kern w:val="0"/>
          <w:sz w:val="24"/>
          <w:szCs w:val="24"/>
          <w:vertAlign w:val="superscript"/>
          <w:lang w:eastAsia="en-GB"/>
          <w14:ligatures w14:val="none"/>
        </w:rPr>
        <w:t>4</w:t>
      </w:r>
      <w:r w:rsidRPr="00FB270C">
        <w:rPr>
          <w:rFonts w:ascii="Times New Roman" w:eastAsia="MS Mincho" w:hAnsi="Times New Roman" w:cs="Times New Roman"/>
          <w:kern w:val="0"/>
          <w:sz w:val="24"/>
          <w:szCs w:val="24"/>
          <w:lang w:eastAsia="en-GB"/>
          <w14:ligatures w14:val="none"/>
        </w:rPr>
        <w:t xml:space="preserve"> Q is the weighted sum of squares (WSS) on a standardized scale. As a standard score, it can be compared with the expected WSS on the assumption that all studies share a common effect. Hence, the Q statistic yields a test of whether all studies share a common effect size; the p-value of this test is reported. The null hypothesis for this test is that the </w:t>
      </w:r>
      <w:r w:rsidRPr="00FB270C">
        <w:rPr>
          <w:rFonts w:ascii="Times New Roman" w:eastAsia="MS Mincho" w:hAnsi="Times New Roman" w:cs="Times New Roman"/>
          <w:kern w:val="0"/>
          <w:sz w:val="24"/>
          <w:szCs w:val="24"/>
          <w:lang w:eastAsia="en-GB"/>
          <w14:ligatures w14:val="none"/>
        </w:rPr>
        <w:lastRenderedPageBreak/>
        <w:t xml:space="preserve">effect sizes across all studies are homogenous (similar). Thus, a small p-value would indicate significant heterogeneity of effect sizes. </w:t>
      </w:r>
    </w:p>
    <w:p w14:paraId="24AE1B35" w14:textId="77777777" w:rsidR="00FB270C" w:rsidRPr="00FB270C" w:rsidRDefault="00FB270C" w:rsidP="00FB270C">
      <w:p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The second statistic is the I</w:t>
      </w:r>
      <w:r w:rsidRPr="00FB270C">
        <w:rPr>
          <w:rFonts w:ascii="Times New Roman" w:eastAsia="MS Mincho" w:hAnsi="Times New Roman" w:cs="Times New Roman"/>
          <w:kern w:val="0"/>
          <w:sz w:val="24"/>
          <w:szCs w:val="24"/>
          <w:vertAlign w:val="superscript"/>
          <w:lang w:eastAsia="en-GB"/>
          <w14:ligatures w14:val="none"/>
        </w:rPr>
        <w:t>2</w:t>
      </w:r>
      <w:r w:rsidRPr="00FB270C">
        <w:rPr>
          <w:rFonts w:ascii="Times New Roman" w:eastAsia="MS Mincho" w:hAnsi="Times New Roman" w:cs="Times New Roman"/>
          <w:kern w:val="0"/>
          <w:sz w:val="24"/>
          <w:szCs w:val="24"/>
          <w:lang w:eastAsia="en-GB"/>
          <w14:ligatures w14:val="none"/>
        </w:rPr>
        <w:t xml:space="preserve"> statistic.</w:t>
      </w:r>
      <w:r w:rsidRPr="00FB270C">
        <w:rPr>
          <w:rFonts w:ascii="Times New Roman" w:eastAsia="MS Mincho" w:hAnsi="Times New Roman" w:cs="Times New Roman"/>
          <w:kern w:val="0"/>
          <w:sz w:val="24"/>
          <w:szCs w:val="24"/>
          <w:vertAlign w:val="superscript"/>
          <w:lang w:eastAsia="en-GB"/>
          <w14:ligatures w14:val="none"/>
        </w:rPr>
        <w:t>5</w:t>
      </w:r>
      <w:r w:rsidRPr="00FB270C">
        <w:rPr>
          <w:rFonts w:ascii="Times New Roman" w:eastAsia="MS Mincho" w:hAnsi="Times New Roman" w:cs="Times New Roman"/>
          <w:kern w:val="0"/>
          <w:sz w:val="24"/>
          <w:szCs w:val="24"/>
          <w:lang w:eastAsia="en-GB"/>
          <w14:ligatures w14:val="none"/>
        </w:rPr>
        <w:t xml:space="preserve"> I</w:t>
      </w:r>
      <w:r w:rsidRPr="00FB270C">
        <w:rPr>
          <w:rFonts w:ascii="Times New Roman" w:eastAsia="MS Mincho" w:hAnsi="Times New Roman" w:cs="Times New Roman"/>
          <w:kern w:val="0"/>
          <w:sz w:val="24"/>
          <w:szCs w:val="24"/>
          <w:vertAlign w:val="superscript"/>
          <w:lang w:eastAsia="en-GB"/>
          <w14:ligatures w14:val="none"/>
        </w:rPr>
        <w:t>2</w:t>
      </w:r>
      <w:r w:rsidRPr="00FB270C">
        <w:rPr>
          <w:rFonts w:ascii="Times New Roman" w:eastAsia="MS Mincho" w:hAnsi="Times New Roman" w:cs="Times New Roman"/>
          <w:kern w:val="0"/>
          <w:sz w:val="24"/>
          <w:szCs w:val="24"/>
          <w:lang w:eastAsia="en-GB"/>
          <w14:ligatures w14:val="none"/>
        </w:rPr>
        <w:t xml:space="preserve"> is the proportion of observed dispersion (of effect sizes across studies) that is real, rather than spurious. It is not dependent on the scale and it is expressed as a ratio with a range of 0% to 100%. For I</w:t>
      </w:r>
      <w:r w:rsidRPr="00FB270C">
        <w:rPr>
          <w:rFonts w:ascii="Times New Roman" w:eastAsia="MS Mincho" w:hAnsi="Times New Roman" w:cs="Times New Roman"/>
          <w:kern w:val="0"/>
          <w:sz w:val="24"/>
          <w:szCs w:val="24"/>
          <w:vertAlign w:val="superscript"/>
          <w:lang w:eastAsia="en-GB"/>
          <w14:ligatures w14:val="none"/>
        </w:rPr>
        <w:t>2</w:t>
      </w:r>
      <w:r w:rsidRPr="00FB270C">
        <w:rPr>
          <w:rFonts w:ascii="Times New Roman" w:eastAsia="MS Mincho" w:hAnsi="Times New Roman" w:cs="Times New Roman"/>
          <w:kern w:val="0"/>
          <w:sz w:val="24"/>
          <w:szCs w:val="24"/>
          <w:lang w:eastAsia="en-GB"/>
          <w14:ligatures w14:val="none"/>
        </w:rPr>
        <w:t xml:space="preserve"> value below 60%, heterogeneity was considered moderate; for I</w:t>
      </w:r>
      <w:r w:rsidRPr="00FB270C">
        <w:rPr>
          <w:rFonts w:ascii="Times New Roman" w:eastAsia="MS Mincho" w:hAnsi="Times New Roman" w:cs="Times New Roman"/>
          <w:kern w:val="0"/>
          <w:sz w:val="24"/>
          <w:szCs w:val="24"/>
          <w:vertAlign w:val="superscript"/>
          <w:lang w:eastAsia="en-GB"/>
          <w14:ligatures w14:val="none"/>
        </w:rPr>
        <w:t>2</w:t>
      </w:r>
      <w:r w:rsidRPr="00FB270C">
        <w:rPr>
          <w:rFonts w:ascii="Times New Roman" w:eastAsia="MS Mincho" w:hAnsi="Times New Roman" w:cs="Times New Roman"/>
          <w:kern w:val="0"/>
          <w:sz w:val="24"/>
          <w:szCs w:val="24"/>
          <w:lang w:eastAsia="en-GB"/>
          <w14:ligatures w14:val="none"/>
        </w:rPr>
        <w:t xml:space="preserve"> value above 60%, heterogeneity was considered large. If I</w:t>
      </w:r>
      <w:r w:rsidRPr="00FB270C">
        <w:rPr>
          <w:rFonts w:ascii="Times New Roman" w:eastAsia="MS Mincho" w:hAnsi="Times New Roman" w:cs="Times New Roman"/>
          <w:kern w:val="0"/>
          <w:sz w:val="24"/>
          <w:szCs w:val="24"/>
          <w:vertAlign w:val="superscript"/>
          <w:lang w:eastAsia="en-GB"/>
          <w14:ligatures w14:val="none"/>
        </w:rPr>
        <w:t>2</w:t>
      </w:r>
      <w:r w:rsidRPr="00FB270C">
        <w:rPr>
          <w:rFonts w:ascii="Times New Roman" w:eastAsia="MS Mincho" w:hAnsi="Times New Roman" w:cs="Times New Roman"/>
          <w:kern w:val="0"/>
          <w:sz w:val="24"/>
          <w:szCs w:val="24"/>
          <w:lang w:eastAsia="en-GB"/>
          <w14:ligatures w14:val="none"/>
        </w:rPr>
        <w:t xml:space="preserve"> is near zero, then almost all the observed variance is spurious. </w:t>
      </w:r>
    </w:p>
    <w:p w14:paraId="46568B1B" w14:textId="77777777" w:rsidR="00FB270C" w:rsidRPr="00FB270C" w:rsidRDefault="00FB270C" w:rsidP="00FB270C">
      <w:pPr>
        <w:widowControl w:val="0"/>
        <w:spacing w:before="240" w:after="0" w:line="480" w:lineRule="auto"/>
        <w:rPr>
          <w:rFonts w:ascii="Times New Roman" w:eastAsia="MS Mincho" w:hAnsi="Times New Roman" w:cs="Times New Roman"/>
          <w:i/>
          <w:iCs/>
          <w:kern w:val="0"/>
          <w:sz w:val="24"/>
          <w:szCs w:val="24"/>
          <w:u w:val="single"/>
          <w:lang w:eastAsia="en-GB"/>
          <w14:ligatures w14:val="none"/>
        </w:rPr>
      </w:pPr>
      <w:r w:rsidRPr="00FB270C">
        <w:rPr>
          <w:rFonts w:ascii="Times New Roman" w:eastAsia="MS Mincho" w:hAnsi="Times New Roman" w:cs="Times New Roman"/>
          <w:i/>
          <w:iCs/>
          <w:kern w:val="0"/>
          <w:sz w:val="24"/>
          <w:szCs w:val="24"/>
          <w:u w:val="single"/>
          <w:lang w:eastAsia="en-GB"/>
          <w14:ligatures w14:val="none"/>
        </w:rPr>
        <w:t>Analysis Software</w:t>
      </w:r>
    </w:p>
    <w:p w14:paraId="01237643" w14:textId="77777777" w:rsidR="00FB270C" w:rsidRPr="00FB270C" w:rsidRDefault="00FB270C" w:rsidP="00FB270C">
      <w:p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Comprehensive Meta-Analysis (CMA) software version 2.2 was used to perform the analysis. The analysis results were copied and pasted to an excel file prior to formatting for this report. CMA version 2.2 was developed by Borenstein et al. at Biostat, 14 North Dean Street, Englewood, NJ 07631 (www.Meta-Analysis.com). Computation details can be found in Introduction to Meta-Analysis by M. Borenstein, L.V. Hedges, J.P.T. Higgins, H.R. Rothstein© 2009, John Wiley &amp; Sons, Ltd.</w:t>
      </w:r>
      <w:r w:rsidRPr="00FB270C">
        <w:rPr>
          <w:rFonts w:ascii="Times New Roman" w:eastAsia="MS Mincho" w:hAnsi="Times New Roman" w:cs="Times New Roman"/>
          <w:kern w:val="0"/>
          <w:sz w:val="24"/>
          <w:szCs w:val="24"/>
          <w:vertAlign w:val="superscript"/>
          <w:lang w:eastAsia="en-GB"/>
          <w14:ligatures w14:val="none"/>
        </w:rPr>
        <w:t>5</w:t>
      </w:r>
    </w:p>
    <w:p w14:paraId="487C8796" w14:textId="77777777" w:rsidR="00FB270C" w:rsidRPr="00FB270C" w:rsidRDefault="00FB270C" w:rsidP="00FB270C">
      <w:pPr>
        <w:widowControl w:val="0"/>
        <w:spacing w:before="240" w:after="0" w:line="480" w:lineRule="auto"/>
        <w:rPr>
          <w:rFonts w:ascii="Times New Roman" w:eastAsia="MS Mincho" w:hAnsi="Times New Roman" w:cs="Times New Roman"/>
          <w:i/>
          <w:iCs/>
          <w:kern w:val="0"/>
          <w:sz w:val="24"/>
          <w:szCs w:val="24"/>
          <w:u w:val="single"/>
          <w:lang w:eastAsia="en-GB"/>
          <w14:ligatures w14:val="none"/>
        </w:rPr>
      </w:pPr>
      <w:r w:rsidRPr="00FB270C">
        <w:rPr>
          <w:rFonts w:ascii="Times New Roman" w:eastAsia="MS Mincho" w:hAnsi="Times New Roman" w:cs="Times New Roman"/>
          <w:i/>
          <w:iCs/>
          <w:kern w:val="0"/>
          <w:sz w:val="24"/>
          <w:szCs w:val="24"/>
          <w:u w:val="single"/>
          <w:lang w:eastAsia="en-GB"/>
          <w14:ligatures w14:val="none"/>
        </w:rPr>
        <w:t>Results</w:t>
      </w:r>
    </w:p>
    <w:p w14:paraId="6C6A5584" w14:textId="77777777" w:rsidR="00FB270C" w:rsidRPr="00FB270C" w:rsidRDefault="00FB270C" w:rsidP="00FB270C">
      <w:pPr>
        <w:spacing w:after="0" w:line="480" w:lineRule="auto"/>
        <w:rPr>
          <w:rFonts w:ascii="Times New Roman" w:eastAsia="MS Mincho" w:hAnsi="Times New Roman" w:cs="Times New Roman"/>
          <w:kern w:val="0"/>
          <w:sz w:val="24"/>
          <w:szCs w:val="24"/>
          <w:lang w:eastAsia="en-GB"/>
          <w14:ligatures w14:val="none"/>
        </w:rPr>
      </w:pPr>
      <w:r w:rsidRPr="00FB270C">
        <w:rPr>
          <w:rFonts w:ascii="Times New Roman" w:eastAsia="MS Mincho" w:hAnsi="Times New Roman" w:cs="Times New Roman"/>
          <w:kern w:val="0"/>
          <w:sz w:val="24"/>
          <w:szCs w:val="24"/>
          <w:lang w:eastAsia="en-GB"/>
          <w14:ligatures w14:val="none"/>
        </w:rPr>
        <w:t>Based on the data identified in 16 publications on response rates for immunotherapy treatments,</w:t>
      </w:r>
      <w:r w:rsidRPr="00FB270C">
        <w:rPr>
          <w:rFonts w:ascii="Times New Roman" w:eastAsia="MS Mincho" w:hAnsi="Times New Roman" w:cs="Times New Roman"/>
          <w:kern w:val="0"/>
          <w:sz w:val="24"/>
          <w:szCs w:val="24"/>
          <w:vertAlign w:val="superscript"/>
          <w:lang w:eastAsia="en-GB"/>
          <w14:ligatures w14:val="none"/>
        </w:rPr>
        <w:t>6-21</w:t>
      </w:r>
      <w:r w:rsidRPr="00FB270C">
        <w:rPr>
          <w:rFonts w:ascii="Times New Roman" w:eastAsia="MS Mincho" w:hAnsi="Times New Roman" w:cs="Times New Roman"/>
          <w:kern w:val="0"/>
          <w:sz w:val="24"/>
          <w:szCs w:val="24"/>
          <w:lang w:eastAsia="en-GB"/>
          <w14:ligatures w14:val="none"/>
        </w:rPr>
        <w:t xml:space="preserve"> both single agent and combination therapy, in patients with UM, the ORR was calculated for study along with the 95% CI and is presented in the table below. Across all 16 references, a total of 17 events (complete response + partial response) were reported in 476 patients. The pooled ORR estimate (a weighted mean of the observed ORR) was 0.055 and 95% CI was 0.036 to 0.083. </w:t>
      </w:r>
    </w:p>
    <w:p w14:paraId="465F8DF5" w14:textId="77777777" w:rsidR="00FB270C" w:rsidRPr="00FB270C" w:rsidRDefault="00FB270C" w:rsidP="00FB270C">
      <w:pPr>
        <w:spacing w:after="0" w:line="480" w:lineRule="auto"/>
        <w:rPr>
          <w:rFonts w:ascii="Times New Roman" w:eastAsia="MS Mincho" w:hAnsi="Times New Roman" w:cs="Times New Roman"/>
          <w:b/>
          <w:bCs/>
          <w:kern w:val="0"/>
          <w:sz w:val="24"/>
          <w:szCs w:val="24"/>
          <w:lang w:eastAsia="en-GB"/>
          <w14:ligatures w14:val="none"/>
        </w:rPr>
        <w:sectPr w:rsidR="00FB270C" w:rsidRPr="00FB270C" w:rsidSect="00144834">
          <w:pgSz w:w="11901" w:h="16840" w:code="9"/>
          <w:pgMar w:top="1354" w:right="1195" w:bottom="1354" w:left="1699" w:header="720" w:footer="720" w:gutter="0"/>
          <w:cols w:space="708"/>
          <w:docGrid w:linePitch="360"/>
        </w:sectPr>
      </w:pPr>
    </w:p>
    <w:p w14:paraId="5AD5C426" w14:textId="77777777" w:rsidR="00FB270C" w:rsidRPr="00FB270C" w:rsidRDefault="00FB270C" w:rsidP="00FB270C">
      <w:pPr>
        <w:spacing w:after="0" w:line="480" w:lineRule="auto"/>
        <w:rPr>
          <w:rFonts w:ascii="Times New Roman" w:eastAsia="MS Mincho" w:hAnsi="Times New Roman" w:cs="Times New Roman"/>
          <w:b/>
          <w:bCs/>
          <w:kern w:val="0"/>
          <w:sz w:val="24"/>
          <w:szCs w:val="24"/>
          <w:lang w:eastAsia="en-GB"/>
          <w14:ligatures w14:val="none"/>
        </w:rPr>
      </w:pPr>
      <w:r w:rsidRPr="00FB270C">
        <w:rPr>
          <w:rFonts w:ascii="Times New Roman" w:eastAsia="MS Mincho" w:hAnsi="Times New Roman" w:cs="Times New Roman"/>
          <w:b/>
          <w:bCs/>
          <w:kern w:val="0"/>
          <w:sz w:val="24"/>
          <w:szCs w:val="24"/>
          <w:lang w:eastAsia="en-GB"/>
          <w14:ligatures w14:val="none"/>
        </w:rPr>
        <w:lastRenderedPageBreak/>
        <w:t>Meta-analysis - Reported and estimated objective response rates and 95% confidence interval</w:t>
      </w:r>
    </w:p>
    <w:tbl>
      <w:tblPr>
        <w:tblStyle w:val="TableGrid1"/>
        <w:tblW w:w="14125" w:type="dxa"/>
        <w:tblLook w:val="04A0" w:firstRow="1" w:lastRow="0" w:firstColumn="1" w:lastColumn="0" w:noHBand="0" w:noVBand="1"/>
      </w:tblPr>
      <w:tblGrid>
        <w:gridCol w:w="1165"/>
        <w:gridCol w:w="3240"/>
        <w:gridCol w:w="1620"/>
        <w:gridCol w:w="1440"/>
        <w:gridCol w:w="1350"/>
        <w:gridCol w:w="2880"/>
        <w:gridCol w:w="2430"/>
      </w:tblGrid>
      <w:tr w:rsidR="00FB270C" w:rsidRPr="00FB270C" w14:paraId="021C0E0C" w14:textId="77777777" w:rsidTr="00230A3A">
        <w:tc>
          <w:tcPr>
            <w:tcW w:w="1165" w:type="dxa"/>
            <w:vMerge w:val="restart"/>
            <w:vAlign w:val="center"/>
          </w:tcPr>
          <w:p w14:paraId="55D2BEF8"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Study no.</w:t>
            </w:r>
          </w:p>
        </w:tc>
        <w:tc>
          <w:tcPr>
            <w:tcW w:w="3240" w:type="dxa"/>
            <w:vMerge w:val="restart"/>
            <w:vAlign w:val="center"/>
          </w:tcPr>
          <w:p w14:paraId="10F50FC8"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Reference ID</w:t>
            </w:r>
            <w:r w:rsidRPr="00FB270C">
              <w:rPr>
                <w:rFonts w:ascii="Times New Roman" w:eastAsia="MS Mincho" w:hAnsi="Times New Roman" w:cs="Times New Roman"/>
                <w:sz w:val="24"/>
                <w:szCs w:val="24"/>
                <w:vertAlign w:val="superscript"/>
              </w:rPr>
              <w:t>a</w:t>
            </w:r>
          </w:p>
        </w:tc>
        <w:tc>
          <w:tcPr>
            <w:tcW w:w="1620" w:type="dxa"/>
            <w:vMerge w:val="restart"/>
            <w:vAlign w:val="center"/>
          </w:tcPr>
          <w:p w14:paraId="246B1D69"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No. of events</w:t>
            </w:r>
            <w:r w:rsidRPr="00FB270C">
              <w:rPr>
                <w:rFonts w:ascii="Times New Roman" w:eastAsia="MS Mincho" w:hAnsi="Times New Roman" w:cs="Times New Roman"/>
                <w:sz w:val="24"/>
                <w:szCs w:val="24"/>
                <w:vertAlign w:val="superscript"/>
              </w:rPr>
              <w:t>b</w:t>
            </w:r>
          </w:p>
        </w:tc>
        <w:tc>
          <w:tcPr>
            <w:tcW w:w="1440" w:type="dxa"/>
            <w:vMerge w:val="restart"/>
            <w:vAlign w:val="center"/>
          </w:tcPr>
          <w:p w14:paraId="3C541000"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Sample size</w:t>
            </w:r>
          </w:p>
        </w:tc>
        <w:tc>
          <w:tcPr>
            <w:tcW w:w="1350" w:type="dxa"/>
            <w:vMerge w:val="restart"/>
            <w:vAlign w:val="center"/>
          </w:tcPr>
          <w:p w14:paraId="7FF69515"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Event rate</w:t>
            </w:r>
          </w:p>
        </w:tc>
        <w:tc>
          <w:tcPr>
            <w:tcW w:w="5310" w:type="dxa"/>
            <w:gridSpan w:val="2"/>
            <w:vAlign w:val="center"/>
          </w:tcPr>
          <w:p w14:paraId="31C2329A"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95% confidence interval</w:t>
            </w:r>
          </w:p>
        </w:tc>
      </w:tr>
      <w:tr w:rsidR="00FB270C" w:rsidRPr="00FB270C" w14:paraId="3D073B91" w14:textId="77777777" w:rsidTr="00230A3A">
        <w:tc>
          <w:tcPr>
            <w:tcW w:w="1165" w:type="dxa"/>
            <w:vMerge/>
          </w:tcPr>
          <w:p w14:paraId="09539C82" w14:textId="77777777" w:rsidR="00FB270C" w:rsidRPr="00FB270C" w:rsidRDefault="00FB270C" w:rsidP="00FB270C">
            <w:pPr>
              <w:spacing w:line="480" w:lineRule="auto"/>
              <w:rPr>
                <w:rFonts w:ascii="Times New Roman" w:eastAsia="MS Mincho" w:hAnsi="Times New Roman" w:cs="Times New Roman"/>
                <w:sz w:val="24"/>
                <w:szCs w:val="24"/>
              </w:rPr>
            </w:pPr>
          </w:p>
        </w:tc>
        <w:tc>
          <w:tcPr>
            <w:tcW w:w="3240" w:type="dxa"/>
            <w:vMerge/>
          </w:tcPr>
          <w:p w14:paraId="67A7D8E7" w14:textId="77777777" w:rsidR="00FB270C" w:rsidRPr="00FB270C" w:rsidRDefault="00FB270C" w:rsidP="00FB270C">
            <w:pPr>
              <w:spacing w:line="480" w:lineRule="auto"/>
              <w:rPr>
                <w:rFonts w:ascii="Times New Roman" w:eastAsia="MS Mincho" w:hAnsi="Times New Roman" w:cs="Times New Roman"/>
                <w:sz w:val="24"/>
                <w:szCs w:val="24"/>
              </w:rPr>
            </w:pPr>
          </w:p>
        </w:tc>
        <w:tc>
          <w:tcPr>
            <w:tcW w:w="1620" w:type="dxa"/>
            <w:vMerge/>
          </w:tcPr>
          <w:p w14:paraId="2D391729" w14:textId="77777777" w:rsidR="00FB270C" w:rsidRPr="00FB270C" w:rsidRDefault="00FB270C" w:rsidP="00FB270C">
            <w:pPr>
              <w:spacing w:line="480" w:lineRule="auto"/>
              <w:rPr>
                <w:rFonts w:ascii="Times New Roman" w:eastAsia="MS Mincho" w:hAnsi="Times New Roman" w:cs="Times New Roman"/>
                <w:sz w:val="24"/>
                <w:szCs w:val="24"/>
              </w:rPr>
            </w:pPr>
          </w:p>
        </w:tc>
        <w:tc>
          <w:tcPr>
            <w:tcW w:w="1440" w:type="dxa"/>
            <w:vMerge/>
          </w:tcPr>
          <w:p w14:paraId="023A571D" w14:textId="77777777" w:rsidR="00FB270C" w:rsidRPr="00FB270C" w:rsidRDefault="00FB270C" w:rsidP="00FB270C">
            <w:pPr>
              <w:spacing w:line="480" w:lineRule="auto"/>
              <w:rPr>
                <w:rFonts w:ascii="Times New Roman" w:eastAsia="MS Mincho" w:hAnsi="Times New Roman" w:cs="Times New Roman"/>
                <w:sz w:val="24"/>
                <w:szCs w:val="24"/>
              </w:rPr>
            </w:pPr>
          </w:p>
        </w:tc>
        <w:tc>
          <w:tcPr>
            <w:tcW w:w="1350" w:type="dxa"/>
            <w:vMerge/>
          </w:tcPr>
          <w:p w14:paraId="132CB780" w14:textId="77777777" w:rsidR="00FB270C" w:rsidRPr="00FB270C" w:rsidRDefault="00FB270C" w:rsidP="00FB270C">
            <w:pPr>
              <w:spacing w:line="480" w:lineRule="auto"/>
              <w:rPr>
                <w:rFonts w:ascii="Times New Roman" w:eastAsia="MS Mincho" w:hAnsi="Times New Roman" w:cs="Times New Roman"/>
                <w:sz w:val="24"/>
                <w:szCs w:val="24"/>
              </w:rPr>
            </w:pPr>
          </w:p>
        </w:tc>
        <w:tc>
          <w:tcPr>
            <w:tcW w:w="2880" w:type="dxa"/>
            <w:vAlign w:val="center"/>
          </w:tcPr>
          <w:p w14:paraId="35885350"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Lower limit</w:t>
            </w:r>
          </w:p>
        </w:tc>
        <w:tc>
          <w:tcPr>
            <w:tcW w:w="2430" w:type="dxa"/>
            <w:vAlign w:val="center"/>
          </w:tcPr>
          <w:p w14:paraId="49F0FC2E"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Upper limit</w:t>
            </w:r>
          </w:p>
        </w:tc>
      </w:tr>
      <w:tr w:rsidR="00FB270C" w:rsidRPr="00FB270C" w14:paraId="6BF91788" w14:textId="77777777" w:rsidTr="00230A3A">
        <w:tc>
          <w:tcPr>
            <w:tcW w:w="1165" w:type="dxa"/>
          </w:tcPr>
          <w:p w14:paraId="5984EEC2"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1</w:t>
            </w:r>
          </w:p>
        </w:tc>
        <w:tc>
          <w:tcPr>
            <w:tcW w:w="3240" w:type="dxa"/>
          </w:tcPr>
          <w:p w14:paraId="5BC87472"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Luke et al. 2013</w:t>
            </w:r>
            <w:r w:rsidRPr="00FB270C">
              <w:rPr>
                <w:rFonts w:ascii="Times New Roman" w:eastAsia="MS Mincho" w:hAnsi="Times New Roman" w:cs="Times New Roman"/>
                <w:sz w:val="24"/>
                <w:szCs w:val="24"/>
                <w:vertAlign w:val="superscript"/>
              </w:rPr>
              <w:t>6</w:t>
            </w:r>
          </w:p>
        </w:tc>
        <w:tc>
          <w:tcPr>
            <w:tcW w:w="1620" w:type="dxa"/>
            <w:vAlign w:val="center"/>
          </w:tcPr>
          <w:p w14:paraId="34282FCD"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2</w:t>
            </w:r>
          </w:p>
        </w:tc>
        <w:tc>
          <w:tcPr>
            <w:tcW w:w="1440" w:type="dxa"/>
            <w:vAlign w:val="center"/>
          </w:tcPr>
          <w:p w14:paraId="04BEA504"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39</w:t>
            </w:r>
          </w:p>
        </w:tc>
        <w:tc>
          <w:tcPr>
            <w:tcW w:w="1350" w:type="dxa"/>
          </w:tcPr>
          <w:p w14:paraId="20CD4041"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0.051</w:t>
            </w:r>
          </w:p>
        </w:tc>
        <w:tc>
          <w:tcPr>
            <w:tcW w:w="2880" w:type="dxa"/>
          </w:tcPr>
          <w:p w14:paraId="7D26C11F"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0.013</w:t>
            </w:r>
          </w:p>
        </w:tc>
        <w:tc>
          <w:tcPr>
            <w:tcW w:w="2430" w:type="dxa"/>
            <w:vAlign w:val="center"/>
          </w:tcPr>
          <w:p w14:paraId="52CBB55A"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0.183</w:t>
            </w:r>
          </w:p>
        </w:tc>
      </w:tr>
      <w:tr w:rsidR="00FB270C" w:rsidRPr="00FB270C" w14:paraId="3D58A9E5" w14:textId="77777777" w:rsidTr="00230A3A">
        <w:tc>
          <w:tcPr>
            <w:tcW w:w="1165" w:type="dxa"/>
          </w:tcPr>
          <w:p w14:paraId="4E08B471"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2</w:t>
            </w:r>
          </w:p>
        </w:tc>
        <w:tc>
          <w:tcPr>
            <w:tcW w:w="3240" w:type="dxa"/>
          </w:tcPr>
          <w:p w14:paraId="3EFF2C97"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Maio et al. 2013</w:t>
            </w:r>
            <w:r w:rsidRPr="00FB270C">
              <w:rPr>
                <w:rFonts w:ascii="Times New Roman" w:eastAsia="MS Mincho" w:hAnsi="Times New Roman" w:cs="Times New Roman"/>
                <w:sz w:val="24"/>
                <w:szCs w:val="24"/>
                <w:vertAlign w:val="superscript"/>
              </w:rPr>
              <w:t>7</w:t>
            </w:r>
          </w:p>
        </w:tc>
        <w:tc>
          <w:tcPr>
            <w:tcW w:w="1620" w:type="dxa"/>
            <w:vAlign w:val="center"/>
          </w:tcPr>
          <w:p w14:paraId="5E5E7904"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4</w:t>
            </w:r>
          </w:p>
        </w:tc>
        <w:tc>
          <w:tcPr>
            <w:tcW w:w="1440" w:type="dxa"/>
            <w:vAlign w:val="center"/>
          </w:tcPr>
          <w:p w14:paraId="69557853"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82</w:t>
            </w:r>
          </w:p>
        </w:tc>
        <w:tc>
          <w:tcPr>
            <w:tcW w:w="1350" w:type="dxa"/>
          </w:tcPr>
          <w:p w14:paraId="0EF5FB3F"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0.049</w:t>
            </w:r>
          </w:p>
        </w:tc>
        <w:tc>
          <w:tcPr>
            <w:tcW w:w="2880" w:type="dxa"/>
          </w:tcPr>
          <w:p w14:paraId="0DB4535E"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0.018</w:t>
            </w:r>
          </w:p>
        </w:tc>
        <w:tc>
          <w:tcPr>
            <w:tcW w:w="2430" w:type="dxa"/>
          </w:tcPr>
          <w:p w14:paraId="59EEE875"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0.123</w:t>
            </w:r>
          </w:p>
        </w:tc>
      </w:tr>
      <w:tr w:rsidR="00FB270C" w:rsidRPr="00FB270C" w14:paraId="20F2C322" w14:textId="77777777" w:rsidTr="00230A3A">
        <w:tc>
          <w:tcPr>
            <w:tcW w:w="1165" w:type="dxa"/>
          </w:tcPr>
          <w:p w14:paraId="0D7A846C"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3</w:t>
            </w:r>
          </w:p>
        </w:tc>
        <w:tc>
          <w:tcPr>
            <w:tcW w:w="3240" w:type="dxa"/>
          </w:tcPr>
          <w:p w14:paraId="3036C8A0"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Zimmer et al. 2015</w:t>
            </w:r>
            <w:r w:rsidRPr="00FB270C">
              <w:rPr>
                <w:rFonts w:ascii="Times New Roman" w:eastAsia="MS Mincho" w:hAnsi="Times New Roman" w:cs="Times New Roman"/>
                <w:sz w:val="24"/>
                <w:szCs w:val="24"/>
                <w:vertAlign w:val="superscript"/>
              </w:rPr>
              <w:t>8</w:t>
            </w:r>
          </w:p>
        </w:tc>
        <w:tc>
          <w:tcPr>
            <w:tcW w:w="1620" w:type="dxa"/>
            <w:vAlign w:val="center"/>
          </w:tcPr>
          <w:p w14:paraId="40BB6E1A"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w:t>
            </w:r>
          </w:p>
        </w:tc>
        <w:tc>
          <w:tcPr>
            <w:tcW w:w="1440" w:type="dxa"/>
            <w:vAlign w:val="center"/>
          </w:tcPr>
          <w:p w14:paraId="717BBC53"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53</w:t>
            </w:r>
          </w:p>
        </w:tc>
        <w:tc>
          <w:tcPr>
            <w:tcW w:w="1350" w:type="dxa"/>
          </w:tcPr>
          <w:p w14:paraId="32F4B709"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0.009</w:t>
            </w:r>
          </w:p>
        </w:tc>
        <w:tc>
          <w:tcPr>
            <w:tcW w:w="2880" w:type="dxa"/>
          </w:tcPr>
          <w:p w14:paraId="711EA9E9"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0.001</w:t>
            </w:r>
          </w:p>
        </w:tc>
        <w:tc>
          <w:tcPr>
            <w:tcW w:w="2430" w:type="dxa"/>
          </w:tcPr>
          <w:p w14:paraId="40694116"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0.131</w:t>
            </w:r>
          </w:p>
        </w:tc>
      </w:tr>
      <w:tr w:rsidR="00FB270C" w:rsidRPr="00FB270C" w14:paraId="639B9B93" w14:textId="77777777" w:rsidTr="00230A3A">
        <w:tc>
          <w:tcPr>
            <w:tcW w:w="1165" w:type="dxa"/>
          </w:tcPr>
          <w:p w14:paraId="1C34B689"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4</w:t>
            </w:r>
          </w:p>
        </w:tc>
        <w:tc>
          <w:tcPr>
            <w:tcW w:w="3240" w:type="dxa"/>
          </w:tcPr>
          <w:p w14:paraId="2D4B6EAD"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Danielli et al. 2012</w:t>
            </w:r>
            <w:r w:rsidRPr="00FB270C">
              <w:rPr>
                <w:rFonts w:ascii="Times New Roman" w:eastAsia="MS Mincho" w:hAnsi="Times New Roman" w:cs="Times New Roman"/>
                <w:sz w:val="24"/>
                <w:szCs w:val="24"/>
                <w:vertAlign w:val="superscript"/>
              </w:rPr>
              <w:t>9</w:t>
            </w:r>
          </w:p>
        </w:tc>
        <w:tc>
          <w:tcPr>
            <w:tcW w:w="1620" w:type="dxa"/>
            <w:vAlign w:val="center"/>
          </w:tcPr>
          <w:p w14:paraId="41E1B292"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w:t>
            </w:r>
          </w:p>
        </w:tc>
        <w:tc>
          <w:tcPr>
            <w:tcW w:w="1440" w:type="dxa"/>
            <w:vAlign w:val="center"/>
          </w:tcPr>
          <w:p w14:paraId="0A8C6F12"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13</w:t>
            </w:r>
          </w:p>
        </w:tc>
        <w:tc>
          <w:tcPr>
            <w:tcW w:w="1350" w:type="dxa"/>
          </w:tcPr>
          <w:p w14:paraId="488DCBD2"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0.036</w:t>
            </w:r>
          </w:p>
        </w:tc>
        <w:tc>
          <w:tcPr>
            <w:tcW w:w="2880" w:type="dxa"/>
          </w:tcPr>
          <w:p w14:paraId="02D11FAB"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0.002</w:t>
            </w:r>
          </w:p>
        </w:tc>
        <w:tc>
          <w:tcPr>
            <w:tcW w:w="2430" w:type="dxa"/>
          </w:tcPr>
          <w:p w14:paraId="2BB89793"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0.384</w:t>
            </w:r>
          </w:p>
        </w:tc>
      </w:tr>
      <w:tr w:rsidR="00FB270C" w:rsidRPr="00FB270C" w14:paraId="72F376F4" w14:textId="77777777" w:rsidTr="00230A3A">
        <w:tc>
          <w:tcPr>
            <w:tcW w:w="1165" w:type="dxa"/>
          </w:tcPr>
          <w:p w14:paraId="63AC3795"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5</w:t>
            </w:r>
          </w:p>
        </w:tc>
        <w:tc>
          <w:tcPr>
            <w:tcW w:w="3240" w:type="dxa"/>
          </w:tcPr>
          <w:p w14:paraId="60DD3F85"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Wiater et al. 2013</w:t>
            </w:r>
            <w:r w:rsidRPr="00FB270C">
              <w:rPr>
                <w:rFonts w:ascii="Times New Roman" w:eastAsia="MS Mincho" w:hAnsi="Times New Roman" w:cs="Times New Roman"/>
                <w:sz w:val="24"/>
                <w:szCs w:val="24"/>
                <w:vertAlign w:val="superscript"/>
              </w:rPr>
              <w:t>10</w:t>
            </w:r>
          </w:p>
        </w:tc>
        <w:tc>
          <w:tcPr>
            <w:tcW w:w="1620" w:type="dxa"/>
            <w:vAlign w:val="center"/>
          </w:tcPr>
          <w:p w14:paraId="22DABCD7"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w:t>
            </w:r>
          </w:p>
        </w:tc>
        <w:tc>
          <w:tcPr>
            <w:tcW w:w="1440" w:type="dxa"/>
            <w:vAlign w:val="center"/>
          </w:tcPr>
          <w:p w14:paraId="3C8B50AF"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9</w:t>
            </w:r>
          </w:p>
        </w:tc>
        <w:tc>
          <w:tcPr>
            <w:tcW w:w="1350" w:type="dxa"/>
          </w:tcPr>
          <w:p w14:paraId="47A3157A"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0.050</w:t>
            </w:r>
          </w:p>
        </w:tc>
        <w:tc>
          <w:tcPr>
            <w:tcW w:w="2880" w:type="dxa"/>
          </w:tcPr>
          <w:p w14:paraId="567BC33C"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0.003</w:t>
            </w:r>
          </w:p>
        </w:tc>
        <w:tc>
          <w:tcPr>
            <w:tcW w:w="2430" w:type="dxa"/>
          </w:tcPr>
          <w:p w14:paraId="64FDAD6F"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0.475</w:t>
            </w:r>
          </w:p>
        </w:tc>
      </w:tr>
      <w:tr w:rsidR="00FB270C" w:rsidRPr="00FB270C" w14:paraId="17671246" w14:textId="77777777" w:rsidTr="00230A3A">
        <w:tc>
          <w:tcPr>
            <w:tcW w:w="1165" w:type="dxa"/>
          </w:tcPr>
          <w:p w14:paraId="0127639C"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6</w:t>
            </w:r>
          </w:p>
        </w:tc>
        <w:tc>
          <w:tcPr>
            <w:tcW w:w="3240" w:type="dxa"/>
          </w:tcPr>
          <w:p w14:paraId="5F24F99D"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Khattak 2013</w:t>
            </w:r>
            <w:r w:rsidRPr="00FB270C">
              <w:rPr>
                <w:rFonts w:ascii="Times New Roman" w:eastAsia="MS Mincho" w:hAnsi="Times New Roman" w:cs="Times New Roman"/>
                <w:sz w:val="24"/>
                <w:szCs w:val="24"/>
                <w:vertAlign w:val="superscript"/>
              </w:rPr>
              <w:t>11</w:t>
            </w:r>
          </w:p>
        </w:tc>
        <w:tc>
          <w:tcPr>
            <w:tcW w:w="1620" w:type="dxa"/>
            <w:vAlign w:val="center"/>
          </w:tcPr>
          <w:p w14:paraId="2888E0BE"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w:t>
            </w:r>
          </w:p>
        </w:tc>
        <w:tc>
          <w:tcPr>
            <w:tcW w:w="1440" w:type="dxa"/>
            <w:vAlign w:val="center"/>
          </w:tcPr>
          <w:p w14:paraId="26229CC3"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5</w:t>
            </w:r>
          </w:p>
        </w:tc>
        <w:tc>
          <w:tcPr>
            <w:tcW w:w="1350" w:type="dxa"/>
          </w:tcPr>
          <w:p w14:paraId="18E4A01C"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0.083</w:t>
            </w:r>
          </w:p>
        </w:tc>
        <w:tc>
          <w:tcPr>
            <w:tcW w:w="2880" w:type="dxa"/>
          </w:tcPr>
          <w:p w14:paraId="15DF1FA7"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0.005</w:t>
            </w:r>
          </w:p>
        </w:tc>
        <w:tc>
          <w:tcPr>
            <w:tcW w:w="2430" w:type="dxa"/>
          </w:tcPr>
          <w:p w14:paraId="2BCDF61A"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0.622</w:t>
            </w:r>
          </w:p>
        </w:tc>
      </w:tr>
      <w:tr w:rsidR="00FB270C" w:rsidRPr="00FB270C" w14:paraId="2EA2D321" w14:textId="77777777" w:rsidTr="00230A3A">
        <w:tc>
          <w:tcPr>
            <w:tcW w:w="1165" w:type="dxa"/>
          </w:tcPr>
          <w:p w14:paraId="6834BE33"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7</w:t>
            </w:r>
          </w:p>
        </w:tc>
        <w:tc>
          <w:tcPr>
            <w:tcW w:w="3240" w:type="dxa"/>
          </w:tcPr>
          <w:p w14:paraId="4A71A243"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Rozeman 2017</w:t>
            </w:r>
            <w:r w:rsidRPr="00FB270C">
              <w:rPr>
                <w:rFonts w:ascii="Times New Roman" w:eastAsia="MS Mincho" w:hAnsi="Times New Roman" w:cs="Times New Roman"/>
                <w:sz w:val="24"/>
                <w:szCs w:val="24"/>
                <w:vertAlign w:val="superscript"/>
              </w:rPr>
              <w:t>12</w:t>
            </w:r>
          </w:p>
        </w:tc>
        <w:tc>
          <w:tcPr>
            <w:tcW w:w="1620" w:type="dxa"/>
            <w:vAlign w:val="center"/>
          </w:tcPr>
          <w:p w14:paraId="046AC839"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w:t>
            </w:r>
          </w:p>
        </w:tc>
        <w:tc>
          <w:tcPr>
            <w:tcW w:w="1440" w:type="dxa"/>
            <w:vAlign w:val="center"/>
          </w:tcPr>
          <w:p w14:paraId="0F8FEB0E"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19</w:t>
            </w:r>
          </w:p>
        </w:tc>
        <w:tc>
          <w:tcPr>
            <w:tcW w:w="1350" w:type="dxa"/>
          </w:tcPr>
          <w:p w14:paraId="1F394258"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0.025</w:t>
            </w:r>
          </w:p>
        </w:tc>
        <w:tc>
          <w:tcPr>
            <w:tcW w:w="2880" w:type="dxa"/>
          </w:tcPr>
          <w:p w14:paraId="72B2DDAB"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0.002</w:t>
            </w:r>
          </w:p>
        </w:tc>
        <w:tc>
          <w:tcPr>
            <w:tcW w:w="2430" w:type="dxa"/>
          </w:tcPr>
          <w:p w14:paraId="52EECFB2"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0.298</w:t>
            </w:r>
          </w:p>
        </w:tc>
      </w:tr>
      <w:tr w:rsidR="00FB270C" w:rsidRPr="00FB270C" w14:paraId="37DA4569" w14:textId="77777777" w:rsidTr="00230A3A">
        <w:tc>
          <w:tcPr>
            <w:tcW w:w="1165" w:type="dxa"/>
          </w:tcPr>
          <w:p w14:paraId="378A6F4E"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8</w:t>
            </w:r>
          </w:p>
        </w:tc>
        <w:tc>
          <w:tcPr>
            <w:tcW w:w="3240" w:type="dxa"/>
          </w:tcPr>
          <w:p w14:paraId="54DCE6C4"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Karydis et al. 2016</w:t>
            </w:r>
            <w:r w:rsidRPr="00FB270C">
              <w:rPr>
                <w:rFonts w:ascii="Times New Roman" w:eastAsia="MS Mincho" w:hAnsi="Times New Roman" w:cs="Times New Roman"/>
                <w:sz w:val="24"/>
                <w:szCs w:val="24"/>
                <w:vertAlign w:val="superscript"/>
              </w:rPr>
              <w:t>13</w:t>
            </w:r>
          </w:p>
        </w:tc>
        <w:tc>
          <w:tcPr>
            <w:tcW w:w="1620" w:type="dxa"/>
            <w:vAlign w:val="center"/>
          </w:tcPr>
          <w:p w14:paraId="398DC877"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2</w:t>
            </w:r>
          </w:p>
        </w:tc>
        <w:tc>
          <w:tcPr>
            <w:tcW w:w="1440" w:type="dxa"/>
            <w:vAlign w:val="center"/>
          </w:tcPr>
          <w:p w14:paraId="0F506037"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25</w:t>
            </w:r>
          </w:p>
        </w:tc>
        <w:tc>
          <w:tcPr>
            <w:tcW w:w="1350" w:type="dxa"/>
          </w:tcPr>
          <w:p w14:paraId="1987CF70"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0.080</w:t>
            </w:r>
          </w:p>
        </w:tc>
        <w:tc>
          <w:tcPr>
            <w:tcW w:w="2880" w:type="dxa"/>
          </w:tcPr>
          <w:p w14:paraId="0A2DAAAC"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0.125</w:t>
            </w:r>
          </w:p>
        </w:tc>
        <w:tc>
          <w:tcPr>
            <w:tcW w:w="2430" w:type="dxa"/>
          </w:tcPr>
          <w:p w14:paraId="14F937B1"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0.269</w:t>
            </w:r>
          </w:p>
        </w:tc>
      </w:tr>
      <w:tr w:rsidR="00FB270C" w:rsidRPr="00FB270C" w14:paraId="3D8C3255" w14:textId="77777777" w:rsidTr="00230A3A">
        <w:tc>
          <w:tcPr>
            <w:tcW w:w="1165" w:type="dxa"/>
          </w:tcPr>
          <w:p w14:paraId="4BA5AB41"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9</w:t>
            </w:r>
          </w:p>
        </w:tc>
        <w:tc>
          <w:tcPr>
            <w:tcW w:w="3240" w:type="dxa"/>
          </w:tcPr>
          <w:p w14:paraId="2DA7BBD9"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Kottschade et al. 2016</w:t>
            </w:r>
            <w:r w:rsidRPr="00FB270C">
              <w:rPr>
                <w:rFonts w:ascii="Times New Roman" w:eastAsia="MS Mincho" w:hAnsi="Times New Roman" w:cs="Times New Roman"/>
                <w:sz w:val="24"/>
                <w:szCs w:val="24"/>
                <w:vertAlign w:val="superscript"/>
              </w:rPr>
              <w:t>14</w:t>
            </w:r>
          </w:p>
        </w:tc>
        <w:tc>
          <w:tcPr>
            <w:tcW w:w="1620" w:type="dxa"/>
            <w:vAlign w:val="center"/>
          </w:tcPr>
          <w:p w14:paraId="16DE4881"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3</w:t>
            </w:r>
          </w:p>
        </w:tc>
        <w:tc>
          <w:tcPr>
            <w:tcW w:w="1440" w:type="dxa"/>
            <w:vAlign w:val="center"/>
          </w:tcPr>
          <w:p w14:paraId="68903A14"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8</w:t>
            </w:r>
          </w:p>
        </w:tc>
        <w:tc>
          <w:tcPr>
            <w:tcW w:w="1350" w:type="dxa"/>
          </w:tcPr>
          <w:p w14:paraId="0010FA78"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0.375</w:t>
            </w:r>
          </w:p>
        </w:tc>
        <w:tc>
          <w:tcPr>
            <w:tcW w:w="2880" w:type="dxa"/>
          </w:tcPr>
          <w:p w14:paraId="266581F8"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0.009</w:t>
            </w:r>
          </w:p>
        </w:tc>
        <w:tc>
          <w:tcPr>
            <w:tcW w:w="2430" w:type="dxa"/>
          </w:tcPr>
          <w:p w14:paraId="1F37DFAA"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0.715</w:t>
            </w:r>
          </w:p>
        </w:tc>
      </w:tr>
      <w:tr w:rsidR="00FB270C" w:rsidRPr="00FB270C" w14:paraId="22392CC7" w14:textId="77777777" w:rsidTr="00230A3A">
        <w:tc>
          <w:tcPr>
            <w:tcW w:w="1165" w:type="dxa"/>
          </w:tcPr>
          <w:p w14:paraId="4673BBD9"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10</w:t>
            </w:r>
          </w:p>
        </w:tc>
        <w:tc>
          <w:tcPr>
            <w:tcW w:w="3240" w:type="dxa"/>
          </w:tcPr>
          <w:p w14:paraId="60FA4CEC"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Algazi et al. 2016</w:t>
            </w:r>
            <w:r w:rsidRPr="00FB270C">
              <w:rPr>
                <w:rFonts w:ascii="Times New Roman" w:eastAsia="MS Mincho" w:hAnsi="Times New Roman" w:cs="Times New Roman"/>
                <w:sz w:val="24"/>
                <w:szCs w:val="24"/>
                <w:vertAlign w:val="superscript"/>
              </w:rPr>
              <w:t>15</w:t>
            </w:r>
          </w:p>
        </w:tc>
        <w:tc>
          <w:tcPr>
            <w:tcW w:w="1620" w:type="dxa"/>
            <w:vAlign w:val="center"/>
          </w:tcPr>
          <w:p w14:paraId="7D65D272"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2</w:t>
            </w:r>
          </w:p>
        </w:tc>
        <w:tc>
          <w:tcPr>
            <w:tcW w:w="1440" w:type="dxa"/>
            <w:vAlign w:val="center"/>
          </w:tcPr>
          <w:p w14:paraId="46476204"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56</w:t>
            </w:r>
          </w:p>
        </w:tc>
        <w:tc>
          <w:tcPr>
            <w:tcW w:w="1350" w:type="dxa"/>
          </w:tcPr>
          <w:p w14:paraId="3B87FE02"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0.036</w:t>
            </w:r>
          </w:p>
        </w:tc>
        <w:tc>
          <w:tcPr>
            <w:tcW w:w="2880" w:type="dxa"/>
          </w:tcPr>
          <w:p w14:paraId="6B28624C"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0.018</w:t>
            </w:r>
          </w:p>
        </w:tc>
        <w:tc>
          <w:tcPr>
            <w:tcW w:w="2430" w:type="dxa"/>
          </w:tcPr>
          <w:p w14:paraId="074FFA12"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0.132</w:t>
            </w:r>
          </w:p>
        </w:tc>
      </w:tr>
      <w:tr w:rsidR="00FB270C" w:rsidRPr="00FB270C" w14:paraId="6A3FB943" w14:textId="77777777" w:rsidTr="00230A3A">
        <w:tc>
          <w:tcPr>
            <w:tcW w:w="1165" w:type="dxa"/>
          </w:tcPr>
          <w:p w14:paraId="06779687"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11</w:t>
            </w:r>
          </w:p>
        </w:tc>
        <w:tc>
          <w:tcPr>
            <w:tcW w:w="3240" w:type="dxa"/>
          </w:tcPr>
          <w:p w14:paraId="34D6706A"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Heppt 2017</w:t>
            </w:r>
            <w:r w:rsidRPr="00FB270C">
              <w:rPr>
                <w:rFonts w:ascii="Times New Roman" w:eastAsia="MS Mincho" w:hAnsi="Times New Roman" w:cs="Times New Roman"/>
                <w:sz w:val="24"/>
                <w:szCs w:val="24"/>
                <w:vertAlign w:val="superscript"/>
              </w:rPr>
              <w:t>16</w:t>
            </w:r>
          </w:p>
        </w:tc>
        <w:tc>
          <w:tcPr>
            <w:tcW w:w="1620" w:type="dxa"/>
            <w:vAlign w:val="center"/>
          </w:tcPr>
          <w:p w14:paraId="21A37544"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4</w:t>
            </w:r>
          </w:p>
        </w:tc>
        <w:tc>
          <w:tcPr>
            <w:tcW w:w="1440" w:type="dxa"/>
            <w:vAlign w:val="center"/>
          </w:tcPr>
          <w:p w14:paraId="16D6749E"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86</w:t>
            </w:r>
          </w:p>
        </w:tc>
        <w:tc>
          <w:tcPr>
            <w:tcW w:w="1350" w:type="dxa"/>
          </w:tcPr>
          <w:p w14:paraId="3C448CBE"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0.047</w:t>
            </w:r>
          </w:p>
        </w:tc>
        <w:tc>
          <w:tcPr>
            <w:tcW w:w="2880" w:type="dxa"/>
          </w:tcPr>
          <w:p w14:paraId="2CD82978"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0.002</w:t>
            </w:r>
          </w:p>
        </w:tc>
        <w:tc>
          <w:tcPr>
            <w:tcW w:w="2430" w:type="dxa"/>
          </w:tcPr>
          <w:p w14:paraId="7BBBAF44"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0.117</w:t>
            </w:r>
          </w:p>
        </w:tc>
      </w:tr>
      <w:tr w:rsidR="00FB270C" w:rsidRPr="00FB270C" w14:paraId="08A0EEF7" w14:textId="77777777" w:rsidTr="00230A3A">
        <w:tc>
          <w:tcPr>
            <w:tcW w:w="1165" w:type="dxa"/>
          </w:tcPr>
          <w:p w14:paraId="29B33F65"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12</w:t>
            </w:r>
          </w:p>
        </w:tc>
        <w:tc>
          <w:tcPr>
            <w:tcW w:w="3240" w:type="dxa"/>
          </w:tcPr>
          <w:p w14:paraId="5C93C96D" w14:textId="77777777" w:rsidR="00FB270C" w:rsidRPr="00FB270C" w:rsidRDefault="00FB270C" w:rsidP="00FB270C">
            <w:pPr>
              <w:spacing w:line="480" w:lineRule="auto"/>
              <w:rPr>
                <w:rFonts w:ascii="Times New Roman" w:eastAsia="MS Mincho" w:hAnsi="Times New Roman" w:cs="Times New Roman"/>
                <w:sz w:val="24"/>
                <w:szCs w:val="24"/>
                <w:lang w:val="nl-NL"/>
              </w:rPr>
            </w:pPr>
            <w:r w:rsidRPr="00FB270C">
              <w:rPr>
                <w:rFonts w:ascii="Times New Roman" w:eastAsia="MS Mincho" w:hAnsi="Times New Roman" w:cs="Times New Roman"/>
                <w:sz w:val="24"/>
                <w:szCs w:val="24"/>
                <w:lang w:val="nl-NL"/>
              </w:rPr>
              <w:t>Van der Kooij et al. 2017</w:t>
            </w:r>
            <w:r w:rsidRPr="00FB270C">
              <w:rPr>
                <w:rFonts w:ascii="Times New Roman" w:eastAsia="MS Mincho" w:hAnsi="Times New Roman" w:cs="Times New Roman"/>
                <w:sz w:val="24"/>
                <w:szCs w:val="24"/>
                <w:vertAlign w:val="superscript"/>
                <w:lang w:val="nl-NL"/>
              </w:rPr>
              <w:t>17</w:t>
            </w:r>
          </w:p>
        </w:tc>
        <w:tc>
          <w:tcPr>
            <w:tcW w:w="1620" w:type="dxa"/>
            <w:vAlign w:val="center"/>
          </w:tcPr>
          <w:p w14:paraId="2CA33C3B"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w:t>
            </w:r>
          </w:p>
        </w:tc>
        <w:tc>
          <w:tcPr>
            <w:tcW w:w="1440" w:type="dxa"/>
            <w:vAlign w:val="center"/>
          </w:tcPr>
          <w:p w14:paraId="0D4A70EA"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17</w:t>
            </w:r>
          </w:p>
        </w:tc>
        <w:tc>
          <w:tcPr>
            <w:tcW w:w="1350" w:type="dxa"/>
          </w:tcPr>
          <w:p w14:paraId="7BDA6D70"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0.028</w:t>
            </w:r>
          </w:p>
        </w:tc>
        <w:tc>
          <w:tcPr>
            <w:tcW w:w="2880" w:type="dxa"/>
          </w:tcPr>
          <w:p w14:paraId="05A556E1"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0.003</w:t>
            </w:r>
          </w:p>
        </w:tc>
        <w:tc>
          <w:tcPr>
            <w:tcW w:w="2430" w:type="dxa"/>
          </w:tcPr>
          <w:p w14:paraId="3302AC83"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0.322</w:t>
            </w:r>
          </w:p>
        </w:tc>
      </w:tr>
      <w:tr w:rsidR="00FB270C" w:rsidRPr="00FB270C" w14:paraId="308E2B57" w14:textId="77777777" w:rsidTr="00230A3A">
        <w:tc>
          <w:tcPr>
            <w:tcW w:w="1165" w:type="dxa"/>
          </w:tcPr>
          <w:p w14:paraId="20FC3740"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13</w:t>
            </w:r>
          </w:p>
        </w:tc>
        <w:tc>
          <w:tcPr>
            <w:tcW w:w="3240" w:type="dxa"/>
          </w:tcPr>
          <w:p w14:paraId="06E04A9A"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Bender 2017</w:t>
            </w:r>
            <w:r w:rsidRPr="00FB270C">
              <w:rPr>
                <w:rFonts w:ascii="Times New Roman" w:eastAsia="MS Mincho" w:hAnsi="Times New Roman" w:cs="Times New Roman"/>
                <w:sz w:val="24"/>
                <w:szCs w:val="24"/>
                <w:vertAlign w:val="superscript"/>
              </w:rPr>
              <w:t>18</w:t>
            </w:r>
          </w:p>
        </w:tc>
        <w:tc>
          <w:tcPr>
            <w:tcW w:w="1620" w:type="dxa"/>
            <w:vAlign w:val="center"/>
          </w:tcPr>
          <w:p w14:paraId="659A99D6"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w:t>
            </w:r>
          </w:p>
        </w:tc>
        <w:tc>
          <w:tcPr>
            <w:tcW w:w="1440" w:type="dxa"/>
            <w:vAlign w:val="center"/>
          </w:tcPr>
          <w:p w14:paraId="770C80CE"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15</w:t>
            </w:r>
          </w:p>
        </w:tc>
        <w:tc>
          <w:tcPr>
            <w:tcW w:w="1350" w:type="dxa"/>
            <w:vAlign w:val="center"/>
          </w:tcPr>
          <w:p w14:paraId="35B6456A"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0.031</w:t>
            </w:r>
          </w:p>
        </w:tc>
        <w:tc>
          <w:tcPr>
            <w:tcW w:w="2880" w:type="dxa"/>
          </w:tcPr>
          <w:p w14:paraId="2C91C09C"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0.001</w:t>
            </w:r>
          </w:p>
        </w:tc>
        <w:tc>
          <w:tcPr>
            <w:tcW w:w="2430" w:type="dxa"/>
          </w:tcPr>
          <w:p w14:paraId="6E96F6FD"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0.350</w:t>
            </w:r>
          </w:p>
        </w:tc>
      </w:tr>
      <w:tr w:rsidR="00FB270C" w:rsidRPr="00FB270C" w14:paraId="5FCB6896" w14:textId="77777777" w:rsidTr="00230A3A">
        <w:tc>
          <w:tcPr>
            <w:tcW w:w="1165" w:type="dxa"/>
          </w:tcPr>
          <w:p w14:paraId="592183F1"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lastRenderedPageBreak/>
              <w:t>14</w:t>
            </w:r>
          </w:p>
        </w:tc>
        <w:tc>
          <w:tcPr>
            <w:tcW w:w="3240" w:type="dxa"/>
          </w:tcPr>
          <w:p w14:paraId="75CF9E7F"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Gonzalez-Cao et al. 2017</w:t>
            </w:r>
            <w:r w:rsidRPr="00FB270C">
              <w:rPr>
                <w:rFonts w:ascii="Times New Roman" w:eastAsia="MS Mincho" w:hAnsi="Times New Roman" w:cs="Times New Roman"/>
                <w:sz w:val="24"/>
                <w:szCs w:val="24"/>
                <w:vertAlign w:val="superscript"/>
              </w:rPr>
              <w:t>19</w:t>
            </w:r>
          </w:p>
        </w:tc>
        <w:tc>
          <w:tcPr>
            <w:tcW w:w="1620" w:type="dxa"/>
            <w:vAlign w:val="center"/>
          </w:tcPr>
          <w:p w14:paraId="39006832"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w:t>
            </w:r>
          </w:p>
        </w:tc>
        <w:tc>
          <w:tcPr>
            <w:tcW w:w="1440" w:type="dxa"/>
            <w:vAlign w:val="center"/>
          </w:tcPr>
          <w:p w14:paraId="5FAA1BF5"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8</w:t>
            </w:r>
          </w:p>
        </w:tc>
        <w:tc>
          <w:tcPr>
            <w:tcW w:w="1350" w:type="dxa"/>
            <w:vAlign w:val="center"/>
          </w:tcPr>
          <w:p w14:paraId="1BFF5F05"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0.056</w:t>
            </w:r>
          </w:p>
        </w:tc>
        <w:tc>
          <w:tcPr>
            <w:tcW w:w="2880" w:type="dxa"/>
          </w:tcPr>
          <w:p w14:paraId="2EED1491"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0.001</w:t>
            </w:r>
          </w:p>
        </w:tc>
        <w:tc>
          <w:tcPr>
            <w:tcW w:w="2430" w:type="dxa"/>
          </w:tcPr>
          <w:p w14:paraId="583AB8AB"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0.505</w:t>
            </w:r>
          </w:p>
        </w:tc>
      </w:tr>
      <w:tr w:rsidR="00FB270C" w:rsidRPr="00FB270C" w14:paraId="4030D6F3" w14:textId="77777777" w:rsidTr="00230A3A">
        <w:tc>
          <w:tcPr>
            <w:tcW w:w="1165" w:type="dxa"/>
          </w:tcPr>
          <w:p w14:paraId="197834FC"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15</w:t>
            </w:r>
          </w:p>
        </w:tc>
        <w:tc>
          <w:tcPr>
            <w:tcW w:w="3240" w:type="dxa"/>
          </w:tcPr>
          <w:p w14:paraId="33957001"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Piperno-Neumann et al. 2016</w:t>
            </w:r>
            <w:r w:rsidRPr="00FB270C">
              <w:rPr>
                <w:rFonts w:ascii="Times New Roman" w:eastAsia="MS Mincho" w:hAnsi="Times New Roman" w:cs="Times New Roman"/>
                <w:sz w:val="24"/>
                <w:szCs w:val="24"/>
                <w:vertAlign w:val="superscript"/>
              </w:rPr>
              <w:t>20</w:t>
            </w:r>
          </w:p>
        </w:tc>
        <w:tc>
          <w:tcPr>
            <w:tcW w:w="1620" w:type="dxa"/>
            <w:vAlign w:val="center"/>
          </w:tcPr>
          <w:p w14:paraId="06F6A2A5"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w:t>
            </w:r>
          </w:p>
        </w:tc>
        <w:tc>
          <w:tcPr>
            <w:tcW w:w="1440" w:type="dxa"/>
            <w:vAlign w:val="center"/>
          </w:tcPr>
          <w:p w14:paraId="3ECA43F9"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21</w:t>
            </w:r>
          </w:p>
        </w:tc>
        <w:tc>
          <w:tcPr>
            <w:tcW w:w="1350" w:type="dxa"/>
            <w:vAlign w:val="center"/>
          </w:tcPr>
          <w:p w14:paraId="709E6B7D"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0.023</w:t>
            </w:r>
          </w:p>
        </w:tc>
        <w:tc>
          <w:tcPr>
            <w:tcW w:w="2880" w:type="dxa"/>
          </w:tcPr>
          <w:p w14:paraId="088E97EB"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w:t>
            </w:r>
          </w:p>
        </w:tc>
        <w:tc>
          <w:tcPr>
            <w:tcW w:w="2430" w:type="dxa"/>
          </w:tcPr>
          <w:p w14:paraId="6166CF70"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0.277</w:t>
            </w:r>
          </w:p>
        </w:tc>
      </w:tr>
      <w:tr w:rsidR="00FB270C" w:rsidRPr="00FB270C" w14:paraId="6B62BBB9" w14:textId="77777777" w:rsidTr="00230A3A">
        <w:tc>
          <w:tcPr>
            <w:tcW w:w="1165" w:type="dxa"/>
          </w:tcPr>
          <w:p w14:paraId="2CB30B42"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16</w:t>
            </w:r>
          </w:p>
        </w:tc>
        <w:tc>
          <w:tcPr>
            <w:tcW w:w="3240" w:type="dxa"/>
          </w:tcPr>
          <w:p w14:paraId="6BC3BACA"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KEYTRUDA SmPC 2018</w:t>
            </w:r>
            <w:r w:rsidRPr="00FB270C">
              <w:rPr>
                <w:rFonts w:ascii="Times New Roman" w:eastAsia="MS Mincho" w:hAnsi="Times New Roman" w:cs="Times New Roman"/>
                <w:sz w:val="24"/>
                <w:szCs w:val="24"/>
                <w:vertAlign w:val="superscript"/>
              </w:rPr>
              <w:t>21</w:t>
            </w:r>
          </w:p>
        </w:tc>
        <w:tc>
          <w:tcPr>
            <w:tcW w:w="1620" w:type="dxa"/>
            <w:vAlign w:val="center"/>
          </w:tcPr>
          <w:p w14:paraId="4EE1D317"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w:t>
            </w:r>
          </w:p>
        </w:tc>
        <w:tc>
          <w:tcPr>
            <w:tcW w:w="1440" w:type="dxa"/>
            <w:vAlign w:val="center"/>
          </w:tcPr>
          <w:p w14:paraId="486BEF00"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20</w:t>
            </w:r>
          </w:p>
        </w:tc>
        <w:tc>
          <w:tcPr>
            <w:tcW w:w="1350" w:type="dxa"/>
            <w:vAlign w:val="center"/>
          </w:tcPr>
          <w:p w14:paraId="6FBC9E13"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0.024</w:t>
            </w:r>
          </w:p>
        </w:tc>
        <w:tc>
          <w:tcPr>
            <w:tcW w:w="2880" w:type="dxa"/>
          </w:tcPr>
          <w:p w14:paraId="32093F41"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w:t>
            </w:r>
          </w:p>
        </w:tc>
        <w:tc>
          <w:tcPr>
            <w:tcW w:w="2430" w:type="dxa"/>
          </w:tcPr>
          <w:p w14:paraId="27CC804C"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0.287</w:t>
            </w:r>
          </w:p>
        </w:tc>
      </w:tr>
      <w:tr w:rsidR="00FB270C" w:rsidRPr="00FB270C" w14:paraId="4FFDEE84" w14:textId="77777777" w:rsidTr="00230A3A">
        <w:tc>
          <w:tcPr>
            <w:tcW w:w="4405" w:type="dxa"/>
            <w:gridSpan w:val="2"/>
          </w:tcPr>
          <w:p w14:paraId="45C8996C"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Pooled (n = 16)</w:t>
            </w:r>
          </w:p>
        </w:tc>
        <w:tc>
          <w:tcPr>
            <w:tcW w:w="1620" w:type="dxa"/>
            <w:vAlign w:val="center"/>
          </w:tcPr>
          <w:p w14:paraId="3BB2AFC2"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17</w:t>
            </w:r>
          </w:p>
        </w:tc>
        <w:tc>
          <w:tcPr>
            <w:tcW w:w="1440" w:type="dxa"/>
            <w:vAlign w:val="center"/>
          </w:tcPr>
          <w:p w14:paraId="510D720D"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476</w:t>
            </w:r>
          </w:p>
        </w:tc>
        <w:tc>
          <w:tcPr>
            <w:tcW w:w="1350" w:type="dxa"/>
            <w:vAlign w:val="center"/>
          </w:tcPr>
          <w:p w14:paraId="0BDD4EFE"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0.055</w:t>
            </w:r>
          </w:p>
        </w:tc>
        <w:tc>
          <w:tcPr>
            <w:tcW w:w="2880" w:type="dxa"/>
            <w:vAlign w:val="center"/>
          </w:tcPr>
          <w:p w14:paraId="442C19D3"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0.036</w:t>
            </w:r>
          </w:p>
        </w:tc>
        <w:tc>
          <w:tcPr>
            <w:tcW w:w="2430" w:type="dxa"/>
            <w:vAlign w:val="center"/>
          </w:tcPr>
          <w:p w14:paraId="6AE78C4A"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0.083</w:t>
            </w:r>
          </w:p>
        </w:tc>
      </w:tr>
      <w:tr w:rsidR="00FB270C" w:rsidRPr="00FB270C" w14:paraId="428BE271" w14:textId="77777777" w:rsidTr="00230A3A">
        <w:tc>
          <w:tcPr>
            <w:tcW w:w="4405" w:type="dxa"/>
            <w:gridSpan w:val="2"/>
          </w:tcPr>
          <w:p w14:paraId="5BB40CB4"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Study heterogeneity statistics</w:t>
            </w:r>
            <w:r w:rsidRPr="00FB270C">
              <w:rPr>
                <w:rFonts w:ascii="Times New Roman" w:eastAsia="MS Mincho" w:hAnsi="Times New Roman" w:cs="Times New Roman"/>
                <w:sz w:val="24"/>
                <w:szCs w:val="24"/>
                <w:vertAlign w:val="superscript"/>
              </w:rPr>
              <w:t>c</w:t>
            </w:r>
          </w:p>
        </w:tc>
        <w:tc>
          <w:tcPr>
            <w:tcW w:w="9720" w:type="dxa"/>
            <w:gridSpan w:val="5"/>
          </w:tcPr>
          <w:p w14:paraId="25582B8F"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 xml:space="preserve">Q = 14.46, df(Q) = 15, </w:t>
            </w:r>
            <w:r w:rsidRPr="00FB270C">
              <w:rPr>
                <w:rFonts w:ascii="Times New Roman" w:eastAsia="MS Mincho" w:hAnsi="Times New Roman" w:cs="Times New Roman"/>
                <w:i/>
                <w:iCs/>
                <w:sz w:val="24"/>
                <w:szCs w:val="24"/>
              </w:rPr>
              <w:t>P</w:t>
            </w:r>
            <w:r w:rsidRPr="00FB270C">
              <w:rPr>
                <w:rFonts w:ascii="Times New Roman" w:eastAsia="MS Mincho" w:hAnsi="Times New Roman" w:cs="Times New Roman"/>
                <w:sz w:val="24"/>
                <w:szCs w:val="24"/>
              </w:rPr>
              <w:t xml:space="preserve"> = .491, I</w:t>
            </w:r>
            <w:r w:rsidRPr="00FB270C">
              <w:rPr>
                <w:rFonts w:ascii="Times New Roman" w:eastAsia="MS Mincho" w:hAnsi="Times New Roman" w:cs="Times New Roman"/>
                <w:sz w:val="24"/>
                <w:szCs w:val="24"/>
                <w:vertAlign w:val="superscript"/>
              </w:rPr>
              <w:t xml:space="preserve">2 </w:t>
            </w:r>
            <w:r w:rsidRPr="00FB270C">
              <w:rPr>
                <w:rFonts w:ascii="Times New Roman" w:eastAsia="MS Mincho" w:hAnsi="Times New Roman" w:cs="Times New Roman"/>
                <w:sz w:val="24"/>
                <w:szCs w:val="24"/>
              </w:rPr>
              <w:t>&lt; .001</w:t>
            </w:r>
          </w:p>
        </w:tc>
      </w:tr>
      <w:tr w:rsidR="00FB270C" w:rsidRPr="00FB270C" w14:paraId="39154483" w14:textId="77777777" w:rsidTr="00230A3A">
        <w:tc>
          <w:tcPr>
            <w:tcW w:w="4405" w:type="dxa"/>
            <w:gridSpan w:val="2"/>
          </w:tcPr>
          <w:p w14:paraId="0B7AEC8F"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Pooled without Study 9 (n = 15)</w:t>
            </w:r>
          </w:p>
        </w:tc>
        <w:tc>
          <w:tcPr>
            <w:tcW w:w="1620" w:type="dxa"/>
            <w:vAlign w:val="center"/>
          </w:tcPr>
          <w:p w14:paraId="05D1E5D2"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14</w:t>
            </w:r>
          </w:p>
        </w:tc>
        <w:tc>
          <w:tcPr>
            <w:tcW w:w="1440" w:type="dxa"/>
            <w:vAlign w:val="center"/>
          </w:tcPr>
          <w:p w14:paraId="606A61C9"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468</w:t>
            </w:r>
          </w:p>
        </w:tc>
        <w:tc>
          <w:tcPr>
            <w:tcW w:w="1350" w:type="dxa"/>
            <w:vAlign w:val="center"/>
          </w:tcPr>
          <w:p w14:paraId="6C363435"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0.044</w:t>
            </w:r>
          </w:p>
        </w:tc>
        <w:tc>
          <w:tcPr>
            <w:tcW w:w="2880" w:type="dxa"/>
            <w:vAlign w:val="center"/>
          </w:tcPr>
          <w:p w14:paraId="767DCD70"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0.028</w:t>
            </w:r>
          </w:p>
        </w:tc>
        <w:tc>
          <w:tcPr>
            <w:tcW w:w="2430" w:type="dxa"/>
            <w:vAlign w:val="center"/>
          </w:tcPr>
          <w:p w14:paraId="533F2903" w14:textId="77777777" w:rsidR="00FB270C" w:rsidRPr="00FB270C" w:rsidRDefault="00FB270C" w:rsidP="00FB270C">
            <w:pPr>
              <w:spacing w:line="480" w:lineRule="auto"/>
              <w:jc w:val="center"/>
              <w:rPr>
                <w:rFonts w:ascii="Times New Roman" w:eastAsia="MS Mincho" w:hAnsi="Times New Roman" w:cs="Times New Roman"/>
                <w:sz w:val="24"/>
                <w:szCs w:val="24"/>
              </w:rPr>
            </w:pPr>
            <w:r w:rsidRPr="00FB270C">
              <w:rPr>
                <w:rFonts w:ascii="Times New Roman" w:eastAsia="MS Mincho" w:hAnsi="Times New Roman" w:cs="Times New Roman"/>
                <w:sz w:val="24"/>
                <w:szCs w:val="24"/>
              </w:rPr>
              <w:t>0.068</w:t>
            </w:r>
          </w:p>
        </w:tc>
      </w:tr>
      <w:tr w:rsidR="00FB270C" w:rsidRPr="00FB270C" w14:paraId="03B0D79D" w14:textId="77777777" w:rsidTr="00230A3A">
        <w:tc>
          <w:tcPr>
            <w:tcW w:w="4405" w:type="dxa"/>
            <w:gridSpan w:val="2"/>
          </w:tcPr>
          <w:p w14:paraId="7FF2290E"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Study heterogeneity statistics</w:t>
            </w:r>
            <w:r w:rsidRPr="00FB270C">
              <w:rPr>
                <w:rFonts w:ascii="Times New Roman" w:eastAsia="MS Mincho" w:hAnsi="Times New Roman" w:cs="Times New Roman"/>
                <w:sz w:val="24"/>
                <w:szCs w:val="24"/>
                <w:vertAlign w:val="superscript"/>
              </w:rPr>
              <w:t>c</w:t>
            </w:r>
          </w:p>
        </w:tc>
        <w:tc>
          <w:tcPr>
            <w:tcW w:w="9720" w:type="dxa"/>
            <w:gridSpan w:val="5"/>
          </w:tcPr>
          <w:p w14:paraId="081E0BA1"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rPr>
              <w:t xml:space="preserve">Q = 3.24, df(Q) = 14, </w:t>
            </w:r>
            <w:r w:rsidRPr="00FB270C">
              <w:rPr>
                <w:rFonts w:ascii="Times New Roman" w:eastAsia="MS Mincho" w:hAnsi="Times New Roman" w:cs="Times New Roman"/>
                <w:i/>
                <w:iCs/>
                <w:sz w:val="24"/>
                <w:szCs w:val="24"/>
              </w:rPr>
              <w:t>P</w:t>
            </w:r>
            <w:r w:rsidRPr="00FB270C">
              <w:rPr>
                <w:rFonts w:ascii="Times New Roman" w:eastAsia="MS Mincho" w:hAnsi="Times New Roman" w:cs="Times New Roman"/>
                <w:sz w:val="24"/>
                <w:szCs w:val="24"/>
              </w:rPr>
              <w:t xml:space="preserve"> = .999, I</w:t>
            </w:r>
            <w:r w:rsidRPr="00FB270C">
              <w:rPr>
                <w:rFonts w:ascii="Times New Roman" w:eastAsia="MS Mincho" w:hAnsi="Times New Roman" w:cs="Times New Roman"/>
                <w:sz w:val="24"/>
                <w:szCs w:val="24"/>
                <w:vertAlign w:val="superscript"/>
              </w:rPr>
              <w:t xml:space="preserve">2 </w:t>
            </w:r>
            <w:r w:rsidRPr="00FB270C">
              <w:rPr>
                <w:rFonts w:ascii="Times New Roman" w:eastAsia="MS Mincho" w:hAnsi="Times New Roman" w:cs="Times New Roman"/>
                <w:sz w:val="24"/>
                <w:szCs w:val="24"/>
              </w:rPr>
              <w:t>&lt; .001</w:t>
            </w:r>
          </w:p>
        </w:tc>
      </w:tr>
      <w:tr w:rsidR="00FB270C" w:rsidRPr="00FB270C" w14:paraId="65E6143A" w14:textId="77777777" w:rsidTr="00230A3A">
        <w:tc>
          <w:tcPr>
            <w:tcW w:w="14125" w:type="dxa"/>
            <w:gridSpan w:val="7"/>
          </w:tcPr>
          <w:p w14:paraId="324C5763"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vertAlign w:val="superscript"/>
              </w:rPr>
              <w:t xml:space="preserve">a </w:t>
            </w:r>
            <w:r w:rsidRPr="00FB270C">
              <w:rPr>
                <w:rFonts w:ascii="Times New Roman" w:eastAsia="MS Mincho" w:hAnsi="Times New Roman" w:cs="Times New Roman"/>
                <w:sz w:val="24"/>
                <w:szCs w:val="24"/>
              </w:rPr>
              <w:t>16 publications on response rates for immunotherapy treatments (single agent and combination therapy) in patients with ocular melanoma.</w:t>
            </w:r>
          </w:p>
          <w:p w14:paraId="35C13108"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vertAlign w:val="superscript"/>
              </w:rPr>
              <w:t xml:space="preserve">b </w:t>
            </w:r>
            <w:r w:rsidRPr="00FB270C">
              <w:rPr>
                <w:rFonts w:ascii="Times New Roman" w:eastAsia="MS Mincho" w:hAnsi="Times New Roman" w:cs="Times New Roman"/>
                <w:sz w:val="24"/>
                <w:szCs w:val="24"/>
              </w:rPr>
              <w:t>Event rate was estimated using 1/(2*n÷2) when the reported event was zero.</w:t>
            </w:r>
          </w:p>
          <w:p w14:paraId="4F82BEFF" w14:textId="77777777" w:rsidR="00FB270C" w:rsidRPr="00FB270C" w:rsidRDefault="00FB270C" w:rsidP="00FB270C">
            <w:pPr>
              <w:spacing w:line="480" w:lineRule="auto"/>
              <w:rPr>
                <w:rFonts w:ascii="Times New Roman" w:eastAsia="MS Mincho" w:hAnsi="Times New Roman" w:cs="Times New Roman"/>
                <w:sz w:val="24"/>
                <w:szCs w:val="24"/>
              </w:rPr>
            </w:pPr>
            <w:r w:rsidRPr="00FB270C">
              <w:rPr>
                <w:rFonts w:ascii="Times New Roman" w:eastAsia="MS Mincho" w:hAnsi="Times New Roman" w:cs="Times New Roman"/>
                <w:sz w:val="24"/>
                <w:szCs w:val="24"/>
                <w:vertAlign w:val="superscript"/>
              </w:rPr>
              <w:t xml:space="preserve">c </w:t>
            </w:r>
            <w:r w:rsidRPr="00FB270C">
              <w:rPr>
                <w:rFonts w:ascii="Times New Roman" w:eastAsia="MS Mincho" w:hAnsi="Times New Roman" w:cs="Times New Roman"/>
                <w:sz w:val="24"/>
                <w:szCs w:val="24"/>
              </w:rPr>
              <w:t xml:space="preserve">Null hypothesis for Q test: effect sizes across all studies are homogenous. Thus, a small </w:t>
            </w:r>
            <w:r w:rsidRPr="00FB270C">
              <w:rPr>
                <w:rFonts w:ascii="Times New Roman" w:eastAsia="MS Mincho" w:hAnsi="Times New Roman" w:cs="Times New Roman"/>
                <w:i/>
                <w:iCs/>
                <w:sz w:val="24"/>
                <w:szCs w:val="24"/>
              </w:rPr>
              <w:t>P</w:t>
            </w:r>
            <w:r w:rsidRPr="00FB270C">
              <w:rPr>
                <w:rFonts w:ascii="Times New Roman" w:eastAsia="MS Mincho" w:hAnsi="Times New Roman" w:cs="Times New Roman"/>
                <w:sz w:val="24"/>
                <w:szCs w:val="24"/>
              </w:rPr>
              <w:t xml:space="preserve"> value would indicate significant heterogeneity of effect sizes. If I</w:t>
            </w:r>
            <w:r w:rsidRPr="00FB270C">
              <w:rPr>
                <w:rFonts w:ascii="Times New Roman" w:eastAsia="MS Mincho" w:hAnsi="Times New Roman" w:cs="Times New Roman"/>
                <w:sz w:val="24"/>
                <w:szCs w:val="24"/>
                <w:vertAlign w:val="superscript"/>
              </w:rPr>
              <w:t>2</w:t>
            </w:r>
            <w:r w:rsidRPr="00FB270C">
              <w:rPr>
                <w:rFonts w:ascii="Times New Roman" w:eastAsia="MS Mincho" w:hAnsi="Times New Roman" w:cs="Times New Roman"/>
                <w:sz w:val="24"/>
                <w:szCs w:val="24"/>
              </w:rPr>
              <w:t xml:space="preserve"> is near zero, then almost all the observed variance is spurious.</w:t>
            </w:r>
          </w:p>
        </w:tc>
      </w:tr>
    </w:tbl>
    <w:p w14:paraId="46A2DBDF" w14:textId="77777777" w:rsidR="00FB270C" w:rsidRPr="00FB270C" w:rsidRDefault="00FB270C" w:rsidP="00FB270C">
      <w:pPr>
        <w:spacing w:after="0" w:line="480" w:lineRule="auto"/>
        <w:rPr>
          <w:rFonts w:ascii="Times New Roman" w:eastAsia="MS Mincho" w:hAnsi="Times New Roman" w:cs="Times New Roman"/>
          <w:b/>
          <w:bCs/>
          <w:kern w:val="0"/>
          <w:sz w:val="24"/>
          <w:szCs w:val="24"/>
          <w:lang w:eastAsia="en-GB"/>
          <w14:ligatures w14:val="none"/>
        </w:rPr>
        <w:sectPr w:rsidR="00FB270C" w:rsidRPr="00FB270C" w:rsidSect="00144834">
          <w:pgSz w:w="16840" w:h="11901" w:orient="landscape" w:code="9"/>
          <w:pgMar w:top="1530" w:right="1354" w:bottom="1170" w:left="1354" w:header="720" w:footer="720" w:gutter="0"/>
          <w:cols w:space="708"/>
          <w:docGrid w:linePitch="360"/>
        </w:sectPr>
      </w:pPr>
    </w:p>
    <w:p w14:paraId="2417A42D" w14:textId="77777777" w:rsidR="000B567B" w:rsidRPr="00D266B0" w:rsidRDefault="000B567B" w:rsidP="000B567B">
      <w:pPr>
        <w:pStyle w:val="Heading2"/>
        <w:spacing w:line="480" w:lineRule="auto"/>
        <w:rPr>
          <w:rFonts w:cs="Times New Roman"/>
          <w:b/>
          <w:bCs/>
          <w:color w:val="44546A" w:themeColor="text2"/>
          <w:szCs w:val="24"/>
        </w:rPr>
      </w:pPr>
      <w:r w:rsidRPr="00D266B0">
        <w:rPr>
          <w:rFonts w:cs="Times New Roman"/>
          <w:b/>
          <w:bCs/>
          <w:color w:val="44546A" w:themeColor="text2"/>
          <w:szCs w:val="24"/>
        </w:rPr>
        <w:lastRenderedPageBreak/>
        <w:t>References</w:t>
      </w:r>
    </w:p>
    <w:p w14:paraId="3A022897" w14:textId="77777777" w:rsidR="000B567B" w:rsidRPr="00D266B0" w:rsidRDefault="000B567B" w:rsidP="000B567B">
      <w:pPr>
        <w:pStyle w:val="Newparagraph"/>
        <w:numPr>
          <w:ilvl w:val="0"/>
          <w:numId w:val="8"/>
        </w:numPr>
        <w:rPr>
          <w:lang w:val="en-US"/>
        </w:rPr>
      </w:pPr>
      <w:r w:rsidRPr="00D266B0">
        <w:rPr>
          <w:lang w:val="en-US"/>
        </w:rPr>
        <w:t>Shah GL, Boelens JJ, Carlow D, et al</w:t>
      </w:r>
      <w:r>
        <w:rPr>
          <w:lang w:val="en-US"/>
        </w:rPr>
        <w:t>:</w:t>
      </w:r>
      <w:r w:rsidRPr="00D266B0">
        <w:rPr>
          <w:lang w:val="en-US"/>
        </w:rPr>
        <w:t xml:space="preserve"> Population pharmacokinetics of melphalan in a large cohort of autologous and allogeneic hematopoietic cell transplantation recipients: Towards individualized dosing regimens. Clin Pharmacokinet 2022;61(4):553-</w:t>
      </w:r>
      <w:r>
        <w:rPr>
          <w:lang w:val="en-US"/>
        </w:rPr>
        <w:t>5</w:t>
      </w:r>
      <w:r w:rsidRPr="00D266B0">
        <w:rPr>
          <w:lang w:val="en-US"/>
        </w:rPr>
        <w:t>63.</w:t>
      </w:r>
    </w:p>
    <w:p w14:paraId="7FDC0550" w14:textId="77777777" w:rsidR="000B567B" w:rsidRPr="00D266B0" w:rsidRDefault="000B567B" w:rsidP="000B567B">
      <w:pPr>
        <w:pStyle w:val="Newparagraph"/>
        <w:numPr>
          <w:ilvl w:val="0"/>
          <w:numId w:val="8"/>
        </w:numPr>
        <w:rPr>
          <w:lang w:val="en-US"/>
        </w:rPr>
      </w:pPr>
      <w:r w:rsidRPr="00D266B0">
        <w:rPr>
          <w:lang w:val="en-US"/>
        </w:rPr>
        <w:t>ALKERAN</w:t>
      </w:r>
      <w:r w:rsidRPr="00D266B0">
        <w:rPr>
          <w:vertAlign w:val="superscript"/>
          <w:lang w:val="en-US"/>
        </w:rPr>
        <w:t>®</w:t>
      </w:r>
      <w:r w:rsidRPr="00D266B0">
        <w:rPr>
          <w:lang w:val="en-US"/>
        </w:rPr>
        <w:t xml:space="preserve"> (melphalan hydrochloride) for Injection [package insert]. GlaxoSmithKline 2011. U.S. Food and Drug Administration website. Available at </w:t>
      </w:r>
      <w:hyperlink r:id="rId5" w:history="1">
        <w:r w:rsidRPr="00D266B0">
          <w:rPr>
            <w:rStyle w:val="Hyperlink"/>
            <w:lang w:val="en-US"/>
          </w:rPr>
          <w:t>label (fda.gov)</w:t>
        </w:r>
      </w:hyperlink>
      <w:r w:rsidRPr="00D266B0">
        <w:rPr>
          <w:lang w:val="en-US"/>
        </w:rPr>
        <w:t>.</w:t>
      </w:r>
    </w:p>
    <w:p w14:paraId="36C4D3CF" w14:textId="77777777" w:rsidR="000B567B" w:rsidRPr="00D266B0" w:rsidRDefault="000B567B" w:rsidP="000B567B">
      <w:pPr>
        <w:pStyle w:val="ListParagraph"/>
        <w:numPr>
          <w:ilvl w:val="0"/>
          <w:numId w:val="8"/>
        </w:numPr>
        <w:snapToGrid w:val="0"/>
        <w:rPr>
          <w:lang w:val="en-US"/>
        </w:rPr>
      </w:pPr>
      <w:r w:rsidRPr="00D266B0">
        <w:rPr>
          <w:lang w:val="en-US"/>
        </w:rPr>
        <w:t>Modi S, Gibson T, Vigneswaran G, et al</w:t>
      </w:r>
      <w:r>
        <w:rPr>
          <w:lang w:val="en-US"/>
        </w:rPr>
        <w:t>:</w:t>
      </w:r>
      <w:r w:rsidRPr="00D266B0">
        <w:rPr>
          <w:lang w:val="en-US"/>
        </w:rPr>
        <w:t xml:space="preserve"> Chemosaturation with percutaneous hepatic perfusion of melphalan for metastatic uveal melanoma. Melanoma Res 2022;32(2):103-1</w:t>
      </w:r>
      <w:r>
        <w:rPr>
          <w:lang w:val="en-US"/>
        </w:rPr>
        <w:t>1</w:t>
      </w:r>
      <w:r w:rsidRPr="00D266B0">
        <w:rPr>
          <w:lang w:val="en-US"/>
        </w:rPr>
        <w:t>1.</w:t>
      </w:r>
    </w:p>
    <w:p w14:paraId="37FE8EE1" w14:textId="77777777" w:rsidR="000B567B" w:rsidRPr="00D266B0" w:rsidRDefault="000B567B" w:rsidP="000B567B">
      <w:pPr>
        <w:pStyle w:val="ListParagraph"/>
        <w:numPr>
          <w:ilvl w:val="0"/>
          <w:numId w:val="8"/>
        </w:numPr>
        <w:snapToGrid w:val="0"/>
        <w:rPr>
          <w:lang w:val="en-US"/>
        </w:rPr>
      </w:pPr>
      <w:r w:rsidRPr="00D266B0">
        <w:rPr>
          <w:lang w:val="en-US"/>
        </w:rPr>
        <w:t xml:space="preserve"> DerSimonian R, Laird N</w:t>
      </w:r>
      <w:r>
        <w:rPr>
          <w:lang w:val="en-US"/>
        </w:rPr>
        <w:t>:</w:t>
      </w:r>
      <w:r w:rsidRPr="00D266B0">
        <w:rPr>
          <w:lang w:val="en-US"/>
        </w:rPr>
        <w:t xml:space="preserve"> Meta-analysis in clinical trials. Control Clin Trials 1986;7(3):177-</w:t>
      </w:r>
      <w:r>
        <w:rPr>
          <w:lang w:val="en-US"/>
        </w:rPr>
        <w:t>1</w:t>
      </w:r>
      <w:r w:rsidRPr="00D266B0">
        <w:rPr>
          <w:lang w:val="en-US"/>
        </w:rPr>
        <w:t>88.</w:t>
      </w:r>
    </w:p>
    <w:p w14:paraId="3BBC300B" w14:textId="77777777" w:rsidR="000B567B" w:rsidRPr="00D266B0" w:rsidRDefault="000B567B" w:rsidP="000B567B">
      <w:pPr>
        <w:pStyle w:val="ListParagraph"/>
        <w:numPr>
          <w:ilvl w:val="0"/>
          <w:numId w:val="8"/>
        </w:numPr>
        <w:snapToGrid w:val="0"/>
        <w:rPr>
          <w:lang w:val="en-US"/>
        </w:rPr>
      </w:pPr>
      <w:r w:rsidRPr="00D266B0">
        <w:rPr>
          <w:lang w:val="en-US"/>
        </w:rPr>
        <w:t>Borenstein M</w:t>
      </w:r>
      <w:r>
        <w:rPr>
          <w:lang w:val="en-US"/>
        </w:rPr>
        <w:t>, Hedges LV, Higgins JPT,</w:t>
      </w:r>
      <w:r w:rsidRPr="00D266B0">
        <w:rPr>
          <w:lang w:val="en-US"/>
        </w:rPr>
        <w:t xml:space="preserve"> et al</w:t>
      </w:r>
      <w:r>
        <w:rPr>
          <w:lang w:val="en-US"/>
        </w:rPr>
        <w:t>:</w:t>
      </w:r>
      <w:r w:rsidRPr="00D266B0">
        <w:rPr>
          <w:lang w:val="en-US"/>
        </w:rPr>
        <w:t xml:space="preserve"> Introduction to Meta-analysis (Chapter 16). Chichester, West Sussex, U.K.; Hoboken: John Wiley &amp; Sons; 2009.</w:t>
      </w:r>
    </w:p>
    <w:p w14:paraId="3D8BFBD3" w14:textId="77777777" w:rsidR="000B567B" w:rsidRPr="00D266B0" w:rsidRDefault="000B567B" w:rsidP="000B567B">
      <w:pPr>
        <w:pStyle w:val="ListParagraph"/>
        <w:numPr>
          <w:ilvl w:val="0"/>
          <w:numId w:val="8"/>
        </w:numPr>
        <w:snapToGrid w:val="0"/>
        <w:rPr>
          <w:lang w:val="en-US"/>
        </w:rPr>
      </w:pPr>
      <w:r w:rsidRPr="00D266B0">
        <w:rPr>
          <w:lang w:val="en-US"/>
        </w:rPr>
        <w:t xml:space="preserve">Luke JJ, Callahan MK, </w:t>
      </w:r>
      <w:r w:rsidRPr="0027162F">
        <w:rPr>
          <w:lang w:val="en-US"/>
        </w:rPr>
        <w:t>Postow</w:t>
      </w:r>
      <w:r w:rsidRPr="00D266B0">
        <w:rPr>
          <w:lang w:val="en-US"/>
        </w:rPr>
        <w:t>et</w:t>
      </w:r>
      <w:r>
        <w:rPr>
          <w:lang w:val="en-US"/>
        </w:rPr>
        <w:t xml:space="preserve"> MA,</w:t>
      </w:r>
      <w:r w:rsidRPr="00D266B0">
        <w:rPr>
          <w:lang w:val="en-US"/>
        </w:rPr>
        <w:t xml:space="preserve"> </w:t>
      </w:r>
      <w:r>
        <w:rPr>
          <w:lang w:val="en-US"/>
        </w:rPr>
        <w:t xml:space="preserve">et </w:t>
      </w:r>
      <w:r w:rsidRPr="00D266B0">
        <w:rPr>
          <w:lang w:val="en-US"/>
        </w:rPr>
        <w:t>al</w:t>
      </w:r>
      <w:r>
        <w:rPr>
          <w:lang w:val="en-US"/>
        </w:rPr>
        <w:t>:</w:t>
      </w:r>
      <w:r w:rsidRPr="00D266B0">
        <w:rPr>
          <w:lang w:val="en-US"/>
        </w:rPr>
        <w:t xml:space="preserve"> Clinical activity of ipilimumab for metastatic uveal melanoma: A retrospective review of the Dana-Farber Cancer Institute, Massachusetts General Hospital, Memorial Sloan-Kettering Cancer Center and University Hospital of Lausanne experience. Cancer 2013;119(20):3687-</w:t>
      </w:r>
      <w:r>
        <w:rPr>
          <w:lang w:val="en-US"/>
        </w:rPr>
        <w:t>36</w:t>
      </w:r>
      <w:r w:rsidRPr="00D266B0">
        <w:rPr>
          <w:lang w:val="en-US"/>
        </w:rPr>
        <w:t xml:space="preserve">95. </w:t>
      </w:r>
    </w:p>
    <w:p w14:paraId="3E48A1B9" w14:textId="77777777" w:rsidR="000B567B" w:rsidRPr="00D266B0" w:rsidRDefault="000B567B" w:rsidP="000B567B">
      <w:pPr>
        <w:pStyle w:val="ListParagraph"/>
        <w:numPr>
          <w:ilvl w:val="0"/>
          <w:numId w:val="8"/>
        </w:numPr>
        <w:snapToGrid w:val="0"/>
        <w:rPr>
          <w:lang w:val="en-US"/>
        </w:rPr>
      </w:pPr>
      <w:r w:rsidRPr="00D266B0">
        <w:rPr>
          <w:lang w:val="en-US"/>
        </w:rPr>
        <w:t>Maio M, Danielli R, Chiarion-Sileni V, et al</w:t>
      </w:r>
      <w:r>
        <w:rPr>
          <w:lang w:val="en-US"/>
        </w:rPr>
        <w:t>:</w:t>
      </w:r>
      <w:r w:rsidRPr="00D266B0">
        <w:rPr>
          <w:lang w:val="en-US"/>
        </w:rPr>
        <w:t xml:space="preserve"> Efficacy and safety of ipilimumab in patients with pre-treated, uveal melanoma. Ann Oncol 2013;24(11):2911-</w:t>
      </w:r>
      <w:r>
        <w:rPr>
          <w:lang w:val="en-US"/>
        </w:rPr>
        <w:t>291</w:t>
      </w:r>
      <w:r w:rsidRPr="00D266B0">
        <w:rPr>
          <w:lang w:val="en-US"/>
        </w:rPr>
        <w:t>5.</w:t>
      </w:r>
    </w:p>
    <w:p w14:paraId="03710868" w14:textId="77777777" w:rsidR="000B567B" w:rsidRPr="00D266B0" w:rsidRDefault="000B567B" w:rsidP="000B567B">
      <w:pPr>
        <w:pStyle w:val="ListParagraph"/>
        <w:numPr>
          <w:ilvl w:val="0"/>
          <w:numId w:val="8"/>
        </w:numPr>
        <w:snapToGrid w:val="0"/>
        <w:rPr>
          <w:lang w:val="en-US"/>
        </w:rPr>
      </w:pPr>
      <w:r w:rsidRPr="00D266B0">
        <w:rPr>
          <w:lang w:val="en-US"/>
        </w:rPr>
        <w:t>Zimmer L, Vaubel J, Mohr P, et al</w:t>
      </w:r>
      <w:r>
        <w:rPr>
          <w:lang w:val="en-US"/>
        </w:rPr>
        <w:t>:</w:t>
      </w:r>
      <w:r w:rsidRPr="00D266B0">
        <w:rPr>
          <w:lang w:val="en-US"/>
        </w:rPr>
        <w:t xml:space="preserve"> Phase II DeCOG-study of ipilimumab in pretreated and treatment-naïve patients with metastatic uveal melanoma. PLoS One. 2015;10(3):e0118564.</w:t>
      </w:r>
    </w:p>
    <w:p w14:paraId="225C3B39" w14:textId="77777777" w:rsidR="000B567B" w:rsidRPr="00D266B0" w:rsidRDefault="000B567B" w:rsidP="000B567B">
      <w:pPr>
        <w:pStyle w:val="ListParagraph"/>
        <w:numPr>
          <w:ilvl w:val="0"/>
          <w:numId w:val="8"/>
        </w:numPr>
        <w:snapToGrid w:val="0"/>
        <w:rPr>
          <w:lang w:val="en-US"/>
        </w:rPr>
      </w:pPr>
      <w:r w:rsidRPr="00D266B0">
        <w:rPr>
          <w:lang w:val="en-US"/>
        </w:rPr>
        <w:lastRenderedPageBreak/>
        <w:t>Danielli R, Ridolfi R, Chiarion-Sileni V, et al</w:t>
      </w:r>
      <w:r>
        <w:rPr>
          <w:lang w:val="en-US"/>
        </w:rPr>
        <w:t>:</w:t>
      </w:r>
      <w:r w:rsidRPr="00D266B0">
        <w:rPr>
          <w:lang w:val="en-US"/>
        </w:rPr>
        <w:t xml:space="preserve"> Ipilimumab in pretreated patients with metastatic uveal melanoma: Safety and clinical efficacy. Cancer Immunol Immunother 2012;61(1):41-</w:t>
      </w:r>
      <w:r>
        <w:rPr>
          <w:lang w:val="en-US"/>
        </w:rPr>
        <w:t>4</w:t>
      </w:r>
      <w:r w:rsidRPr="00D266B0">
        <w:rPr>
          <w:lang w:val="en-US"/>
        </w:rPr>
        <w:t>8.</w:t>
      </w:r>
    </w:p>
    <w:p w14:paraId="4758D173" w14:textId="77777777" w:rsidR="000B567B" w:rsidRPr="00D266B0" w:rsidRDefault="000B567B" w:rsidP="000B567B">
      <w:pPr>
        <w:pStyle w:val="ListParagraph"/>
        <w:numPr>
          <w:ilvl w:val="0"/>
          <w:numId w:val="8"/>
        </w:numPr>
        <w:snapToGrid w:val="0"/>
        <w:rPr>
          <w:lang w:val="en-US"/>
        </w:rPr>
      </w:pPr>
      <w:r w:rsidRPr="00D266B0">
        <w:rPr>
          <w:lang w:val="en-US"/>
        </w:rPr>
        <w:t>Wiater K, Switaj T, Mackiewicz J, et al</w:t>
      </w:r>
      <w:r>
        <w:rPr>
          <w:lang w:val="en-US"/>
        </w:rPr>
        <w:t>:</w:t>
      </w:r>
      <w:r w:rsidRPr="00D266B0">
        <w:rPr>
          <w:lang w:val="en-US"/>
        </w:rPr>
        <w:t xml:space="preserve"> Efficacy and safety of ipilimumab therapy in patients with metastatic melanoma: A retrospective multicenter analysis. Contemp Oncol (Pozn) 2013;17(3):257-</w:t>
      </w:r>
      <w:r>
        <w:rPr>
          <w:lang w:val="en-US"/>
        </w:rPr>
        <w:t>2</w:t>
      </w:r>
      <w:r w:rsidRPr="00D266B0">
        <w:rPr>
          <w:lang w:val="en-US"/>
        </w:rPr>
        <w:t>62.</w:t>
      </w:r>
    </w:p>
    <w:p w14:paraId="3567F727" w14:textId="77777777" w:rsidR="000B567B" w:rsidRPr="00D266B0" w:rsidRDefault="000B567B" w:rsidP="000B567B">
      <w:pPr>
        <w:pStyle w:val="ListParagraph"/>
        <w:numPr>
          <w:ilvl w:val="0"/>
          <w:numId w:val="8"/>
        </w:numPr>
        <w:snapToGrid w:val="0"/>
        <w:rPr>
          <w:lang w:val="en-US"/>
        </w:rPr>
      </w:pPr>
      <w:r w:rsidRPr="00D266B0">
        <w:rPr>
          <w:lang w:val="en-US"/>
        </w:rPr>
        <w:t xml:space="preserve">Khattak MA, Fisher R, Hughes P, </w:t>
      </w:r>
      <w:r>
        <w:rPr>
          <w:lang w:val="en-US"/>
        </w:rPr>
        <w:t>et al:</w:t>
      </w:r>
      <w:r w:rsidRPr="00D266B0">
        <w:rPr>
          <w:lang w:val="en-US"/>
        </w:rPr>
        <w:t xml:space="preserve"> Ipilimumab activity in advanced uveal melanoma. Melanoma Res 2013;23(1):79-81.</w:t>
      </w:r>
    </w:p>
    <w:p w14:paraId="70816CDB" w14:textId="77777777" w:rsidR="000B567B" w:rsidRPr="00D266B0" w:rsidRDefault="000B567B" w:rsidP="000B567B">
      <w:pPr>
        <w:pStyle w:val="ListParagraph"/>
        <w:numPr>
          <w:ilvl w:val="0"/>
          <w:numId w:val="8"/>
        </w:numPr>
        <w:snapToGrid w:val="0"/>
        <w:rPr>
          <w:lang w:val="en-US"/>
        </w:rPr>
      </w:pPr>
      <w:r w:rsidRPr="00D266B0">
        <w:rPr>
          <w:lang w:val="en-US"/>
        </w:rPr>
        <w:t>Rozeman EA, Fanchi L, van Akkooi ACJ, et al</w:t>
      </w:r>
      <w:r>
        <w:rPr>
          <w:lang w:val="en-US"/>
        </w:rPr>
        <w:t>:</w:t>
      </w:r>
      <w:r w:rsidRPr="00D266B0">
        <w:rPr>
          <w:lang w:val="en-US"/>
        </w:rPr>
        <w:t xml:space="preserve"> (Neo) adjuvant ipilimumab + nivolumab (IPI+NIVO) in palpable stage 3 melanoma – updated relapse free survival (RFS) data from the OpACIN trial and first biomarker analysis. Ann Oncol 2017;28 (suppl_5):v428-</w:t>
      </w:r>
      <w:r>
        <w:rPr>
          <w:lang w:val="en-US"/>
        </w:rPr>
        <w:t>v4</w:t>
      </w:r>
      <w:r w:rsidRPr="00D266B0">
        <w:rPr>
          <w:lang w:val="en-US"/>
        </w:rPr>
        <w:t>48.</w:t>
      </w:r>
    </w:p>
    <w:p w14:paraId="3039F7A9" w14:textId="77777777" w:rsidR="000B567B" w:rsidRPr="00D266B0" w:rsidRDefault="000B567B" w:rsidP="000B567B">
      <w:pPr>
        <w:pStyle w:val="ListParagraph"/>
        <w:numPr>
          <w:ilvl w:val="0"/>
          <w:numId w:val="8"/>
        </w:numPr>
        <w:snapToGrid w:val="0"/>
        <w:rPr>
          <w:lang w:val="en-US"/>
        </w:rPr>
      </w:pPr>
      <w:r w:rsidRPr="00D266B0">
        <w:rPr>
          <w:lang w:val="en-US"/>
        </w:rPr>
        <w:t>Karydis I, Chan PY, Wheater M, et al</w:t>
      </w:r>
      <w:r>
        <w:rPr>
          <w:lang w:val="en-US"/>
        </w:rPr>
        <w:t>:</w:t>
      </w:r>
      <w:r w:rsidRPr="00D266B0">
        <w:rPr>
          <w:lang w:val="en-US"/>
        </w:rPr>
        <w:t xml:space="preserve"> Clinical activity and safety of pembrolizumab in ipilimumab pre-treated patients with uveal melanoma. Oncoimmunology 2016;5(5):e1143997.</w:t>
      </w:r>
    </w:p>
    <w:p w14:paraId="3ADEC9AA" w14:textId="77777777" w:rsidR="000B567B" w:rsidRPr="00D266B0" w:rsidRDefault="000B567B" w:rsidP="000B567B">
      <w:pPr>
        <w:pStyle w:val="ListParagraph"/>
        <w:numPr>
          <w:ilvl w:val="0"/>
          <w:numId w:val="8"/>
        </w:numPr>
        <w:snapToGrid w:val="0"/>
        <w:rPr>
          <w:lang w:val="en-US"/>
        </w:rPr>
      </w:pPr>
      <w:r w:rsidRPr="00D266B0">
        <w:rPr>
          <w:lang w:val="en-US"/>
        </w:rPr>
        <w:t>Kottschade LA, McWilliams RR, Markovic SN, et al</w:t>
      </w:r>
      <w:r>
        <w:rPr>
          <w:lang w:val="en-US"/>
        </w:rPr>
        <w:t>:</w:t>
      </w:r>
      <w:r w:rsidRPr="00D266B0">
        <w:rPr>
          <w:lang w:val="en-US"/>
        </w:rPr>
        <w:t xml:space="preserve"> The use of pembrolizumab for the treatment of metastatic uveal melanoma. Melanoma Res 2016;26(3):300-</w:t>
      </w:r>
      <w:r>
        <w:rPr>
          <w:lang w:val="en-US"/>
        </w:rPr>
        <w:t>30</w:t>
      </w:r>
      <w:r w:rsidRPr="00D266B0">
        <w:rPr>
          <w:lang w:val="en-US"/>
        </w:rPr>
        <w:t xml:space="preserve">3. </w:t>
      </w:r>
    </w:p>
    <w:p w14:paraId="0FEB4C3D" w14:textId="77777777" w:rsidR="000B567B" w:rsidRPr="00D266B0" w:rsidRDefault="000B567B" w:rsidP="000B567B">
      <w:pPr>
        <w:pStyle w:val="ListParagraph"/>
        <w:numPr>
          <w:ilvl w:val="0"/>
          <w:numId w:val="8"/>
        </w:numPr>
        <w:snapToGrid w:val="0"/>
        <w:rPr>
          <w:lang w:val="en-US"/>
        </w:rPr>
      </w:pPr>
      <w:r w:rsidRPr="00D266B0">
        <w:rPr>
          <w:lang w:val="en-US"/>
        </w:rPr>
        <w:t>Algazi AP, Tsai KK, Shoushtari AN, et al</w:t>
      </w:r>
      <w:r>
        <w:rPr>
          <w:lang w:val="en-US"/>
        </w:rPr>
        <w:t>:</w:t>
      </w:r>
      <w:r w:rsidRPr="00D266B0">
        <w:rPr>
          <w:lang w:val="en-US"/>
        </w:rPr>
        <w:t xml:space="preserve"> Clinical outcomes in metastatic uveal melanoma treated with PD-1 and PD-L1 antibodies. Cancer 2016;122(21):3344-</w:t>
      </w:r>
      <w:r>
        <w:rPr>
          <w:lang w:val="en-US"/>
        </w:rPr>
        <w:t>33</w:t>
      </w:r>
      <w:r w:rsidRPr="00D266B0">
        <w:rPr>
          <w:lang w:val="en-US"/>
        </w:rPr>
        <w:t>53.</w:t>
      </w:r>
    </w:p>
    <w:p w14:paraId="50D86C98" w14:textId="77777777" w:rsidR="000B567B" w:rsidRPr="00D266B0" w:rsidRDefault="000B567B" w:rsidP="000B567B">
      <w:pPr>
        <w:pStyle w:val="ListParagraph"/>
        <w:numPr>
          <w:ilvl w:val="0"/>
          <w:numId w:val="8"/>
        </w:numPr>
        <w:snapToGrid w:val="0"/>
        <w:rPr>
          <w:lang w:val="en-US"/>
        </w:rPr>
      </w:pPr>
      <w:r w:rsidRPr="00D266B0">
        <w:rPr>
          <w:lang w:val="en-US"/>
        </w:rPr>
        <w:t>Heppt MV, Steeb T, Schlager JG, et al</w:t>
      </w:r>
      <w:r>
        <w:rPr>
          <w:lang w:val="en-US"/>
        </w:rPr>
        <w:t>:</w:t>
      </w:r>
      <w:r w:rsidRPr="00D266B0">
        <w:rPr>
          <w:lang w:val="en-US"/>
        </w:rPr>
        <w:t xml:space="preserve"> Immune checkpoint blockade for unresectable or metastatic uveal melanoma: A systematic review. Cancer Treat Rev 2017;60:44-52.</w:t>
      </w:r>
    </w:p>
    <w:p w14:paraId="19CAD20C" w14:textId="77777777" w:rsidR="000B567B" w:rsidRPr="00D266B0" w:rsidRDefault="000B567B" w:rsidP="000B567B">
      <w:pPr>
        <w:pStyle w:val="ListParagraph"/>
        <w:numPr>
          <w:ilvl w:val="0"/>
          <w:numId w:val="8"/>
        </w:numPr>
        <w:snapToGrid w:val="0"/>
        <w:rPr>
          <w:lang w:val="en-US"/>
        </w:rPr>
      </w:pPr>
      <w:r w:rsidRPr="00D266B0">
        <w:rPr>
          <w:lang w:val="en-US"/>
        </w:rPr>
        <w:t>van der Kooij MK, Joosse A, Speetjens FM, et al</w:t>
      </w:r>
      <w:r>
        <w:rPr>
          <w:lang w:val="en-US"/>
        </w:rPr>
        <w:t>:</w:t>
      </w:r>
      <w:r w:rsidRPr="00D266B0">
        <w:rPr>
          <w:lang w:val="en-US"/>
        </w:rPr>
        <w:t xml:space="preserve"> Anti PD1 treatment in metastatic uveal melanoma in the Netherlands. Acta Oncol 2017;56(1):101-</w:t>
      </w:r>
      <w:r>
        <w:rPr>
          <w:lang w:val="en-US"/>
        </w:rPr>
        <w:t>10</w:t>
      </w:r>
      <w:r w:rsidRPr="00D266B0">
        <w:rPr>
          <w:lang w:val="en-US"/>
        </w:rPr>
        <w:t>3.</w:t>
      </w:r>
    </w:p>
    <w:p w14:paraId="14E8CD23" w14:textId="77777777" w:rsidR="000B567B" w:rsidRPr="00D266B0" w:rsidRDefault="000B567B" w:rsidP="000B567B">
      <w:pPr>
        <w:pStyle w:val="ListParagraph"/>
        <w:numPr>
          <w:ilvl w:val="0"/>
          <w:numId w:val="8"/>
        </w:numPr>
        <w:snapToGrid w:val="0"/>
        <w:rPr>
          <w:lang w:val="en-US"/>
        </w:rPr>
      </w:pPr>
      <w:r w:rsidRPr="00D266B0">
        <w:rPr>
          <w:lang w:val="en-US"/>
        </w:rPr>
        <w:lastRenderedPageBreak/>
        <w:t>Bender C, Enk A, Gutzmer R, and Hassel JC</w:t>
      </w:r>
      <w:r>
        <w:rPr>
          <w:lang w:val="en-US"/>
        </w:rPr>
        <w:t>:</w:t>
      </w:r>
      <w:r w:rsidRPr="00D266B0">
        <w:rPr>
          <w:lang w:val="en-US"/>
        </w:rPr>
        <w:t xml:space="preserve"> Anti-PD-1 antibodies in metastatic uveal melanoma: A treatment option? Cancer Med 2017;6(7):1581-</w:t>
      </w:r>
      <w:r>
        <w:rPr>
          <w:lang w:val="en-US"/>
        </w:rPr>
        <w:t>158</w:t>
      </w:r>
      <w:r w:rsidRPr="00D266B0">
        <w:rPr>
          <w:lang w:val="en-US"/>
        </w:rPr>
        <w:t>6.</w:t>
      </w:r>
    </w:p>
    <w:p w14:paraId="421262B9" w14:textId="77777777" w:rsidR="000B567B" w:rsidRPr="00D266B0" w:rsidRDefault="000B567B" w:rsidP="000B567B">
      <w:pPr>
        <w:pStyle w:val="ListParagraph"/>
        <w:numPr>
          <w:ilvl w:val="0"/>
          <w:numId w:val="8"/>
        </w:numPr>
        <w:snapToGrid w:val="0"/>
        <w:rPr>
          <w:lang w:val="en-US"/>
        </w:rPr>
      </w:pPr>
      <w:r w:rsidRPr="00D266B0">
        <w:rPr>
          <w:lang w:val="en-US"/>
        </w:rPr>
        <w:t>González-Cao M, Arance A, Piulats JM, et al</w:t>
      </w:r>
      <w:r>
        <w:rPr>
          <w:lang w:val="en-US"/>
        </w:rPr>
        <w:t>:</w:t>
      </w:r>
      <w:r w:rsidRPr="00D266B0">
        <w:rPr>
          <w:lang w:val="en-US"/>
        </w:rPr>
        <w:t xml:space="preserve"> Spanish Melanoma Group. Pembrolizumab for advanced melanoma: Experience from the Spanish Expanded Access Program. Clin Transl Oncol 2017;19(6):761-</w:t>
      </w:r>
      <w:r>
        <w:rPr>
          <w:lang w:val="en-US"/>
        </w:rPr>
        <w:t>76</w:t>
      </w:r>
      <w:r w:rsidRPr="00D266B0">
        <w:rPr>
          <w:lang w:val="en-US"/>
        </w:rPr>
        <w:t>8.</w:t>
      </w:r>
    </w:p>
    <w:p w14:paraId="56623716" w14:textId="77777777" w:rsidR="000B567B" w:rsidRPr="00D266B0" w:rsidRDefault="000B567B" w:rsidP="000B567B">
      <w:pPr>
        <w:pStyle w:val="ListParagraph"/>
        <w:numPr>
          <w:ilvl w:val="0"/>
          <w:numId w:val="8"/>
        </w:numPr>
        <w:snapToGrid w:val="0"/>
        <w:rPr>
          <w:lang w:val="en-US"/>
        </w:rPr>
      </w:pPr>
      <w:r w:rsidRPr="00D266B0">
        <w:rPr>
          <w:lang w:val="en-US"/>
        </w:rPr>
        <w:t>Piperno-Neumann S. Diallo A, Etienne-Grimaldi MC, et al</w:t>
      </w:r>
      <w:r>
        <w:rPr>
          <w:lang w:val="en-US"/>
        </w:rPr>
        <w:t>:</w:t>
      </w:r>
      <w:r w:rsidRPr="00D266B0">
        <w:rPr>
          <w:lang w:val="en-US"/>
        </w:rPr>
        <w:t xml:space="preserve"> Phase II trial of bevacizumab in combination with temozolomide as first-line treatment in patients with metastatic uveal melanoma. Oncologist 2016;21(3):281-</w:t>
      </w:r>
      <w:r>
        <w:rPr>
          <w:lang w:val="en-US"/>
        </w:rPr>
        <w:t>28</w:t>
      </w:r>
      <w:r w:rsidRPr="00D266B0">
        <w:rPr>
          <w:lang w:val="en-US"/>
        </w:rPr>
        <w:t>2.</w:t>
      </w:r>
    </w:p>
    <w:p w14:paraId="10E825B4" w14:textId="77777777" w:rsidR="000B567B" w:rsidRPr="00D266B0" w:rsidRDefault="000B567B" w:rsidP="000B567B">
      <w:pPr>
        <w:pStyle w:val="ListParagraph"/>
        <w:numPr>
          <w:ilvl w:val="0"/>
          <w:numId w:val="8"/>
        </w:numPr>
        <w:snapToGrid w:val="0"/>
        <w:rPr>
          <w:lang w:val="en-US"/>
        </w:rPr>
      </w:pPr>
      <w:r w:rsidRPr="00D266B0">
        <w:rPr>
          <w:lang w:val="en-US"/>
        </w:rPr>
        <w:t xml:space="preserve">KEYTRUDA (pembrolizumab) Summary of Product Characteristics. Merck Sharp &amp; Dohme B.V. Available at </w:t>
      </w:r>
      <w:hyperlink r:id="rId6" w:history="1">
        <w:r w:rsidRPr="00D266B0">
          <w:rPr>
            <w:rStyle w:val="Hyperlink"/>
            <w:lang w:val="en-US"/>
          </w:rPr>
          <w:t>Keytruda, INN-pembrolizumab (europa.eu)</w:t>
        </w:r>
      </w:hyperlink>
      <w:r w:rsidRPr="00D266B0">
        <w:rPr>
          <w:lang w:val="en-US"/>
        </w:rPr>
        <w:t xml:space="preserve">. </w:t>
      </w:r>
    </w:p>
    <w:sectPr w:rsidR="000B567B" w:rsidRPr="00D266B0" w:rsidSect="00144834">
      <w:pgSz w:w="11901" w:h="16840" w:code="9"/>
      <w:pgMar w:top="1411" w:right="1195" w:bottom="1411" w:left="1699"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60E64"/>
    <w:multiLevelType w:val="hybridMultilevel"/>
    <w:tmpl w:val="AA0E763E"/>
    <w:lvl w:ilvl="0" w:tplc="8D94EDF6">
      <w:start w:val="1"/>
      <w:numFmt w:val="bullet"/>
      <w:lvlText w:val="•"/>
      <w:lvlJc w:val="left"/>
      <w:pPr>
        <w:tabs>
          <w:tab w:val="num" w:pos="720"/>
        </w:tabs>
        <w:ind w:left="720" w:hanging="360"/>
      </w:pPr>
      <w:rPr>
        <w:rFonts w:ascii="Arial" w:hAnsi="Arial" w:hint="default"/>
      </w:rPr>
    </w:lvl>
    <w:lvl w:ilvl="1" w:tplc="9A4CF042">
      <w:numFmt w:val="bullet"/>
      <w:lvlText w:val="•"/>
      <w:lvlJc w:val="left"/>
      <w:pPr>
        <w:tabs>
          <w:tab w:val="num" w:pos="1440"/>
        </w:tabs>
        <w:ind w:left="1440" w:hanging="360"/>
      </w:pPr>
      <w:rPr>
        <w:rFonts w:ascii="Arial" w:hAnsi="Arial" w:hint="default"/>
      </w:rPr>
    </w:lvl>
    <w:lvl w:ilvl="2" w:tplc="DE7834E6">
      <w:numFmt w:val="bullet"/>
      <w:lvlText w:val="•"/>
      <w:lvlJc w:val="left"/>
      <w:pPr>
        <w:tabs>
          <w:tab w:val="num" w:pos="2160"/>
        </w:tabs>
        <w:ind w:left="2160" w:hanging="360"/>
      </w:pPr>
      <w:rPr>
        <w:rFonts w:ascii="Arial" w:hAnsi="Arial" w:hint="default"/>
      </w:rPr>
    </w:lvl>
    <w:lvl w:ilvl="3" w:tplc="E5047C5A" w:tentative="1">
      <w:start w:val="1"/>
      <w:numFmt w:val="bullet"/>
      <w:lvlText w:val="•"/>
      <w:lvlJc w:val="left"/>
      <w:pPr>
        <w:tabs>
          <w:tab w:val="num" w:pos="2880"/>
        </w:tabs>
        <w:ind w:left="2880" w:hanging="360"/>
      </w:pPr>
      <w:rPr>
        <w:rFonts w:ascii="Arial" w:hAnsi="Arial" w:hint="default"/>
      </w:rPr>
    </w:lvl>
    <w:lvl w:ilvl="4" w:tplc="0848322E" w:tentative="1">
      <w:start w:val="1"/>
      <w:numFmt w:val="bullet"/>
      <w:lvlText w:val="•"/>
      <w:lvlJc w:val="left"/>
      <w:pPr>
        <w:tabs>
          <w:tab w:val="num" w:pos="3600"/>
        </w:tabs>
        <w:ind w:left="3600" w:hanging="360"/>
      </w:pPr>
      <w:rPr>
        <w:rFonts w:ascii="Arial" w:hAnsi="Arial" w:hint="default"/>
      </w:rPr>
    </w:lvl>
    <w:lvl w:ilvl="5" w:tplc="5712A6E2" w:tentative="1">
      <w:start w:val="1"/>
      <w:numFmt w:val="bullet"/>
      <w:lvlText w:val="•"/>
      <w:lvlJc w:val="left"/>
      <w:pPr>
        <w:tabs>
          <w:tab w:val="num" w:pos="4320"/>
        </w:tabs>
        <w:ind w:left="4320" w:hanging="360"/>
      </w:pPr>
      <w:rPr>
        <w:rFonts w:ascii="Arial" w:hAnsi="Arial" w:hint="default"/>
      </w:rPr>
    </w:lvl>
    <w:lvl w:ilvl="6" w:tplc="A8B25904" w:tentative="1">
      <w:start w:val="1"/>
      <w:numFmt w:val="bullet"/>
      <w:lvlText w:val="•"/>
      <w:lvlJc w:val="left"/>
      <w:pPr>
        <w:tabs>
          <w:tab w:val="num" w:pos="5040"/>
        </w:tabs>
        <w:ind w:left="5040" w:hanging="360"/>
      </w:pPr>
      <w:rPr>
        <w:rFonts w:ascii="Arial" w:hAnsi="Arial" w:hint="default"/>
      </w:rPr>
    </w:lvl>
    <w:lvl w:ilvl="7" w:tplc="6F80F56E" w:tentative="1">
      <w:start w:val="1"/>
      <w:numFmt w:val="bullet"/>
      <w:lvlText w:val="•"/>
      <w:lvlJc w:val="left"/>
      <w:pPr>
        <w:tabs>
          <w:tab w:val="num" w:pos="5760"/>
        </w:tabs>
        <w:ind w:left="5760" w:hanging="360"/>
      </w:pPr>
      <w:rPr>
        <w:rFonts w:ascii="Arial" w:hAnsi="Arial" w:hint="default"/>
      </w:rPr>
    </w:lvl>
    <w:lvl w:ilvl="8" w:tplc="FFB097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7D184A"/>
    <w:multiLevelType w:val="hybridMultilevel"/>
    <w:tmpl w:val="EC529F78"/>
    <w:lvl w:ilvl="0" w:tplc="4B9272B8">
      <w:start w:val="1"/>
      <w:numFmt w:val="bullet"/>
      <w:lvlText w:val="•"/>
      <w:lvlJc w:val="left"/>
      <w:pPr>
        <w:tabs>
          <w:tab w:val="num" w:pos="720"/>
        </w:tabs>
        <w:ind w:left="720" w:hanging="360"/>
      </w:pPr>
      <w:rPr>
        <w:rFonts w:ascii="Arial" w:hAnsi="Arial" w:hint="default"/>
      </w:rPr>
    </w:lvl>
    <w:lvl w:ilvl="1" w:tplc="64F6C15C">
      <w:numFmt w:val="bullet"/>
      <w:lvlText w:val="•"/>
      <w:lvlJc w:val="left"/>
      <w:pPr>
        <w:tabs>
          <w:tab w:val="num" w:pos="1440"/>
        </w:tabs>
        <w:ind w:left="1440" w:hanging="360"/>
      </w:pPr>
      <w:rPr>
        <w:rFonts w:ascii="Arial" w:hAnsi="Arial" w:hint="default"/>
      </w:rPr>
    </w:lvl>
    <w:lvl w:ilvl="2" w:tplc="7DD85D30" w:tentative="1">
      <w:start w:val="1"/>
      <w:numFmt w:val="bullet"/>
      <w:lvlText w:val="•"/>
      <w:lvlJc w:val="left"/>
      <w:pPr>
        <w:tabs>
          <w:tab w:val="num" w:pos="2160"/>
        </w:tabs>
        <w:ind w:left="2160" w:hanging="360"/>
      </w:pPr>
      <w:rPr>
        <w:rFonts w:ascii="Arial" w:hAnsi="Arial" w:hint="default"/>
      </w:rPr>
    </w:lvl>
    <w:lvl w:ilvl="3" w:tplc="7C58D7C8" w:tentative="1">
      <w:start w:val="1"/>
      <w:numFmt w:val="bullet"/>
      <w:lvlText w:val="•"/>
      <w:lvlJc w:val="left"/>
      <w:pPr>
        <w:tabs>
          <w:tab w:val="num" w:pos="2880"/>
        </w:tabs>
        <w:ind w:left="2880" w:hanging="360"/>
      </w:pPr>
      <w:rPr>
        <w:rFonts w:ascii="Arial" w:hAnsi="Arial" w:hint="default"/>
      </w:rPr>
    </w:lvl>
    <w:lvl w:ilvl="4" w:tplc="95E02546" w:tentative="1">
      <w:start w:val="1"/>
      <w:numFmt w:val="bullet"/>
      <w:lvlText w:val="•"/>
      <w:lvlJc w:val="left"/>
      <w:pPr>
        <w:tabs>
          <w:tab w:val="num" w:pos="3600"/>
        </w:tabs>
        <w:ind w:left="3600" w:hanging="360"/>
      </w:pPr>
      <w:rPr>
        <w:rFonts w:ascii="Arial" w:hAnsi="Arial" w:hint="default"/>
      </w:rPr>
    </w:lvl>
    <w:lvl w:ilvl="5" w:tplc="5454A464" w:tentative="1">
      <w:start w:val="1"/>
      <w:numFmt w:val="bullet"/>
      <w:lvlText w:val="•"/>
      <w:lvlJc w:val="left"/>
      <w:pPr>
        <w:tabs>
          <w:tab w:val="num" w:pos="4320"/>
        </w:tabs>
        <w:ind w:left="4320" w:hanging="360"/>
      </w:pPr>
      <w:rPr>
        <w:rFonts w:ascii="Arial" w:hAnsi="Arial" w:hint="default"/>
      </w:rPr>
    </w:lvl>
    <w:lvl w:ilvl="6" w:tplc="1062BD7C" w:tentative="1">
      <w:start w:val="1"/>
      <w:numFmt w:val="bullet"/>
      <w:lvlText w:val="•"/>
      <w:lvlJc w:val="left"/>
      <w:pPr>
        <w:tabs>
          <w:tab w:val="num" w:pos="5040"/>
        </w:tabs>
        <w:ind w:left="5040" w:hanging="360"/>
      </w:pPr>
      <w:rPr>
        <w:rFonts w:ascii="Arial" w:hAnsi="Arial" w:hint="default"/>
      </w:rPr>
    </w:lvl>
    <w:lvl w:ilvl="7" w:tplc="B0D67D5E" w:tentative="1">
      <w:start w:val="1"/>
      <w:numFmt w:val="bullet"/>
      <w:lvlText w:val="•"/>
      <w:lvlJc w:val="left"/>
      <w:pPr>
        <w:tabs>
          <w:tab w:val="num" w:pos="5760"/>
        </w:tabs>
        <w:ind w:left="5760" w:hanging="360"/>
      </w:pPr>
      <w:rPr>
        <w:rFonts w:ascii="Arial" w:hAnsi="Arial" w:hint="default"/>
      </w:rPr>
    </w:lvl>
    <w:lvl w:ilvl="8" w:tplc="F9B09F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E936A7"/>
    <w:multiLevelType w:val="hybridMultilevel"/>
    <w:tmpl w:val="C4B4CF36"/>
    <w:lvl w:ilvl="0" w:tplc="C5003E44">
      <w:start w:val="1"/>
      <w:numFmt w:val="bullet"/>
      <w:lvlText w:val="•"/>
      <w:lvlJc w:val="left"/>
      <w:pPr>
        <w:tabs>
          <w:tab w:val="num" w:pos="720"/>
        </w:tabs>
        <w:ind w:left="720" w:hanging="360"/>
      </w:pPr>
      <w:rPr>
        <w:rFonts w:ascii="Arial" w:hAnsi="Arial" w:hint="default"/>
      </w:rPr>
    </w:lvl>
    <w:lvl w:ilvl="1" w:tplc="2EA26E70" w:tentative="1">
      <w:start w:val="1"/>
      <w:numFmt w:val="bullet"/>
      <w:lvlText w:val="•"/>
      <w:lvlJc w:val="left"/>
      <w:pPr>
        <w:tabs>
          <w:tab w:val="num" w:pos="1440"/>
        </w:tabs>
        <w:ind w:left="1440" w:hanging="360"/>
      </w:pPr>
      <w:rPr>
        <w:rFonts w:ascii="Arial" w:hAnsi="Arial" w:hint="default"/>
      </w:rPr>
    </w:lvl>
    <w:lvl w:ilvl="2" w:tplc="3AD8BE3C" w:tentative="1">
      <w:start w:val="1"/>
      <w:numFmt w:val="bullet"/>
      <w:lvlText w:val="•"/>
      <w:lvlJc w:val="left"/>
      <w:pPr>
        <w:tabs>
          <w:tab w:val="num" w:pos="2160"/>
        </w:tabs>
        <w:ind w:left="2160" w:hanging="360"/>
      </w:pPr>
      <w:rPr>
        <w:rFonts w:ascii="Arial" w:hAnsi="Arial" w:hint="default"/>
      </w:rPr>
    </w:lvl>
    <w:lvl w:ilvl="3" w:tplc="BCBACB88" w:tentative="1">
      <w:start w:val="1"/>
      <w:numFmt w:val="bullet"/>
      <w:lvlText w:val="•"/>
      <w:lvlJc w:val="left"/>
      <w:pPr>
        <w:tabs>
          <w:tab w:val="num" w:pos="2880"/>
        </w:tabs>
        <w:ind w:left="2880" w:hanging="360"/>
      </w:pPr>
      <w:rPr>
        <w:rFonts w:ascii="Arial" w:hAnsi="Arial" w:hint="default"/>
      </w:rPr>
    </w:lvl>
    <w:lvl w:ilvl="4" w:tplc="AA0AC43A" w:tentative="1">
      <w:start w:val="1"/>
      <w:numFmt w:val="bullet"/>
      <w:lvlText w:val="•"/>
      <w:lvlJc w:val="left"/>
      <w:pPr>
        <w:tabs>
          <w:tab w:val="num" w:pos="3600"/>
        </w:tabs>
        <w:ind w:left="3600" w:hanging="360"/>
      </w:pPr>
      <w:rPr>
        <w:rFonts w:ascii="Arial" w:hAnsi="Arial" w:hint="default"/>
      </w:rPr>
    </w:lvl>
    <w:lvl w:ilvl="5" w:tplc="9BAED1FC" w:tentative="1">
      <w:start w:val="1"/>
      <w:numFmt w:val="bullet"/>
      <w:lvlText w:val="•"/>
      <w:lvlJc w:val="left"/>
      <w:pPr>
        <w:tabs>
          <w:tab w:val="num" w:pos="4320"/>
        </w:tabs>
        <w:ind w:left="4320" w:hanging="360"/>
      </w:pPr>
      <w:rPr>
        <w:rFonts w:ascii="Arial" w:hAnsi="Arial" w:hint="default"/>
      </w:rPr>
    </w:lvl>
    <w:lvl w:ilvl="6" w:tplc="49E09F92" w:tentative="1">
      <w:start w:val="1"/>
      <w:numFmt w:val="bullet"/>
      <w:lvlText w:val="•"/>
      <w:lvlJc w:val="left"/>
      <w:pPr>
        <w:tabs>
          <w:tab w:val="num" w:pos="5040"/>
        </w:tabs>
        <w:ind w:left="5040" w:hanging="360"/>
      </w:pPr>
      <w:rPr>
        <w:rFonts w:ascii="Arial" w:hAnsi="Arial" w:hint="default"/>
      </w:rPr>
    </w:lvl>
    <w:lvl w:ilvl="7" w:tplc="4D5E9872" w:tentative="1">
      <w:start w:val="1"/>
      <w:numFmt w:val="bullet"/>
      <w:lvlText w:val="•"/>
      <w:lvlJc w:val="left"/>
      <w:pPr>
        <w:tabs>
          <w:tab w:val="num" w:pos="5760"/>
        </w:tabs>
        <w:ind w:left="5760" w:hanging="360"/>
      </w:pPr>
      <w:rPr>
        <w:rFonts w:ascii="Arial" w:hAnsi="Arial" w:hint="default"/>
      </w:rPr>
    </w:lvl>
    <w:lvl w:ilvl="8" w:tplc="EFC878E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0224C37"/>
    <w:multiLevelType w:val="hybridMultilevel"/>
    <w:tmpl w:val="36E8F34A"/>
    <w:lvl w:ilvl="0" w:tplc="1E4A8512">
      <w:start w:val="1"/>
      <w:numFmt w:val="bullet"/>
      <w:lvlText w:val="•"/>
      <w:lvlJc w:val="left"/>
      <w:pPr>
        <w:tabs>
          <w:tab w:val="num" w:pos="720"/>
        </w:tabs>
        <w:ind w:left="720" w:hanging="360"/>
      </w:pPr>
      <w:rPr>
        <w:rFonts w:ascii="Arial" w:hAnsi="Arial" w:hint="default"/>
      </w:rPr>
    </w:lvl>
    <w:lvl w:ilvl="1" w:tplc="A0E87AD0">
      <w:numFmt w:val="bullet"/>
      <w:lvlText w:val="•"/>
      <w:lvlJc w:val="left"/>
      <w:pPr>
        <w:tabs>
          <w:tab w:val="num" w:pos="1440"/>
        </w:tabs>
        <w:ind w:left="1440" w:hanging="360"/>
      </w:pPr>
      <w:rPr>
        <w:rFonts w:ascii="Arial" w:hAnsi="Arial" w:hint="default"/>
      </w:rPr>
    </w:lvl>
    <w:lvl w:ilvl="2" w:tplc="F5D24240">
      <w:numFmt w:val="bullet"/>
      <w:lvlText w:val="•"/>
      <w:lvlJc w:val="left"/>
      <w:pPr>
        <w:tabs>
          <w:tab w:val="num" w:pos="2160"/>
        </w:tabs>
        <w:ind w:left="2160" w:hanging="360"/>
      </w:pPr>
      <w:rPr>
        <w:rFonts w:ascii="Arial" w:hAnsi="Arial" w:hint="default"/>
      </w:rPr>
    </w:lvl>
    <w:lvl w:ilvl="3" w:tplc="10AE28EE" w:tentative="1">
      <w:start w:val="1"/>
      <w:numFmt w:val="bullet"/>
      <w:lvlText w:val="•"/>
      <w:lvlJc w:val="left"/>
      <w:pPr>
        <w:tabs>
          <w:tab w:val="num" w:pos="2880"/>
        </w:tabs>
        <w:ind w:left="2880" w:hanging="360"/>
      </w:pPr>
      <w:rPr>
        <w:rFonts w:ascii="Arial" w:hAnsi="Arial" w:hint="default"/>
      </w:rPr>
    </w:lvl>
    <w:lvl w:ilvl="4" w:tplc="BA9A328E" w:tentative="1">
      <w:start w:val="1"/>
      <w:numFmt w:val="bullet"/>
      <w:lvlText w:val="•"/>
      <w:lvlJc w:val="left"/>
      <w:pPr>
        <w:tabs>
          <w:tab w:val="num" w:pos="3600"/>
        </w:tabs>
        <w:ind w:left="3600" w:hanging="360"/>
      </w:pPr>
      <w:rPr>
        <w:rFonts w:ascii="Arial" w:hAnsi="Arial" w:hint="default"/>
      </w:rPr>
    </w:lvl>
    <w:lvl w:ilvl="5" w:tplc="E07232E8" w:tentative="1">
      <w:start w:val="1"/>
      <w:numFmt w:val="bullet"/>
      <w:lvlText w:val="•"/>
      <w:lvlJc w:val="left"/>
      <w:pPr>
        <w:tabs>
          <w:tab w:val="num" w:pos="4320"/>
        </w:tabs>
        <w:ind w:left="4320" w:hanging="360"/>
      </w:pPr>
      <w:rPr>
        <w:rFonts w:ascii="Arial" w:hAnsi="Arial" w:hint="default"/>
      </w:rPr>
    </w:lvl>
    <w:lvl w:ilvl="6" w:tplc="5AF02CF4" w:tentative="1">
      <w:start w:val="1"/>
      <w:numFmt w:val="bullet"/>
      <w:lvlText w:val="•"/>
      <w:lvlJc w:val="left"/>
      <w:pPr>
        <w:tabs>
          <w:tab w:val="num" w:pos="5040"/>
        </w:tabs>
        <w:ind w:left="5040" w:hanging="360"/>
      </w:pPr>
      <w:rPr>
        <w:rFonts w:ascii="Arial" w:hAnsi="Arial" w:hint="default"/>
      </w:rPr>
    </w:lvl>
    <w:lvl w:ilvl="7" w:tplc="D52EFE80" w:tentative="1">
      <w:start w:val="1"/>
      <w:numFmt w:val="bullet"/>
      <w:lvlText w:val="•"/>
      <w:lvlJc w:val="left"/>
      <w:pPr>
        <w:tabs>
          <w:tab w:val="num" w:pos="5760"/>
        </w:tabs>
        <w:ind w:left="5760" w:hanging="360"/>
      </w:pPr>
      <w:rPr>
        <w:rFonts w:ascii="Arial" w:hAnsi="Arial" w:hint="default"/>
      </w:rPr>
    </w:lvl>
    <w:lvl w:ilvl="8" w:tplc="FCFC06E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24B15DE"/>
    <w:multiLevelType w:val="hybridMultilevel"/>
    <w:tmpl w:val="59383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FB799D"/>
    <w:multiLevelType w:val="hybridMultilevel"/>
    <w:tmpl w:val="3C42377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4C86C42"/>
    <w:multiLevelType w:val="hybridMultilevel"/>
    <w:tmpl w:val="EE8291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52B4D51"/>
    <w:multiLevelType w:val="hybridMultilevel"/>
    <w:tmpl w:val="BDA4B604"/>
    <w:lvl w:ilvl="0" w:tplc="607E1860">
      <w:start w:val="1"/>
      <w:numFmt w:val="bullet"/>
      <w:lvlText w:val="•"/>
      <w:lvlJc w:val="left"/>
      <w:pPr>
        <w:tabs>
          <w:tab w:val="num" w:pos="720"/>
        </w:tabs>
        <w:ind w:left="720" w:hanging="360"/>
      </w:pPr>
      <w:rPr>
        <w:rFonts w:ascii="Arial" w:hAnsi="Arial" w:hint="default"/>
      </w:rPr>
    </w:lvl>
    <w:lvl w:ilvl="1" w:tplc="70B4400C">
      <w:numFmt w:val="bullet"/>
      <w:lvlText w:val="•"/>
      <w:lvlJc w:val="left"/>
      <w:pPr>
        <w:tabs>
          <w:tab w:val="num" w:pos="1440"/>
        </w:tabs>
        <w:ind w:left="1440" w:hanging="360"/>
      </w:pPr>
      <w:rPr>
        <w:rFonts w:ascii="Arial" w:hAnsi="Arial" w:hint="default"/>
      </w:rPr>
    </w:lvl>
    <w:lvl w:ilvl="2" w:tplc="596275DA">
      <w:numFmt w:val="bullet"/>
      <w:lvlText w:val="•"/>
      <w:lvlJc w:val="left"/>
      <w:pPr>
        <w:tabs>
          <w:tab w:val="num" w:pos="2160"/>
        </w:tabs>
        <w:ind w:left="2160" w:hanging="360"/>
      </w:pPr>
      <w:rPr>
        <w:rFonts w:ascii="Arial" w:hAnsi="Arial" w:hint="default"/>
      </w:rPr>
    </w:lvl>
    <w:lvl w:ilvl="3" w:tplc="B5AE6868" w:tentative="1">
      <w:start w:val="1"/>
      <w:numFmt w:val="bullet"/>
      <w:lvlText w:val="•"/>
      <w:lvlJc w:val="left"/>
      <w:pPr>
        <w:tabs>
          <w:tab w:val="num" w:pos="2880"/>
        </w:tabs>
        <w:ind w:left="2880" w:hanging="360"/>
      </w:pPr>
      <w:rPr>
        <w:rFonts w:ascii="Arial" w:hAnsi="Arial" w:hint="default"/>
      </w:rPr>
    </w:lvl>
    <w:lvl w:ilvl="4" w:tplc="BFD86996" w:tentative="1">
      <w:start w:val="1"/>
      <w:numFmt w:val="bullet"/>
      <w:lvlText w:val="•"/>
      <w:lvlJc w:val="left"/>
      <w:pPr>
        <w:tabs>
          <w:tab w:val="num" w:pos="3600"/>
        </w:tabs>
        <w:ind w:left="3600" w:hanging="360"/>
      </w:pPr>
      <w:rPr>
        <w:rFonts w:ascii="Arial" w:hAnsi="Arial" w:hint="default"/>
      </w:rPr>
    </w:lvl>
    <w:lvl w:ilvl="5" w:tplc="35487D72" w:tentative="1">
      <w:start w:val="1"/>
      <w:numFmt w:val="bullet"/>
      <w:lvlText w:val="•"/>
      <w:lvlJc w:val="left"/>
      <w:pPr>
        <w:tabs>
          <w:tab w:val="num" w:pos="4320"/>
        </w:tabs>
        <w:ind w:left="4320" w:hanging="360"/>
      </w:pPr>
      <w:rPr>
        <w:rFonts w:ascii="Arial" w:hAnsi="Arial" w:hint="default"/>
      </w:rPr>
    </w:lvl>
    <w:lvl w:ilvl="6" w:tplc="1F66E01C" w:tentative="1">
      <w:start w:val="1"/>
      <w:numFmt w:val="bullet"/>
      <w:lvlText w:val="•"/>
      <w:lvlJc w:val="left"/>
      <w:pPr>
        <w:tabs>
          <w:tab w:val="num" w:pos="5040"/>
        </w:tabs>
        <w:ind w:left="5040" w:hanging="360"/>
      </w:pPr>
      <w:rPr>
        <w:rFonts w:ascii="Arial" w:hAnsi="Arial" w:hint="default"/>
      </w:rPr>
    </w:lvl>
    <w:lvl w:ilvl="7" w:tplc="3934E482" w:tentative="1">
      <w:start w:val="1"/>
      <w:numFmt w:val="bullet"/>
      <w:lvlText w:val="•"/>
      <w:lvlJc w:val="left"/>
      <w:pPr>
        <w:tabs>
          <w:tab w:val="num" w:pos="5760"/>
        </w:tabs>
        <w:ind w:left="5760" w:hanging="360"/>
      </w:pPr>
      <w:rPr>
        <w:rFonts w:ascii="Arial" w:hAnsi="Arial" w:hint="default"/>
      </w:rPr>
    </w:lvl>
    <w:lvl w:ilvl="8" w:tplc="CCA679E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AB00B09"/>
    <w:multiLevelType w:val="hybridMultilevel"/>
    <w:tmpl w:val="02D63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8F3090"/>
    <w:multiLevelType w:val="hybridMultilevel"/>
    <w:tmpl w:val="8E9A4540"/>
    <w:lvl w:ilvl="0" w:tplc="057CC76C">
      <w:start w:val="1"/>
      <w:numFmt w:val="bullet"/>
      <w:lvlText w:val="•"/>
      <w:lvlJc w:val="left"/>
      <w:pPr>
        <w:tabs>
          <w:tab w:val="num" w:pos="720"/>
        </w:tabs>
        <w:ind w:left="720" w:hanging="360"/>
      </w:pPr>
      <w:rPr>
        <w:rFonts w:ascii="Arial" w:hAnsi="Arial" w:hint="default"/>
      </w:rPr>
    </w:lvl>
    <w:lvl w:ilvl="1" w:tplc="2D4AD6FE">
      <w:numFmt w:val="bullet"/>
      <w:lvlText w:val="•"/>
      <w:lvlJc w:val="left"/>
      <w:pPr>
        <w:tabs>
          <w:tab w:val="num" w:pos="1440"/>
        </w:tabs>
        <w:ind w:left="1440" w:hanging="360"/>
      </w:pPr>
      <w:rPr>
        <w:rFonts w:ascii="Arial" w:hAnsi="Arial" w:hint="default"/>
      </w:rPr>
    </w:lvl>
    <w:lvl w:ilvl="2" w:tplc="66A8A962" w:tentative="1">
      <w:start w:val="1"/>
      <w:numFmt w:val="bullet"/>
      <w:lvlText w:val="•"/>
      <w:lvlJc w:val="left"/>
      <w:pPr>
        <w:tabs>
          <w:tab w:val="num" w:pos="2160"/>
        </w:tabs>
        <w:ind w:left="2160" w:hanging="360"/>
      </w:pPr>
      <w:rPr>
        <w:rFonts w:ascii="Arial" w:hAnsi="Arial" w:hint="default"/>
      </w:rPr>
    </w:lvl>
    <w:lvl w:ilvl="3" w:tplc="BA165C46" w:tentative="1">
      <w:start w:val="1"/>
      <w:numFmt w:val="bullet"/>
      <w:lvlText w:val="•"/>
      <w:lvlJc w:val="left"/>
      <w:pPr>
        <w:tabs>
          <w:tab w:val="num" w:pos="2880"/>
        </w:tabs>
        <w:ind w:left="2880" w:hanging="360"/>
      </w:pPr>
      <w:rPr>
        <w:rFonts w:ascii="Arial" w:hAnsi="Arial" w:hint="default"/>
      </w:rPr>
    </w:lvl>
    <w:lvl w:ilvl="4" w:tplc="73D40E82" w:tentative="1">
      <w:start w:val="1"/>
      <w:numFmt w:val="bullet"/>
      <w:lvlText w:val="•"/>
      <w:lvlJc w:val="left"/>
      <w:pPr>
        <w:tabs>
          <w:tab w:val="num" w:pos="3600"/>
        </w:tabs>
        <w:ind w:left="3600" w:hanging="360"/>
      </w:pPr>
      <w:rPr>
        <w:rFonts w:ascii="Arial" w:hAnsi="Arial" w:hint="default"/>
      </w:rPr>
    </w:lvl>
    <w:lvl w:ilvl="5" w:tplc="0328972C" w:tentative="1">
      <w:start w:val="1"/>
      <w:numFmt w:val="bullet"/>
      <w:lvlText w:val="•"/>
      <w:lvlJc w:val="left"/>
      <w:pPr>
        <w:tabs>
          <w:tab w:val="num" w:pos="4320"/>
        </w:tabs>
        <w:ind w:left="4320" w:hanging="360"/>
      </w:pPr>
      <w:rPr>
        <w:rFonts w:ascii="Arial" w:hAnsi="Arial" w:hint="default"/>
      </w:rPr>
    </w:lvl>
    <w:lvl w:ilvl="6" w:tplc="11E8690E" w:tentative="1">
      <w:start w:val="1"/>
      <w:numFmt w:val="bullet"/>
      <w:lvlText w:val="•"/>
      <w:lvlJc w:val="left"/>
      <w:pPr>
        <w:tabs>
          <w:tab w:val="num" w:pos="5040"/>
        </w:tabs>
        <w:ind w:left="5040" w:hanging="360"/>
      </w:pPr>
      <w:rPr>
        <w:rFonts w:ascii="Arial" w:hAnsi="Arial" w:hint="default"/>
      </w:rPr>
    </w:lvl>
    <w:lvl w:ilvl="7" w:tplc="DDC0AFFA" w:tentative="1">
      <w:start w:val="1"/>
      <w:numFmt w:val="bullet"/>
      <w:lvlText w:val="•"/>
      <w:lvlJc w:val="left"/>
      <w:pPr>
        <w:tabs>
          <w:tab w:val="num" w:pos="5760"/>
        </w:tabs>
        <w:ind w:left="5760" w:hanging="360"/>
      </w:pPr>
      <w:rPr>
        <w:rFonts w:ascii="Arial" w:hAnsi="Arial" w:hint="default"/>
      </w:rPr>
    </w:lvl>
    <w:lvl w:ilvl="8" w:tplc="B726E5F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107D10"/>
    <w:multiLevelType w:val="hybridMultilevel"/>
    <w:tmpl w:val="DD220466"/>
    <w:lvl w:ilvl="0" w:tplc="0409000F">
      <w:start w:val="1"/>
      <w:numFmt w:val="decimal"/>
      <w:lvlText w:val="%1."/>
      <w:lvlJc w:val="left"/>
      <w:pPr>
        <w:ind w:left="720" w:hanging="360"/>
      </w:pPr>
      <w:rPr>
        <w:rFonts w:hint="default"/>
      </w:rPr>
    </w:lvl>
    <w:lvl w:ilvl="1" w:tplc="F88EF49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DA730D"/>
    <w:multiLevelType w:val="hybridMultilevel"/>
    <w:tmpl w:val="879E1CA4"/>
    <w:lvl w:ilvl="0" w:tplc="0F7A2F1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3945EE"/>
    <w:multiLevelType w:val="hybridMultilevel"/>
    <w:tmpl w:val="E530E592"/>
    <w:lvl w:ilvl="0" w:tplc="CA86F8D8">
      <w:start w:val="1"/>
      <w:numFmt w:val="bullet"/>
      <w:lvlText w:val="•"/>
      <w:lvlJc w:val="left"/>
      <w:pPr>
        <w:tabs>
          <w:tab w:val="num" w:pos="720"/>
        </w:tabs>
        <w:ind w:left="720" w:hanging="360"/>
      </w:pPr>
      <w:rPr>
        <w:rFonts w:ascii="Arial" w:hAnsi="Arial" w:hint="default"/>
      </w:rPr>
    </w:lvl>
    <w:lvl w:ilvl="1" w:tplc="0DB63FBE">
      <w:numFmt w:val="bullet"/>
      <w:lvlText w:val="•"/>
      <w:lvlJc w:val="left"/>
      <w:pPr>
        <w:tabs>
          <w:tab w:val="num" w:pos="1440"/>
        </w:tabs>
        <w:ind w:left="1440" w:hanging="360"/>
      </w:pPr>
      <w:rPr>
        <w:rFonts w:ascii="Arial" w:hAnsi="Arial" w:hint="default"/>
      </w:rPr>
    </w:lvl>
    <w:lvl w:ilvl="2" w:tplc="DCFC59BA" w:tentative="1">
      <w:start w:val="1"/>
      <w:numFmt w:val="bullet"/>
      <w:lvlText w:val="•"/>
      <w:lvlJc w:val="left"/>
      <w:pPr>
        <w:tabs>
          <w:tab w:val="num" w:pos="2160"/>
        </w:tabs>
        <w:ind w:left="2160" w:hanging="360"/>
      </w:pPr>
      <w:rPr>
        <w:rFonts w:ascii="Arial" w:hAnsi="Arial" w:hint="default"/>
      </w:rPr>
    </w:lvl>
    <w:lvl w:ilvl="3" w:tplc="9BBAAB56" w:tentative="1">
      <w:start w:val="1"/>
      <w:numFmt w:val="bullet"/>
      <w:lvlText w:val="•"/>
      <w:lvlJc w:val="left"/>
      <w:pPr>
        <w:tabs>
          <w:tab w:val="num" w:pos="2880"/>
        </w:tabs>
        <w:ind w:left="2880" w:hanging="360"/>
      </w:pPr>
      <w:rPr>
        <w:rFonts w:ascii="Arial" w:hAnsi="Arial" w:hint="default"/>
      </w:rPr>
    </w:lvl>
    <w:lvl w:ilvl="4" w:tplc="98209634" w:tentative="1">
      <w:start w:val="1"/>
      <w:numFmt w:val="bullet"/>
      <w:lvlText w:val="•"/>
      <w:lvlJc w:val="left"/>
      <w:pPr>
        <w:tabs>
          <w:tab w:val="num" w:pos="3600"/>
        </w:tabs>
        <w:ind w:left="3600" w:hanging="360"/>
      </w:pPr>
      <w:rPr>
        <w:rFonts w:ascii="Arial" w:hAnsi="Arial" w:hint="default"/>
      </w:rPr>
    </w:lvl>
    <w:lvl w:ilvl="5" w:tplc="E50240B4" w:tentative="1">
      <w:start w:val="1"/>
      <w:numFmt w:val="bullet"/>
      <w:lvlText w:val="•"/>
      <w:lvlJc w:val="left"/>
      <w:pPr>
        <w:tabs>
          <w:tab w:val="num" w:pos="4320"/>
        </w:tabs>
        <w:ind w:left="4320" w:hanging="360"/>
      </w:pPr>
      <w:rPr>
        <w:rFonts w:ascii="Arial" w:hAnsi="Arial" w:hint="default"/>
      </w:rPr>
    </w:lvl>
    <w:lvl w:ilvl="6" w:tplc="A11E8FE4" w:tentative="1">
      <w:start w:val="1"/>
      <w:numFmt w:val="bullet"/>
      <w:lvlText w:val="•"/>
      <w:lvlJc w:val="left"/>
      <w:pPr>
        <w:tabs>
          <w:tab w:val="num" w:pos="5040"/>
        </w:tabs>
        <w:ind w:left="5040" w:hanging="360"/>
      </w:pPr>
      <w:rPr>
        <w:rFonts w:ascii="Arial" w:hAnsi="Arial" w:hint="default"/>
      </w:rPr>
    </w:lvl>
    <w:lvl w:ilvl="7" w:tplc="9EFCD59C" w:tentative="1">
      <w:start w:val="1"/>
      <w:numFmt w:val="bullet"/>
      <w:lvlText w:val="•"/>
      <w:lvlJc w:val="left"/>
      <w:pPr>
        <w:tabs>
          <w:tab w:val="num" w:pos="5760"/>
        </w:tabs>
        <w:ind w:left="5760" w:hanging="360"/>
      </w:pPr>
      <w:rPr>
        <w:rFonts w:ascii="Arial" w:hAnsi="Arial" w:hint="default"/>
      </w:rPr>
    </w:lvl>
    <w:lvl w:ilvl="8" w:tplc="4A0864A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1EE173A"/>
    <w:multiLevelType w:val="hybridMultilevel"/>
    <w:tmpl w:val="C010DDB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67D5DF8"/>
    <w:multiLevelType w:val="hybridMultilevel"/>
    <w:tmpl w:val="878C98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DC96CD6"/>
    <w:multiLevelType w:val="hybridMultilevel"/>
    <w:tmpl w:val="36ACF250"/>
    <w:lvl w:ilvl="0" w:tplc="68D2D32C">
      <w:start w:val="1"/>
      <w:numFmt w:val="bullet"/>
      <w:lvlText w:val="•"/>
      <w:lvlJc w:val="left"/>
      <w:pPr>
        <w:tabs>
          <w:tab w:val="num" w:pos="720"/>
        </w:tabs>
        <w:ind w:left="720" w:hanging="360"/>
      </w:pPr>
      <w:rPr>
        <w:rFonts w:ascii="Arial" w:hAnsi="Arial" w:hint="default"/>
      </w:rPr>
    </w:lvl>
    <w:lvl w:ilvl="1" w:tplc="CA6E9C0A" w:tentative="1">
      <w:start w:val="1"/>
      <w:numFmt w:val="bullet"/>
      <w:lvlText w:val="•"/>
      <w:lvlJc w:val="left"/>
      <w:pPr>
        <w:tabs>
          <w:tab w:val="num" w:pos="1440"/>
        </w:tabs>
        <w:ind w:left="1440" w:hanging="360"/>
      </w:pPr>
      <w:rPr>
        <w:rFonts w:ascii="Arial" w:hAnsi="Arial" w:hint="default"/>
      </w:rPr>
    </w:lvl>
    <w:lvl w:ilvl="2" w:tplc="CD9A0ED4" w:tentative="1">
      <w:start w:val="1"/>
      <w:numFmt w:val="bullet"/>
      <w:lvlText w:val="•"/>
      <w:lvlJc w:val="left"/>
      <w:pPr>
        <w:tabs>
          <w:tab w:val="num" w:pos="2160"/>
        </w:tabs>
        <w:ind w:left="2160" w:hanging="360"/>
      </w:pPr>
      <w:rPr>
        <w:rFonts w:ascii="Arial" w:hAnsi="Arial" w:hint="default"/>
      </w:rPr>
    </w:lvl>
    <w:lvl w:ilvl="3" w:tplc="34D8D122" w:tentative="1">
      <w:start w:val="1"/>
      <w:numFmt w:val="bullet"/>
      <w:lvlText w:val="•"/>
      <w:lvlJc w:val="left"/>
      <w:pPr>
        <w:tabs>
          <w:tab w:val="num" w:pos="2880"/>
        </w:tabs>
        <w:ind w:left="2880" w:hanging="360"/>
      </w:pPr>
      <w:rPr>
        <w:rFonts w:ascii="Arial" w:hAnsi="Arial" w:hint="default"/>
      </w:rPr>
    </w:lvl>
    <w:lvl w:ilvl="4" w:tplc="C32852C4" w:tentative="1">
      <w:start w:val="1"/>
      <w:numFmt w:val="bullet"/>
      <w:lvlText w:val="•"/>
      <w:lvlJc w:val="left"/>
      <w:pPr>
        <w:tabs>
          <w:tab w:val="num" w:pos="3600"/>
        </w:tabs>
        <w:ind w:left="3600" w:hanging="360"/>
      </w:pPr>
      <w:rPr>
        <w:rFonts w:ascii="Arial" w:hAnsi="Arial" w:hint="default"/>
      </w:rPr>
    </w:lvl>
    <w:lvl w:ilvl="5" w:tplc="7A14C684" w:tentative="1">
      <w:start w:val="1"/>
      <w:numFmt w:val="bullet"/>
      <w:lvlText w:val="•"/>
      <w:lvlJc w:val="left"/>
      <w:pPr>
        <w:tabs>
          <w:tab w:val="num" w:pos="4320"/>
        </w:tabs>
        <w:ind w:left="4320" w:hanging="360"/>
      </w:pPr>
      <w:rPr>
        <w:rFonts w:ascii="Arial" w:hAnsi="Arial" w:hint="default"/>
      </w:rPr>
    </w:lvl>
    <w:lvl w:ilvl="6" w:tplc="2BD4D06E" w:tentative="1">
      <w:start w:val="1"/>
      <w:numFmt w:val="bullet"/>
      <w:lvlText w:val="•"/>
      <w:lvlJc w:val="left"/>
      <w:pPr>
        <w:tabs>
          <w:tab w:val="num" w:pos="5040"/>
        </w:tabs>
        <w:ind w:left="5040" w:hanging="360"/>
      </w:pPr>
      <w:rPr>
        <w:rFonts w:ascii="Arial" w:hAnsi="Arial" w:hint="default"/>
      </w:rPr>
    </w:lvl>
    <w:lvl w:ilvl="7" w:tplc="B28AFE7A" w:tentative="1">
      <w:start w:val="1"/>
      <w:numFmt w:val="bullet"/>
      <w:lvlText w:val="•"/>
      <w:lvlJc w:val="left"/>
      <w:pPr>
        <w:tabs>
          <w:tab w:val="num" w:pos="5760"/>
        </w:tabs>
        <w:ind w:left="5760" w:hanging="360"/>
      </w:pPr>
      <w:rPr>
        <w:rFonts w:ascii="Arial" w:hAnsi="Arial" w:hint="default"/>
      </w:rPr>
    </w:lvl>
    <w:lvl w:ilvl="8" w:tplc="159C6A8A"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4"/>
  </w:num>
  <w:num w:numId="3">
    <w:abstractNumId w:val="13"/>
  </w:num>
  <w:num w:numId="4">
    <w:abstractNumId w:val="8"/>
  </w:num>
  <w:num w:numId="5">
    <w:abstractNumId w:val="10"/>
  </w:num>
  <w:num w:numId="6">
    <w:abstractNumId w:val="5"/>
  </w:num>
  <w:num w:numId="7">
    <w:abstractNumId w:val="6"/>
  </w:num>
  <w:num w:numId="8">
    <w:abstractNumId w:val="11"/>
  </w:num>
  <w:num w:numId="9">
    <w:abstractNumId w:val="0"/>
  </w:num>
  <w:num w:numId="10">
    <w:abstractNumId w:val="3"/>
  </w:num>
  <w:num w:numId="11">
    <w:abstractNumId w:val="7"/>
  </w:num>
  <w:num w:numId="12">
    <w:abstractNumId w:val="12"/>
  </w:num>
  <w:num w:numId="13">
    <w:abstractNumId w:val="9"/>
  </w:num>
  <w:num w:numId="14">
    <w:abstractNumId w:val="1"/>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85C"/>
    <w:rsid w:val="00094695"/>
    <w:rsid w:val="000B567B"/>
    <w:rsid w:val="000F041E"/>
    <w:rsid w:val="001220EE"/>
    <w:rsid w:val="00133EC4"/>
    <w:rsid w:val="001373EB"/>
    <w:rsid w:val="00144834"/>
    <w:rsid w:val="001F1650"/>
    <w:rsid w:val="002872A6"/>
    <w:rsid w:val="002B2650"/>
    <w:rsid w:val="002E16B2"/>
    <w:rsid w:val="002E2B1B"/>
    <w:rsid w:val="00303E54"/>
    <w:rsid w:val="0032282A"/>
    <w:rsid w:val="00365E5F"/>
    <w:rsid w:val="003945C3"/>
    <w:rsid w:val="004E33BE"/>
    <w:rsid w:val="006070D9"/>
    <w:rsid w:val="00612DA6"/>
    <w:rsid w:val="00625B87"/>
    <w:rsid w:val="00646E3E"/>
    <w:rsid w:val="00655D8B"/>
    <w:rsid w:val="00754DB9"/>
    <w:rsid w:val="0076675D"/>
    <w:rsid w:val="007A1F56"/>
    <w:rsid w:val="007C52A1"/>
    <w:rsid w:val="007E7AF1"/>
    <w:rsid w:val="00903DE1"/>
    <w:rsid w:val="009105F4"/>
    <w:rsid w:val="0091592C"/>
    <w:rsid w:val="009356C8"/>
    <w:rsid w:val="00A02B99"/>
    <w:rsid w:val="00A30E8A"/>
    <w:rsid w:val="00AB2820"/>
    <w:rsid w:val="00B34D6B"/>
    <w:rsid w:val="00B978F4"/>
    <w:rsid w:val="00C44321"/>
    <w:rsid w:val="00CD0767"/>
    <w:rsid w:val="00CD185C"/>
    <w:rsid w:val="00D37805"/>
    <w:rsid w:val="00D97695"/>
    <w:rsid w:val="00DA445C"/>
    <w:rsid w:val="00DB40E8"/>
    <w:rsid w:val="00DD4E08"/>
    <w:rsid w:val="00E36F58"/>
    <w:rsid w:val="00E9596C"/>
    <w:rsid w:val="00FB27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9123"/>
  <w15:chartTrackingRefBased/>
  <w15:docId w15:val="{2142854C-A910-40B3-9BB3-7F824FCC9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Paragraph"/>
    <w:link w:val="Heading1Char"/>
    <w:qFormat/>
    <w:rsid w:val="00655D8B"/>
    <w:pPr>
      <w:keepNext/>
      <w:spacing w:before="360" w:after="60" w:line="360" w:lineRule="auto"/>
      <w:ind w:right="567"/>
      <w:contextualSpacing/>
      <w:outlineLvl w:val="0"/>
    </w:pPr>
    <w:rPr>
      <w:rFonts w:ascii="Times New Roman" w:hAnsi="Times New Roman" w:cs="Arial"/>
      <w:b/>
      <w:bCs/>
      <w:kern w:val="32"/>
      <w:sz w:val="24"/>
      <w:szCs w:val="32"/>
      <w:lang w:val="en-GB" w:eastAsia="en-GB"/>
      <w14:ligatures w14:val="none"/>
    </w:rPr>
  </w:style>
  <w:style w:type="paragraph" w:styleId="Heading2">
    <w:name w:val="heading 2"/>
    <w:basedOn w:val="Normal"/>
    <w:next w:val="Normal"/>
    <w:link w:val="Heading2Char"/>
    <w:uiPriority w:val="9"/>
    <w:semiHidden/>
    <w:unhideWhenUsed/>
    <w:qFormat/>
    <w:rsid w:val="009105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105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D8B"/>
    <w:rPr>
      <w:rFonts w:ascii="Times New Roman" w:hAnsi="Times New Roman" w:cs="Arial"/>
      <w:b/>
      <w:bCs/>
      <w:kern w:val="32"/>
      <w:sz w:val="24"/>
      <w:szCs w:val="32"/>
      <w:lang w:val="en-GB" w:eastAsia="en-GB"/>
      <w14:ligatures w14:val="none"/>
    </w:rPr>
  </w:style>
  <w:style w:type="paragraph" w:customStyle="1" w:styleId="Affiliation">
    <w:name w:val="Affiliation"/>
    <w:basedOn w:val="Normal"/>
    <w:qFormat/>
    <w:rsid w:val="00655D8B"/>
    <w:pPr>
      <w:spacing w:before="240" w:after="0" w:line="240" w:lineRule="auto"/>
    </w:pPr>
    <w:rPr>
      <w:rFonts w:ascii="Times New Roman" w:hAnsi="Times New Roman" w:cs="Times New Roman"/>
      <w:b/>
      <w:bCs/>
      <w:iCs/>
      <w:kern w:val="0"/>
      <w:sz w:val="24"/>
      <w:szCs w:val="24"/>
      <w:lang w:val="en-GB" w:eastAsia="en-GB"/>
      <w14:ligatures w14:val="none"/>
    </w:rPr>
  </w:style>
  <w:style w:type="paragraph" w:customStyle="1" w:styleId="Correspondencedetails">
    <w:name w:val="Correspondence details"/>
    <w:basedOn w:val="Normal"/>
    <w:qFormat/>
    <w:rsid w:val="00655D8B"/>
    <w:pPr>
      <w:spacing w:before="240" w:after="0" w:line="360" w:lineRule="auto"/>
    </w:pPr>
    <w:rPr>
      <w:rFonts w:ascii="Times New Roman" w:hAnsi="Times New Roman" w:cs="Times New Roman"/>
      <w:kern w:val="0"/>
      <w:sz w:val="24"/>
      <w:szCs w:val="24"/>
      <w:lang w:val="en-GB" w:eastAsia="en-GB"/>
      <w14:ligatures w14:val="none"/>
    </w:rPr>
  </w:style>
  <w:style w:type="paragraph" w:customStyle="1" w:styleId="Paragraph">
    <w:name w:val="Paragraph"/>
    <w:basedOn w:val="Normal"/>
    <w:next w:val="Normal"/>
    <w:qFormat/>
    <w:rsid w:val="00655D8B"/>
    <w:pPr>
      <w:widowControl w:val="0"/>
      <w:spacing w:before="240" w:after="0" w:line="480" w:lineRule="auto"/>
    </w:pPr>
    <w:rPr>
      <w:rFonts w:ascii="Times New Roman" w:hAnsi="Times New Roman" w:cs="Times New Roman"/>
      <w:kern w:val="0"/>
      <w:sz w:val="24"/>
      <w:szCs w:val="24"/>
      <w:lang w:val="en-GB" w:eastAsia="en-GB"/>
      <w14:ligatures w14:val="none"/>
    </w:rPr>
  </w:style>
  <w:style w:type="paragraph" w:customStyle="1" w:styleId="Newparagraph">
    <w:name w:val="New paragraph"/>
    <w:basedOn w:val="Normal"/>
    <w:qFormat/>
    <w:rsid w:val="001220EE"/>
    <w:pPr>
      <w:spacing w:after="0" w:line="480" w:lineRule="auto"/>
      <w:ind w:firstLine="720"/>
    </w:pPr>
    <w:rPr>
      <w:rFonts w:ascii="Times New Roman" w:hAnsi="Times New Roman" w:cs="Times New Roman"/>
      <w:kern w:val="0"/>
      <w:sz w:val="24"/>
      <w:szCs w:val="24"/>
      <w:lang w:val="en-GB" w:eastAsia="en-GB"/>
      <w14:ligatures w14:val="none"/>
    </w:rPr>
  </w:style>
  <w:style w:type="character" w:customStyle="1" w:styleId="Heading2Char">
    <w:name w:val="Heading 2 Char"/>
    <w:basedOn w:val="DefaultParagraphFont"/>
    <w:link w:val="Heading2"/>
    <w:rsid w:val="009105F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105F4"/>
    <w:rPr>
      <w:rFonts w:asciiTheme="majorHAnsi" w:eastAsiaTheme="majorEastAsia" w:hAnsiTheme="majorHAnsi" w:cstheme="majorBidi"/>
      <w:color w:val="1F3763" w:themeColor="accent1" w:themeShade="7F"/>
      <w:sz w:val="24"/>
      <w:szCs w:val="24"/>
    </w:rPr>
  </w:style>
  <w:style w:type="table" w:customStyle="1" w:styleId="TableGrid1">
    <w:name w:val="Table Grid1"/>
    <w:basedOn w:val="TableNormal"/>
    <w:next w:val="TableGrid"/>
    <w:uiPriority w:val="39"/>
    <w:rsid w:val="00FB270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B2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B567B"/>
    <w:rPr>
      <w:color w:val="0000FF"/>
      <w:u w:val="single"/>
    </w:rPr>
  </w:style>
  <w:style w:type="paragraph" w:styleId="ListParagraph">
    <w:name w:val="List Paragraph"/>
    <w:basedOn w:val="Normal"/>
    <w:uiPriority w:val="34"/>
    <w:qFormat/>
    <w:rsid w:val="000B567B"/>
    <w:pPr>
      <w:spacing w:after="0" w:line="480" w:lineRule="auto"/>
      <w:ind w:left="720"/>
      <w:contextualSpacing/>
    </w:pPr>
    <w:rPr>
      <w:rFonts w:ascii="Times New Roman" w:hAnsi="Times New Roman" w:cs="Times New Roman"/>
      <w:kern w:val="0"/>
      <w:sz w:val="24"/>
      <w:szCs w:val="24"/>
      <w:lang w:val="en-GB" w:eastAsia="en-GB"/>
      <w14:ligatures w14:val="none"/>
    </w:rPr>
  </w:style>
  <w:style w:type="paragraph" w:styleId="Revision">
    <w:name w:val="Revision"/>
    <w:hidden/>
    <w:uiPriority w:val="99"/>
    <w:semiHidden/>
    <w:rsid w:val="000946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ma.europa.eu/en/documents/product-information/keytruda-epar-product-information_en.pdf" TargetMode="External"/><Relationship Id="rId5" Type="http://schemas.openxmlformats.org/officeDocument/2006/relationships/hyperlink" Target="https://www.accessdata.fda.gov/drugsatfda_docs/label/2011/020207s016lb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3244</Words>
  <Characters>18496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Preetinder Kaur</dc:creator>
  <cp:keywords/>
  <dc:description/>
  <cp:lastModifiedBy>Nalini R.</cp:lastModifiedBy>
  <cp:revision>2</cp:revision>
  <dcterms:created xsi:type="dcterms:W3CDTF">2024-05-03T05:20:00Z</dcterms:created>
  <dcterms:modified xsi:type="dcterms:W3CDTF">2024-05-03T05:20:00Z</dcterms:modified>
</cp:coreProperties>
</file>