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1F84F" w14:textId="77777777" w:rsidR="0010438F" w:rsidRDefault="00A46182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Supplementary Table 1. Baseline characteristics of patients according to HA-ESM status.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20"/>
        <w:gridCol w:w="1451"/>
        <w:gridCol w:w="1033"/>
        <w:gridCol w:w="1380"/>
        <w:gridCol w:w="622"/>
        <w:gridCol w:w="1033"/>
        <w:gridCol w:w="1380"/>
        <w:gridCol w:w="519"/>
      </w:tblGrid>
      <w:tr w:rsidR="006C6D6C" w14:paraId="512772DA" w14:textId="77777777" w:rsidTr="00A054EC">
        <w:trPr>
          <w:trHeight w:val="360"/>
        </w:trPr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CCFB5BA" w14:textId="77777777" w:rsidR="006C6D6C" w:rsidRDefault="006C6D6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Factor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77BA844" w14:textId="77777777" w:rsidR="006C6D6C" w:rsidRDefault="006C6D6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20D63346" w14:textId="438B837A" w:rsidR="006C6D6C" w:rsidRDefault="006C6D6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High HA–ESM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479CDC9" w14:textId="77777777" w:rsidR="006C6D6C" w:rsidRDefault="006C6D6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0C95021B" w14:textId="30F170D6" w:rsidR="006C6D6C" w:rsidRDefault="006C6D6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Low HA–ESM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B7E8E57" w14:textId="77777777" w:rsidR="006C6D6C" w:rsidRDefault="006C6D6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0438F" w14:paraId="156CC7A9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6DE777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055AB01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8E191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Lobectomy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3642A2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Segmentectomy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B285AC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FBEC6F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Lobectomy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E4B7E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Segmentectomy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56F99D1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1FB7277D" w14:textId="77777777" w:rsidTr="006C6D6C">
        <w:trPr>
          <w:trHeight w:val="360"/>
        </w:trPr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3464FB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2A8B5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DEF21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n=100</w:t>
            </w:r>
          </w:p>
        </w:tc>
        <w:tc>
          <w:tcPr>
            <w:tcW w:w="13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F9F0A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n=163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9265E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P</w:t>
            </w:r>
          </w:p>
        </w:tc>
        <w:tc>
          <w:tcPr>
            <w:tcW w:w="10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5D097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n=37</w:t>
            </w:r>
          </w:p>
        </w:tc>
        <w:tc>
          <w:tcPr>
            <w:tcW w:w="13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41084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n=46</w:t>
            </w:r>
          </w:p>
        </w:tc>
        <w:tc>
          <w:tcPr>
            <w:tcW w:w="5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E8454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P</w:t>
            </w:r>
          </w:p>
        </w:tc>
      </w:tr>
      <w:tr w:rsidR="0010438F" w14:paraId="7AED939D" w14:textId="77777777" w:rsidTr="006C6D6C">
        <w:trPr>
          <w:trHeight w:val="360"/>
        </w:trPr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072A6B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Age, years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971F505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03D1B26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1EB627B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D1E221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.19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180FD12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31D7D9D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0CC5BE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.39</w:t>
            </w:r>
          </w:p>
        </w:tc>
      </w:tr>
      <w:tr w:rsidR="0010438F" w14:paraId="0790A6A5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44D5D1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CB5610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B1AB4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60–71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04D29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62–72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0F677B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01D33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62–75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10D6C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61–72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0D26A8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654FDC3B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55B07A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Sex, n (%)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601C6D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Male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2F4ED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 (59.0%)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F0BF1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 (49.7%)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DF8A2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.16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C4E2B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 (54.1%)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3AAF2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 (52.2%)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E5DF36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10438F" w14:paraId="0290DEF9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C0C28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Smoking status, n (%)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F2F7D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Smoker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1A4A8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 (60.0%)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A8B2B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 (45.4%)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DDFD3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.023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48DB4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 (51.4%)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1250D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 (58.7%)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BB464E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.52</w:t>
            </w:r>
          </w:p>
        </w:tc>
      </w:tr>
      <w:tr w:rsidR="0010438F" w14:paraId="0E1FD766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C6A82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FEV1, n (%)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2D0A9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≥70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FC962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 (81.0%)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18DCB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 (79.8%)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D8492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.87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97B461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 (78.4%)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3BDF6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 (69.6%)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8F65B7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.47</w:t>
            </w:r>
          </w:p>
        </w:tc>
      </w:tr>
      <w:tr w:rsidR="0010438F" w14:paraId="7A0A6C2D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971E7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Charlson Comorbidity Index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79E20E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4E1E69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956F3F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DAE3F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.054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3673C6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A857A4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B0286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.65</w:t>
            </w:r>
          </w:p>
        </w:tc>
      </w:tr>
      <w:tr w:rsidR="0010438F" w14:paraId="6C49E48E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E4F11B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02954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C25204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75518A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2–4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9F3048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40C18C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1FE70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2–4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5EEFC17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5FEB0C74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D2127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%FEV1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1C762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DEE15E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96.5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1CB274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96.5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AF431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.55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3AC75F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96.7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A370EB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93.5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3CC8A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.68</w:t>
            </w:r>
          </w:p>
        </w:tc>
      </w:tr>
      <w:tr w:rsidR="0010438F" w14:paraId="20BFBD5B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49B128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1E1E6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B812B3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82.2–108.9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5638FA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86.8–107.9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78A0B99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5EBCCF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85.1–105.8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22203A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85.0–103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DF31028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11D02C1D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D008F9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%DLCO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F52C26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9AB72A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82.3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15ABAD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85.4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BE0D0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.43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607110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78.3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25E01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77.6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01286F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.54</w:t>
            </w:r>
          </w:p>
        </w:tc>
      </w:tr>
      <w:tr w:rsidR="0010438F" w14:paraId="0164BF86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39168B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22D3A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21F4D0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72.2–94.5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5DA831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75.3–94.5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E3239B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D9C88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68–87.3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BEE4B0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70.9–83.1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FC13040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37C07240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143AF8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Operation side, n (%)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26F3EA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Right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6849B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 (74.0%)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E0AA4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 (49.1%)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F1337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&lt;.001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515BF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 (27.0%)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4256F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 (39.1%)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0F371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.004</w:t>
            </w:r>
          </w:p>
        </w:tc>
      </w:tr>
      <w:tr w:rsidR="0010438F" w14:paraId="63D3858F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EBCA61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BFCFDE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Left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964F6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 (26.0%)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707DB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 (50.9%)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933C15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74B55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 (73.0)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5EA96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 (60.9%)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59658A5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2349DDA8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B7B410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Operation lobe, n (%)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839FF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Upper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9D35A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 (66.0%)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21115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 (58.3%)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3A38BE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.45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3BE1F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 (73.0%)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584C5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 (63.0%)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75ABB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.24</w:t>
            </w:r>
          </w:p>
        </w:tc>
      </w:tr>
      <w:tr w:rsidR="0010438F" w14:paraId="0C08413A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C93CC3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2CF0AA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Lower 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196BD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 (33.0%)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4B1F4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 (40.5%)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FFAB5A9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18054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 (24.3%)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909DA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 (37.0%)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AFC4C50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1CF2DC35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BB0F55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4811BD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Middle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9DD3BA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74748A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BAB1E3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9474A6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FE0B7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30B8B7B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45B8AA1E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F68DBC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A82CC8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Bilobe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CAB31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(1.0%)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449F2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(1.2%)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C9A0D9C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D08D1D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(2.7%)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68145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1E0BCD3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7DB1EEDA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</w:tcPr>
          <w:p w14:paraId="586314F8" w14:textId="77777777" w:rsidR="0010438F" w:rsidRDefault="00A4618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Deauville score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28404A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F373AB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D349A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BE669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&lt;.001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B72622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E2D68C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1AAED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.06</w:t>
            </w:r>
          </w:p>
        </w:tc>
      </w:tr>
      <w:tr w:rsidR="0010438F" w14:paraId="16FC2181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</w:tcPr>
          <w:p w14:paraId="2E251A5B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70E3F5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5E6121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651896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2–2.5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111D87D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AB0E9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2–4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5BDF9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1–3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C9DA629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4B6FB550" w14:textId="77777777" w:rsidTr="006C6D6C">
        <w:trPr>
          <w:trHeight w:val="360"/>
        </w:trPr>
        <w:tc>
          <w:tcPr>
            <w:tcW w:w="287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9E049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Nodule diameter on CT (mm)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622ED9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500D64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292C4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&lt;.001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294420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CB62D7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3FBBC3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.15</w:t>
            </w:r>
          </w:p>
        </w:tc>
      </w:tr>
      <w:tr w:rsidR="0010438F" w14:paraId="6E2282FB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8B8E2A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D99B6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A2B967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15–22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537F0C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12–19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1BE552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F39400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15–21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259F9B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13–20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0CE1C5A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6B64FE67" w14:textId="77777777" w:rsidTr="006C6D6C">
        <w:trPr>
          <w:trHeight w:val="360"/>
        </w:trPr>
        <w:tc>
          <w:tcPr>
            <w:tcW w:w="287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07D2AA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Solid tumor size on CT (mm)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029AAC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89B17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6B0BE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&lt;.001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FB4BB0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3776C5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83EE9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.002</w:t>
            </w:r>
          </w:p>
        </w:tc>
      </w:tr>
      <w:tr w:rsidR="0010438F" w14:paraId="67ECCD67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80B6AC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ECA4B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177340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9–17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514CC7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6–14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F3A5DF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32F5D4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10–17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B19B9E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5–13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4FE3966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27700816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90CFF9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Clinical stage, n (%)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8737FC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7B7EB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 (31.0%)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AB802F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 (53.4%)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57856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&lt;.001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A5333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 (27.0%)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AB397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 (56.5%)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7C8A50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.008</w:t>
            </w:r>
          </w:p>
        </w:tc>
      </w:tr>
      <w:tr w:rsidR="0010438F" w14:paraId="1B2189EE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F30837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8EDFB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IA2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92AA44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 (69.0%)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EE69B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 (46.6%)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59F3BD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E848F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 (73.0%)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4310A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 (43.5%)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2E1CA7A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3769E269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0B5409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Pathological size (mm)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47C6FA5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D3F82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2E43A6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A13E6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&lt;.001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CE4167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53DADD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43D5B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.43</w:t>
            </w:r>
          </w:p>
        </w:tc>
      </w:tr>
      <w:tr w:rsidR="0010438F" w14:paraId="27B26924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41F9A54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706D9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3293B6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15–22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FD8E0D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12–20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37878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358236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13–21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75432C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13–20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42D44BB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7B28CE32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784E31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Pathological invasion size (mm)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5C658C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FB08B1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D5036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EFEDD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&lt;.001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F843B2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EDD3BA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46474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.14</w:t>
            </w:r>
          </w:p>
        </w:tc>
      </w:tr>
      <w:tr w:rsidR="0010438F" w14:paraId="14117249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7B53D7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4C4CB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7284B7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8–18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FE3200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6–15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7502953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94E0FE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8–18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2C4AD9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6–14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E454FC2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20892D82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5A25D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Pathological stage, n (%)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969D82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97565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 (3.0%)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D75A1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 (11.7%)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4A6DC3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.005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5B4A5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 (8.1%)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3F474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 (17.4%)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9DD1D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.07</w:t>
            </w:r>
          </w:p>
        </w:tc>
      </w:tr>
      <w:tr w:rsidR="0010438F" w14:paraId="146FFE8D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A39171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0F8541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IA1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77C2F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 (32.0%)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803C7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 (44.2%)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9CE2A0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AEC08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 (24.3%)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1DFCC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 (39.1%)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5771512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4D22DFE8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8524BE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DF455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IA2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7517C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 (35.0%)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1D944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 (30.1%)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1CDDB47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62262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 (37.8%)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5FA86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 (34.8%)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9CD1EC8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529A2AC1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F4ADDC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BE9DF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IA3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BE42A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(5.0%)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0EDBA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 (3.7%)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40E56BD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2250E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 (10.8%)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856E6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(2.2%)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E934C5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24C18640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6708FF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D12B81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IB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7EB9E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 (11.0%)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AF663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 (6.7%)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CF0C011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052AA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 (8.1%)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42711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 (6.5%)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F9FF3D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1411366F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481CD8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874AE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IIB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51883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 (9.0%)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E3690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 (2.5%)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E41945B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E513F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 (10.8%)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3AD6D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350210F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6120FDCE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3620F12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E9221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IIIA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CCE22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(5.0%)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0DF02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(1.2%)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C2E24F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70B7E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74B220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647674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1B8A90DA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B5B47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Histological type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D9BB0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Adenocarcinoma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EA094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 (85.0%)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722EE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 (93.3%)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7D11A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.035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1A278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 (89.2%)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6C32C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 (89.1%)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9E5AF8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10438F" w14:paraId="67BE2B2B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DE3BC62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BED67E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Other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375FE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 (15.0)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675A1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 (6.7%)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AF711B9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6FAE1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 (10.8%)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757D1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(10.9%)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C4BEC89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2532AF8D" w14:textId="77777777" w:rsidTr="006C6D6C">
        <w:trPr>
          <w:trHeight w:val="360"/>
        </w:trPr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8B03F1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Pleural invasion, n (%)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22D69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Yes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08E645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 (14.0%)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AC84D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 (7.4%)</w:t>
            </w:r>
          </w:p>
        </w:tc>
        <w:tc>
          <w:tcPr>
            <w:tcW w:w="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713C7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.09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2A886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(13.5%)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C1026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(4.3)</w:t>
            </w:r>
          </w:p>
        </w:tc>
        <w:tc>
          <w:tcPr>
            <w:tcW w:w="5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E873CC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.23</w:t>
            </w:r>
          </w:p>
        </w:tc>
      </w:tr>
      <w:tr w:rsidR="0010438F" w14:paraId="73D2C432" w14:textId="77777777" w:rsidTr="006C6D6C">
        <w:trPr>
          <w:trHeight w:val="360"/>
        </w:trPr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857C61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Lymphovascular invasion, n (%)</w:t>
            </w:r>
          </w:p>
        </w:tc>
        <w:tc>
          <w:tcPr>
            <w:tcW w:w="14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016C0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Yes</w:t>
            </w:r>
          </w:p>
        </w:tc>
        <w:tc>
          <w:tcPr>
            <w:tcW w:w="10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99493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 (30.0%)</w:t>
            </w:r>
          </w:p>
        </w:tc>
        <w:tc>
          <w:tcPr>
            <w:tcW w:w="13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9B921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 (14.7%)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3F2EA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.004</w:t>
            </w:r>
          </w:p>
        </w:tc>
        <w:tc>
          <w:tcPr>
            <w:tcW w:w="10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EE8BE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 (16.2%)</w:t>
            </w:r>
          </w:p>
        </w:tc>
        <w:tc>
          <w:tcPr>
            <w:tcW w:w="13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79C35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 (30.4%)</w:t>
            </w:r>
          </w:p>
        </w:tc>
        <w:tc>
          <w:tcPr>
            <w:tcW w:w="5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485AD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.20</w:t>
            </w:r>
          </w:p>
        </w:tc>
      </w:tr>
    </w:tbl>
    <w:p w14:paraId="77BDB25D" w14:textId="77777777" w:rsidR="0010438F" w:rsidRDefault="00A46182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DLCO, diffusing lung capacity for carbon monoxide; FEV, forced expiratory volume; HA-ESM, height-adjusted erector spinae muscle; IQR, interquartile range; .</w:t>
      </w:r>
    </w:p>
    <w:p w14:paraId="437091E5" w14:textId="77777777" w:rsidR="0010438F" w:rsidRDefault="0010438F">
      <w:pPr>
        <w:rPr>
          <w:rFonts w:ascii="Times New Roman" w:eastAsia="Times New Roman" w:hAnsi="Times New Roman" w:cs="Times New Roman"/>
          <w:sz w:val="24"/>
        </w:rPr>
      </w:pPr>
    </w:p>
    <w:p w14:paraId="5099DEA0" w14:textId="77777777" w:rsidR="0010438F" w:rsidRDefault="0010438F">
      <w:pPr>
        <w:rPr>
          <w:rFonts w:ascii="Times New Roman" w:eastAsia="Times New Roman" w:hAnsi="Times New Roman" w:cs="Times New Roman"/>
          <w:sz w:val="24"/>
        </w:rPr>
      </w:pPr>
    </w:p>
    <w:p w14:paraId="39FE7133" w14:textId="77777777" w:rsidR="0010438F" w:rsidRDefault="00A46182">
      <w:pPr>
        <w:widowControl/>
        <w:spacing w:after="160" w:line="259" w:lineRule="auto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2"/>
        </w:rPr>
        <w:br w:type="page"/>
      </w:r>
    </w:p>
    <w:p w14:paraId="71497988" w14:textId="77777777" w:rsidR="0010438F" w:rsidRDefault="00A46182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Supplementary Table 2. Baseline characteristics of patients in the lobectomy and segmentectomy groups after propensity score matching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4"/>
        <w:gridCol w:w="318"/>
        <w:gridCol w:w="350"/>
        <w:gridCol w:w="1109"/>
        <w:gridCol w:w="138"/>
        <w:gridCol w:w="238"/>
        <w:gridCol w:w="751"/>
        <w:gridCol w:w="505"/>
        <w:gridCol w:w="456"/>
        <w:gridCol w:w="346"/>
        <w:gridCol w:w="194"/>
        <w:gridCol w:w="133"/>
        <w:gridCol w:w="598"/>
        <w:gridCol w:w="416"/>
        <w:gridCol w:w="805"/>
        <w:gridCol w:w="97"/>
        <w:gridCol w:w="84"/>
        <w:gridCol w:w="516"/>
      </w:tblGrid>
      <w:tr w:rsidR="006C6D6C" w14:paraId="4B67DA6B" w14:textId="77777777" w:rsidTr="006C6D6C">
        <w:trPr>
          <w:trHeight w:val="360"/>
        </w:trPr>
        <w:tc>
          <w:tcPr>
            <w:tcW w:w="2452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AC8459A" w14:textId="77777777" w:rsidR="006C6D6C" w:rsidRDefault="006C6D6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Factor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4FA5E06" w14:textId="59281D1F" w:rsidR="006C6D6C" w:rsidRDefault="006C6D6C" w:rsidP="006C6D6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88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705D42E" w14:textId="4B7B101D" w:rsidR="006C6D6C" w:rsidRDefault="006C6D6C" w:rsidP="006C6D6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Lobectomy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5A9AE9E" w14:textId="77777777" w:rsidR="006C6D6C" w:rsidRDefault="006C6D6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099CCF4C" w14:textId="77777777" w:rsidR="006C6D6C" w:rsidRDefault="006C6D6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Segmentectomy</w:t>
            </w:r>
          </w:p>
        </w:tc>
        <w:tc>
          <w:tcPr>
            <w:tcW w:w="69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5FC95FAA" w14:textId="77777777" w:rsidR="006C6D6C" w:rsidRDefault="006C6D6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0859B1A2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A3316A8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4F9186D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32AEEE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High HA–ESM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11CF86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Low HA–ESM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F7350E2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F2951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High HA–ESM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64D720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Low HA–ESM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1C9A55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601257E4" w14:textId="77777777" w:rsidTr="006C6D6C">
        <w:trPr>
          <w:trHeight w:val="360"/>
        </w:trPr>
        <w:tc>
          <w:tcPr>
            <w:tcW w:w="17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0045FA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897584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6E1FC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n=43</w:t>
            </w:r>
          </w:p>
        </w:tc>
        <w:tc>
          <w:tcPr>
            <w:tcW w:w="96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C69C9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n=43</w:t>
            </w:r>
          </w:p>
        </w:tc>
        <w:tc>
          <w:tcPr>
            <w:tcW w:w="5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7231A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P</w:t>
            </w:r>
          </w:p>
        </w:tc>
        <w:tc>
          <w:tcPr>
            <w:tcW w:w="1147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E6F97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n=41</w:t>
            </w:r>
          </w:p>
        </w:tc>
        <w:tc>
          <w:tcPr>
            <w:tcW w:w="986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FCBCA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n=41</w:t>
            </w:r>
          </w:p>
        </w:tc>
        <w:tc>
          <w:tcPr>
            <w:tcW w:w="5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DECAA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P</w:t>
            </w:r>
          </w:p>
        </w:tc>
      </w:tr>
      <w:tr w:rsidR="0010438F" w14:paraId="119DE620" w14:textId="77777777" w:rsidTr="006C6D6C">
        <w:trPr>
          <w:trHeight w:val="400"/>
        </w:trPr>
        <w:tc>
          <w:tcPr>
            <w:tcW w:w="17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AC2A82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Age, years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8B9062E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D2EE6C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1B5858D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2755870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.88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1728E2B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168F616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15985FB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.63</w:t>
            </w:r>
          </w:p>
        </w:tc>
      </w:tr>
      <w:tr w:rsidR="0010438F" w14:paraId="25E3CD10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9214E4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3862AC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A2E0D1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63–76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3B821F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63–75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FAC915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500FCC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64–72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1ED2E9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63–72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3210C5C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39B34EE3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3EACA9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Sex, n (%)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72970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Male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118B3E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 (53.5%)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BBA358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 (60.5%)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A5487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.66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CDB2E0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 (46.3%)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812F4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 (48.8%)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FFE9A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10438F" w14:paraId="327A1D51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E61C2E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Smoking status, n (%)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D3CFA6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Smoker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D2035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 (53.5%)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7D64FD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 (58.1%)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3C17FB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.83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14D411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 (56.1%)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BC6A5E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 (53.7%)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ED7A8F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10438F" w14:paraId="0FDF4479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C3839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FEV1, n (%)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9B3509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≥70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14E483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 (79.1%)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334B3A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 (81.4%)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DBFEE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DCFC95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 (80.5%)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76B5F5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 (68.3%)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34DBC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.31</w:t>
            </w:r>
          </w:p>
        </w:tc>
      </w:tr>
      <w:tr w:rsidR="0010438F" w14:paraId="3BD63381" w14:textId="77777777" w:rsidTr="006C6D6C">
        <w:trPr>
          <w:trHeight w:val="40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5282C5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Charlson Comorbidity Index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6F648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6F97C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71DD7B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EE9C3C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.44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9086E8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385049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0DDCA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.24</w:t>
            </w:r>
          </w:p>
        </w:tc>
      </w:tr>
      <w:tr w:rsidR="0010438F" w14:paraId="1DA3432A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82B10F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CF5414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7D975F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2–3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C8FFB8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2–4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B1E9C7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62287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2–3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EB67D3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2–4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9EFBFF1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17F5A606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546818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Hypertension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2A1F4A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Yes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AFF00B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 (34.9%)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3CA89F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 (34.9%)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1B0E9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50B6C2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 (29.3%)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2400D8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 (14.6%)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E5397D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.18</w:t>
            </w:r>
          </w:p>
        </w:tc>
      </w:tr>
      <w:tr w:rsidR="0010438F" w14:paraId="0DD06C06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EEE92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Myocardial infarction or heart failure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73671D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Yes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B47BD9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 (7.0%)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A41460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 (7.0%)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27BA1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01B6F8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 (7.3%)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7937AF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0(0%)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FE0600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.24</w:t>
            </w:r>
          </w:p>
        </w:tc>
      </w:tr>
      <w:tr w:rsidR="0010438F" w14:paraId="2F7702FB" w14:textId="77777777" w:rsidTr="006C6D6C">
        <w:trPr>
          <w:trHeight w:val="40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CCCB5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%FEV1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A0B18D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5C840D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95.1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E6D6BE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96.8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6D13BE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.77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3F5107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94.7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B84D05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93.8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13954C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.91</w:t>
            </w:r>
          </w:p>
        </w:tc>
      </w:tr>
      <w:tr w:rsidR="0010438F" w14:paraId="6E6FA714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BA2E1B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8769E6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F656D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85.5–110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E6EA8D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85.1–110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64EEF35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D3B8E3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84.8–111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0CB6BC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84.8–101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6F3B4E6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4C86FD1D" w14:textId="77777777" w:rsidTr="006C6D6C">
        <w:trPr>
          <w:trHeight w:val="40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69AE10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%DLCO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47892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C64B7B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80.8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EE8C39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78.3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A3749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.40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3BC48F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77.7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48784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78.1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C3B5DB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.76</w:t>
            </w:r>
          </w:p>
        </w:tc>
      </w:tr>
      <w:tr w:rsidR="0010438F" w14:paraId="5A1C2B67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A90DE2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869AD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EE771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70.6–92.7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A5B1FC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67.6–87.2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DF8D4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F3CCC0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67.7–87.5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A6B97C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70.9–84.6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CA9D34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28F3DF3F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BA06F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Operation side, n (%)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AA88A0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Right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54839D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 (83.7%)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EE0C80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 (79.1%)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6667D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.78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3AB99D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 (48.8%)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38F5E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 (36.6%)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3DF53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.37</w:t>
            </w:r>
          </w:p>
        </w:tc>
      </w:tr>
      <w:tr w:rsidR="0010438F" w14:paraId="6562A4B2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C83F31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2D0355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Left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0E5A72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 (16.3%)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4948E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 (20.9%)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7E63F7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CDD9D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 (51.2%)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2B2FA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 (63.4%)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DCEE637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43EFE054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551CE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Operation lobe, n (%)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429466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Upper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543D5A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 (55.8%)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6688E9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 (58.1%)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33C4D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.96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112977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 (53.7%)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14873F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 (63.4%)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94864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.38</w:t>
            </w:r>
          </w:p>
        </w:tc>
      </w:tr>
      <w:tr w:rsidR="0010438F" w14:paraId="59E018FD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7DD97E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0DB4F4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lower 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7E3C9F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 (23.3%)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8C89E1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 (18.6%)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366A902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6E8FD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 (41.5%)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090E3F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 (36.6%)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86C27D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07B4C570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2B8B30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876BC7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Middle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03EAC1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 (18.6%)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F5D303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 (20.9%)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50EC456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8EC66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5D0E0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EEF91AF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54369C28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070B84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5198C6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Bilobe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F5ECB4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(2.3%)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A868F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(2.3%)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1CF71D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E503CF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(4.9%)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3EEDF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3B5B9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66424B4A" w14:textId="77777777" w:rsidTr="006C6D6C">
        <w:trPr>
          <w:trHeight w:val="40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</w:tcPr>
          <w:p w14:paraId="4E11899D" w14:textId="77777777" w:rsidR="0010438F" w:rsidRDefault="00A4618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Deauville score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D9392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7192C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119F7A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C3E7D1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.57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51906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81DBBC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7BA6F0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.36</w:t>
            </w:r>
          </w:p>
        </w:tc>
      </w:tr>
      <w:tr w:rsidR="0010438F" w14:paraId="3EBCBF5B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</w:tcPr>
          <w:p w14:paraId="184F375E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20BD0B0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A51CAF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2–3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EE4A6E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2–4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4E3835F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733A7C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2–3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3B970F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1–3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C2E7EA2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7826A51E" w14:textId="77777777" w:rsidTr="006C6D6C">
        <w:trPr>
          <w:trHeight w:val="400"/>
        </w:trPr>
        <w:tc>
          <w:tcPr>
            <w:tcW w:w="2102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05C9DE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Whole tumor size on CT (mm)</w:t>
            </w:r>
          </w:p>
        </w:tc>
        <w:tc>
          <w:tcPr>
            <w:tcW w:w="1835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B1E323F" w14:textId="77777777" w:rsidR="0010438F" w:rsidRDefault="00A46182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</w:t>
            </w:r>
          </w:p>
        </w:tc>
        <w:tc>
          <w:tcPr>
            <w:tcW w:w="1256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07A8A9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</w:t>
            </w:r>
          </w:p>
        </w:tc>
        <w:tc>
          <w:tcPr>
            <w:tcW w:w="802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8242F8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.82</w:t>
            </w:r>
          </w:p>
        </w:tc>
        <w:tc>
          <w:tcPr>
            <w:tcW w:w="925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F412CD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1318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262B85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046689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.15</w:t>
            </w:r>
          </w:p>
        </w:tc>
      </w:tr>
      <w:tr w:rsidR="0010438F" w14:paraId="1CA89246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99684E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4374A5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3DE9E9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14–23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E7770C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15–22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2E9125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0830A9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13–18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E39132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13–20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EA074AA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605D1056" w14:textId="77777777" w:rsidTr="006C6D6C">
        <w:trPr>
          <w:trHeight w:val="400"/>
        </w:trPr>
        <w:tc>
          <w:tcPr>
            <w:tcW w:w="2102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004C4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Solid tumor size on CT (mm)</w:t>
            </w:r>
          </w:p>
        </w:tc>
        <w:tc>
          <w:tcPr>
            <w:tcW w:w="1835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7B89F3" w14:textId="77777777" w:rsidR="0010438F" w:rsidRDefault="00A46182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1256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6680BA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802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094512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.64</w:t>
            </w:r>
          </w:p>
        </w:tc>
        <w:tc>
          <w:tcPr>
            <w:tcW w:w="925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FAEBB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1318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931801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B0B6CE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.12</w:t>
            </w:r>
          </w:p>
        </w:tc>
      </w:tr>
      <w:tr w:rsidR="0010438F" w14:paraId="1BDB4189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48A535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F6C6A9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430042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9–17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1C464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10–17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C1D4AA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B08255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8–15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28C910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5–12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5A4BC5F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37F0F265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6DE103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Clinical stage, n (%)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5E0B6E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IA1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9E93E8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 (30.2%)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11548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 (25.6%)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E5A14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.81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F69FF6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 (53.7%)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077287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 (56.1%)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58639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10438F" w14:paraId="077B6689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8FD29A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8F237A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IA2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F50EEB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 (69.8%)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EE3A66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 (74.4%)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E735372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95525B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 (46.3%)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293B2B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 (43.9%)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73C1841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05EF02BF" w14:textId="77777777" w:rsidTr="006C6D6C">
        <w:trPr>
          <w:trHeight w:val="40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193EF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Pathological size (mm)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791F946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614E75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AFAF60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8BE329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.45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3A73A2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16E8A3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8BA161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.23</w:t>
            </w:r>
          </w:p>
        </w:tc>
      </w:tr>
      <w:tr w:rsidR="0010438F" w14:paraId="06E365E6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49134F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7680D6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83961F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14–21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C71155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15–25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4D13DC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CFFA38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12–18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632671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13–20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AA85F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772548E3" w14:textId="77777777" w:rsidTr="006C6D6C">
        <w:trPr>
          <w:trHeight w:val="40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C8EF83" w14:textId="76E0B4E9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Pathological invasive size (mm)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994EF5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Median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B76C2B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6193C7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131E52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.28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2317C1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F722D3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A3C521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.51</w:t>
            </w:r>
          </w:p>
        </w:tc>
      </w:tr>
      <w:tr w:rsidR="0010438F" w14:paraId="4683A757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6A3043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CA67A9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IQR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F798D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8–18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AF066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10–19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D96AF1B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C8966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7–15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23E76A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6–13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5A0BC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72938C36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B795B6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Pathological stage, n (%)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F7508A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ED9ADC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(4.7%)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EC77A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 (7.0%)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DB6D24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.11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9AEBA3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(4.9%)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2C00D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 (19.5%)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6291EE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.15</w:t>
            </w:r>
          </w:p>
        </w:tc>
      </w:tr>
      <w:tr w:rsidR="0010438F" w14:paraId="1C78F952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76DCF8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07D88E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IA1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00B9DD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 (44.2%)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8B354A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 (23.3%)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2C2E402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B1DEB2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 (36.6%)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7B90E7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 (39.0%)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16C8D63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2D6A6376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017004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33304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IA2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8CF0F8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 (32.6%)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A9430D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 (41.9%)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222B725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8D8D6D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 (43.9%)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1B6CC2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 (34.1%)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CC1AF2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36308FBE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766122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794932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IA3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CF9AF9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1D24F6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(11.6%)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C3D25EA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0E479B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1F51E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(2.4%)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95E9A0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3AFD5103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7462B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21B8071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IB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1B37F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(4.7%)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33E8F5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(4.7%)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0EC911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C44425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(12.2%)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1B1875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 (4.9%)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2A264AE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2A96F14A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19A5DA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FC53CB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IIB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027640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(11.6%)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35D6E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(11.6%)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682651D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36DD36A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(2.4%)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754671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C03D88A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14145C3C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BB35E79" w14:textId="77777777" w:rsidR="0010438F" w:rsidRDefault="0010438F">
            <w:pPr>
              <w:widowControl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3C49C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IIIA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2E85BCC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(2.3%)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716738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35AFAC0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452897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D71764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 (0%)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D32A8D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18BF7F33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232AA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Histological type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2960F4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Adenocarcinoma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79415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 (86.0%)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CC722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 (88.4%)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435FC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BE8F4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 (80.5%)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8AF73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 (90.2%)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C3C1A08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.35</w:t>
            </w:r>
          </w:p>
        </w:tc>
      </w:tr>
      <w:tr w:rsidR="0010438F" w14:paraId="5D1D4228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7F7649" w14:textId="77777777" w:rsidR="0010438F" w:rsidRDefault="0010438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E98F30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Other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C26CE8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 (14.0%)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7CEADD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(11.6%)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EF02158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3BF9B3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 (19.5%)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E6FB81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 (9.8%)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84B5589" w14:textId="77777777" w:rsidR="0010438F" w:rsidRDefault="001043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10438F" w14:paraId="3B81AFFF" w14:textId="77777777" w:rsidTr="006C6D6C">
        <w:trPr>
          <w:trHeight w:val="360"/>
        </w:trPr>
        <w:tc>
          <w:tcPr>
            <w:tcW w:w="17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7FED1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Pleural invasion, n (%)</w:t>
            </w:r>
          </w:p>
        </w:tc>
        <w:tc>
          <w:tcPr>
            <w:tcW w:w="19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B88A04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Yes</w:t>
            </w:r>
          </w:p>
        </w:tc>
        <w:tc>
          <w:tcPr>
            <w:tcW w:w="98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693876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 (9.3%)</w:t>
            </w:r>
          </w:p>
        </w:tc>
        <w:tc>
          <w:tcPr>
            <w:tcW w:w="96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BF67D9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 (9.3%)</w:t>
            </w:r>
          </w:p>
        </w:tc>
        <w:tc>
          <w:tcPr>
            <w:tcW w:w="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FF9DFD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5CC88E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 (14.6%)</w:t>
            </w:r>
          </w:p>
        </w:tc>
        <w:tc>
          <w:tcPr>
            <w:tcW w:w="986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C86BAA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 (2.4%)</w:t>
            </w:r>
          </w:p>
        </w:tc>
        <w:tc>
          <w:tcPr>
            <w:tcW w:w="5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7B3E5C0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.11</w:t>
            </w:r>
          </w:p>
        </w:tc>
      </w:tr>
      <w:tr w:rsidR="0010438F" w14:paraId="5EC4E3E9" w14:textId="77777777" w:rsidTr="006C6D6C">
        <w:trPr>
          <w:trHeight w:val="360"/>
        </w:trPr>
        <w:tc>
          <w:tcPr>
            <w:tcW w:w="17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499AC8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Lymphovascular invasion, n (%)</w:t>
            </w:r>
          </w:p>
        </w:tc>
        <w:tc>
          <w:tcPr>
            <w:tcW w:w="191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3DFFF" w14:textId="77777777" w:rsidR="0010438F" w:rsidRDefault="00A46182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Yes</w:t>
            </w:r>
          </w:p>
        </w:tc>
        <w:tc>
          <w:tcPr>
            <w:tcW w:w="98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74FE7F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 (27.9%)</w:t>
            </w:r>
          </w:p>
        </w:tc>
        <w:tc>
          <w:tcPr>
            <w:tcW w:w="96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542534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 (18.6%)</w:t>
            </w:r>
          </w:p>
        </w:tc>
        <w:tc>
          <w:tcPr>
            <w:tcW w:w="5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241847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.44</w:t>
            </w:r>
          </w:p>
        </w:tc>
        <w:tc>
          <w:tcPr>
            <w:tcW w:w="1147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C43436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 (17.1%)</w:t>
            </w:r>
          </w:p>
        </w:tc>
        <w:tc>
          <w:tcPr>
            <w:tcW w:w="986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13BBFB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 (26.8%)</w:t>
            </w:r>
          </w:p>
        </w:tc>
        <w:tc>
          <w:tcPr>
            <w:tcW w:w="5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1F6725" w14:textId="77777777" w:rsidR="0010438F" w:rsidRDefault="00A4618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.42</w:t>
            </w:r>
          </w:p>
        </w:tc>
      </w:tr>
    </w:tbl>
    <w:p w14:paraId="426849F2" w14:textId="77777777" w:rsidR="0010438F" w:rsidRDefault="00A46182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DLCO, diffusing lung capacity for carbon monoxide; FEV, forced expiratory volume; HA-ESM, height-adjusted erector spinae muscle; IQR, interquartile range.</w:t>
      </w:r>
    </w:p>
    <w:sectPr w:rsidR="0010438F">
      <w:type w:val="continuous"/>
      <w:pgSz w:w="12240" w:h="15840"/>
      <w:pgMar w:top="1440" w:right="1800" w:bottom="1440" w:left="180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D027F" w14:textId="77777777" w:rsidR="00026943" w:rsidRDefault="00026943" w:rsidP="00026943">
      <w:r>
        <w:separator/>
      </w:r>
    </w:p>
  </w:endnote>
  <w:endnote w:type="continuationSeparator" w:id="0">
    <w:p w14:paraId="52CE50BC" w14:textId="77777777" w:rsidR="00026943" w:rsidRDefault="00026943" w:rsidP="0002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F6D7C" w14:textId="77777777" w:rsidR="00026943" w:rsidRDefault="00026943" w:rsidP="00026943">
      <w:r>
        <w:separator/>
      </w:r>
    </w:p>
  </w:footnote>
  <w:footnote w:type="continuationSeparator" w:id="0">
    <w:p w14:paraId="69EF73CE" w14:textId="77777777" w:rsidR="00026943" w:rsidRDefault="00026943" w:rsidP="00026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438F"/>
    <w:rsid w:val="00026943"/>
    <w:rsid w:val="0007125F"/>
    <w:rsid w:val="0010438F"/>
    <w:rsid w:val="005C607A"/>
    <w:rsid w:val="006C6D6C"/>
    <w:rsid w:val="00821A87"/>
    <w:rsid w:val="00A46182"/>
    <w:rsid w:val="00AB301C"/>
    <w:rsid w:val="00CD6097"/>
    <w:rsid w:val="00E5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FA2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sz w:val="21"/>
    </w:rPr>
  </w:style>
  <w:style w:type="paragraph" w:styleId="1">
    <w:name w:val="heading 1"/>
    <w:basedOn w:val="a"/>
    <w:qFormat/>
    <w:pPr>
      <w:keepNext/>
      <w:keepLines/>
      <w:spacing w:before="280" w:after="80" w:line="259" w:lineRule="auto"/>
      <w:jc w:val="left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qFormat/>
    <w:pPr>
      <w:keepNext/>
      <w:keepLines/>
      <w:spacing w:before="160" w:after="80" w:line="259" w:lineRule="auto"/>
      <w:jc w:val="left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qFormat/>
    <w:pPr>
      <w:keepNext/>
      <w:keepLines/>
      <w:spacing w:before="160" w:after="80" w:line="259" w:lineRule="auto"/>
      <w:jc w:val="left"/>
      <w:outlineLvl w:val="2"/>
    </w:pPr>
    <w:rPr>
      <w:rFonts w:ascii="游ゴシック Light" w:eastAsia="游ゴシック Light" w:hAnsi="游ゴシック Light" w:cs="游ゴシック Light"/>
      <w:color w:val="000000"/>
      <w:sz w:val="24"/>
    </w:rPr>
  </w:style>
  <w:style w:type="paragraph" w:styleId="4">
    <w:name w:val="heading 4"/>
    <w:basedOn w:val="a"/>
    <w:pPr>
      <w:keepNext/>
      <w:keepLines/>
      <w:spacing w:before="80" w:after="40" w:line="259" w:lineRule="auto"/>
      <w:jc w:val="left"/>
      <w:outlineLvl w:val="3"/>
    </w:pPr>
    <w:rPr>
      <w:rFonts w:ascii="游ゴシック Light" w:eastAsia="游ゴシック Light" w:hAnsi="游ゴシック Light" w:cs="游ゴシック Light"/>
      <w:color w:val="000000"/>
      <w:sz w:val="22"/>
    </w:rPr>
  </w:style>
  <w:style w:type="paragraph" w:styleId="5">
    <w:name w:val="heading 5"/>
    <w:basedOn w:val="a"/>
    <w:pPr>
      <w:keepNext/>
      <w:keepLines/>
      <w:spacing w:before="80" w:after="40" w:line="259" w:lineRule="auto"/>
      <w:ind w:left="100"/>
      <w:jc w:val="left"/>
      <w:outlineLvl w:val="4"/>
    </w:pPr>
    <w:rPr>
      <w:rFonts w:ascii="游ゴシック Light" w:eastAsia="游ゴシック Light" w:hAnsi="游ゴシック Light" w:cs="游ゴシック Light"/>
      <w:color w:val="000000"/>
      <w:sz w:val="22"/>
    </w:rPr>
  </w:style>
  <w:style w:type="paragraph" w:styleId="6">
    <w:name w:val="heading 6"/>
    <w:basedOn w:val="a"/>
    <w:pPr>
      <w:keepNext/>
      <w:keepLines/>
      <w:spacing w:before="80" w:after="40" w:line="259" w:lineRule="auto"/>
      <w:ind w:left="200"/>
      <w:jc w:val="left"/>
      <w:outlineLvl w:val="5"/>
    </w:pPr>
    <w:rPr>
      <w:rFonts w:ascii="游ゴシック Light" w:eastAsia="游ゴシック Light" w:hAnsi="游ゴシック Light" w:cs="游ゴシック Light"/>
      <w:color w:val="000000"/>
      <w:sz w:val="22"/>
    </w:rPr>
  </w:style>
  <w:style w:type="paragraph" w:styleId="7">
    <w:name w:val="heading 7"/>
    <w:basedOn w:val="a"/>
    <w:pPr>
      <w:keepNext/>
      <w:keepLines/>
      <w:spacing w:before="80" w:after="40" w:line="259" w:lineRule="auto"/>
      <w:ind w:left="300"/>
      <w:jc w:val="left"/>
      <w:outlineLvl w:val="6"/>
    </w:pPr>
    <w:rPr>
      <w:rFonts w:ascii="游ゴシック Light" w:eastAsia="游ゴシック Light" w:hAnsi="游ゴシック Light" w:cs="游ゴシック Light"/>
      <w:color w:val="000000"/>
      <w:sz w:val="22"/>
    </w:rPr>
  </w:style>
  <w:style w:type="paragraph" w:styleId="8">
    <w:name w:val="heading 8"/>
    <w:basedOn w:val="a"/>
    <w:pPr>
      <w:keepNext/>
      <w:keepLines/>
      <w:spacing w:before="80" w:after="40" w:line="259" w:lineRule="auto"/>
      <w:ind w:left="400"/>
      <w:jc w:val="left"/>
      <w:outlineLvl w:val="7"/>
    </w:pPr>
    <w:rPr>
      <w:rFonts w:ascii="游ゴシック Light" w:eastAsia="游ゴシック Light" w:hAnsi="游ゴシック Light" w:cs="游ゴシック Light"/>
      <w:color w:val="000000"/>
      <w:sz w:val="22"/>
    </w:rPr>
  </w:style>
  <w:style w:type="paragraph" w:styleId="9">
    <w:name w:val="heading 9"/>
    <w:basedOn w:val="a"/>
    <w:pPr>
      <w:keepNext/>
      <w:keepLines/>
      <w:spacing w:before="80" w:after="40" w:line="259" w:lineRule="auto"/>
      <w:ind w:left="500"/>
      <w:jc w:val="left"/>
      <w:outlineLvl w:val="8"/>
    </w:pPr>
    <w:rPr>
      <w:rFonts w:ascii="游ゴシック Light" w:eastAsia="游ゴシック Light" w:hAnsi="游ゴシック Light" w:cs="游ゴシック Light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Title"/>
    <w:basedOn w:val="a"/>
    <w:qFormat/>
    <w:pPr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8">
    <w:name w:val="Subtitle"/>
    <w:basedOn w:val="a"/>
    <w:qFormat/>
    <w:pPr>
      <w:spacing w:after="160" w:line="259" w:lineRule="auto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styleId="a9">
    <w:name w:val="Quote"/>
    <w:basedOn w:val="a"/>
    <w:qFormat/>
    <w:pPr>
      <w:spacing w:before="160" w:after="160" w:line="259" w:lineRule="auto"/>
      <w:jc w:val="center"/>
    </w:pPr>
    <w:rPr>
      <w:i/>
      <w:color w:val="404040"/>
      <w:sz w:val="22"/>
    </w:rPr>
  </w:style>
  <w:style w:type="paragraph" w:styleId="aa">
    <w:name w:val="List Paragraph"/>
    <w:basedOn w:val="a"/>
    <w:pPr>
      <w:spacing w:after="160" w:line="259" w:lineRule="auto"/>
      <w:ind w:left="720"/>
      <w:contextualSpacing/>
      <w:jc w:val="left"/>
    </w:pPr>
    <w:rPr>
      <w:sz w:val="22"/>
    </w:rPr>
  </w:style>
  <w:style w:type="character" w:styleId="21">
    <w:name w:val="Intense Emphasis"/>
    <w:basedOn w:val="a0"/>
    <w:qFormat/>
    <w:rPr>
      <w:i/>
      <w:color w:val="0F4761"/>
    </w:rPr>
  </w:style>
  <w:style w:type="paragraph" w:styleId="22">
    <w:name w:val="Intense Quote"/>
    <w:basedOn w:val="a"/>
    <w:qFormat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/>
      <w:jc w:val="center"/>
    </w:pPr>
    <w:rPr>
      <w:i/>
      <w:color w:val="0F4761"/>
      <w:sz w:val="22"/>
    </w:rPr>
  </w:style>
  <w:style w:type="character" w:styleId="23">
    <w:name w:val="Intense Reference"/>
    <w:basedOn w:val="a0"/>
    <w:rPr>
      <w:b/>
      <w:color w:val="0F4761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</w:r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</w:rPr>
  </w:style>
  <w:style w:type="paragraph" w:styleId="ad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paragraph" w:styleId="ae">
    <w:name w:val="Revision"/>
    <w:pPr>
      <w:spacing w:after="0" w:line="240" w:lineRule="auto"/>
    </w:pPr>
    <w:rPr>
      <w:sz w:val="21"/>
    </w:rPr>
  </w:style>
  <w:style w:type="paragraph" w:styleId="af">
    <w:name w:val="annotation subject"/>
    <w:basedOn w:val="ad"/>
    <w:rPr>
      <w:b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af0">
    <w:name w:val="footnote text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styleId="24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styleId="af1">
    <w:name w:val="endnote text"/>
    <w:basedOn w:val="a"/>
    <w:rPr>
      <w:rFonts w:ascii="Calibri" w:eastAsia="Calibri" w:hAnsi="Calibri" w:cs="Calibri"/>
    </w:rPr>
  </w:style>
  <w:style w:type="paragraph" w:styleId="af2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styleId="af3">
    <w:name w:val="Hyperlink"/>
    <w:basedOn w:val="a0"/>
    <w:rPr>
      <w:color w:val="0563C1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4">
    <w:name w:val="Normal Indent"/>
    <w:basedOn w:val="a"/>
    <w:qFormat/>
    <w:pPr>
      <w:ind w:firstLine="480"/>
    </w:pPr>
    <w:rPr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styleId="af5">
    <w:name w:val="Balloon Text"/>
    <w:basedOn w:val="a"/>
    <w:rPr>
      <w:rFonts w:ascii="Calibri" w:eastAsia="Calibri" w:hAnsi="Calibri" w:cs="Calibri"/>
      <w:color w:val="000000"/>
      <w:sz w:val="16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6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styleId="af7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8">
    <w:name w:val="line number"/>
    <w:basedOn w:val="a0"/>
    <w:uiPriority w:val="99"/>
    <w:rsid w:val="00A46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4277</Characters>
  <Application>Microsoft Office Word</Application>
  <DocSecurity>0</DocSecurity>
  <Lines>35</Lines>
  <Paragraphs>10</Paragraphs>
  <ScaleCrop>false</ScaleCrop>
  <Manager/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2024-04-23T14:11:00Z</dcterms:created>
  <dcterms:modified xsi:type="dcterms:W3CDTF">2024-10-04T04:47:00Z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971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2</vt:lpwstr>
  </property>
  <property fmtid="{D5CDD505-2E9C-101B-9397-08002B2CF9AE}" pid="20" name="Merops figures count">
    <vt:lpwstr>0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587f31f6-aeb7-48ad-bd70-958a50aa8126.docx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587f31f6-aeb7-48ad-bd70-958a50aa8126.docx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MG-Session/On-20240423/I:78ad24d7-4a52-44a9-a1f2-f31496063d7f</vt:lpwstr>
  </property>
  <property fmtid="{D5CDD505-2E9C-101B-9397-08002B2CF9AE}" pid="32" name="Merops processed date">
    <vt:lpwstr>2024/04/23 11:15:51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2</vt:lpwstr>
  </property>
</Properties>
</file>