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7395" w:rsidRPr="007F7395" w:rsidRDefault="007F7395" w:rsidP="007F7395">
      <w:pPr>
        <w:tabs>
          <w:tab w:val="left" w:pos="620"/>
        </w:tabs>
        <w:snapToGrid w:val="0"/>
        <w:spacing w:line="160" w:lineRule="atLeast"/>
        <w:jc w:val="left"/>
        <w:rPr>
          <w:rFonts w:ascii="Times New Roman" w:hAnsi="Times New Roman" w:cs="Times New Roman"/>
          <w:b/>
          <w:bCs/>
          <w:sz w:val="24"/>
        </w:rPr>
      </w:pPr>
      <w:r w:rsidRPr="007F7395"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upplementary </w:t>
      </w:r>
      <w:r w:rsidRPr="007F7395">
        <w:rPr>
          <w:rFonts w:ascii="Times New Roman" w:hAnsi="Times New Roman" w:cs="Times New Roman"/>
          <w:b/>
          <w:bCs/>
          <w:sz w:val="24"/>
        </w:rPr>
        <w:t>Figure 1. Correlation Between Tumor Burden Score (TBS) and AFP Levels at Preoperative and Postoperative Time Points (6 and 12 Months)</w:t>
      </w:r>
    </w:p>
    <w:p w:rsidR="00B0585E" w:rsidRPr="007F7395" w:rsidRDefault="007F7395" w:rsidP="007F7395">
      <w:pPr>
        <w:tabs>
          <w:tab w:val="left" w:pos="620"/>
        </w:tabs>
        <w:snapToGrid w:val="0"/>
        <w:spacing w:line="160" w:lineRule="atLeast"/>
        <w:jc w:val="left"/>
        <w:rPr>
          <w:rFonts w:ascii="Times New Roman" w:hAnsi="Times New Roman" w:cs="Times New Roman"/>
          <w:b/>
          <w:bCs/>
          <w:sz w:val="24"/>
        </w:rPr>
        <w:sectPr w:rsidR="00B0585E" w:rsidRPr="007F7395" w:rsidSect="00911344">
          <w:pgSz w:w="11906" w:h="16838"/>
          <w:pgMar w:top="1440" w:right="1080" w:bottom="1440" w:left="1080" w:header="720" w:footer="720" w:gutter="0"/>
          <w:cols w:space="720"/>
          <w:docGrid w:type="lines" w:linePitch="360"/>
        </w:sectPr>
      </w:pPr>
      <w:r w:rsidRPr="007F7395">
        <w:rPr>
          <w:rFonts w:ascii="Times New Roman" w:hAnsi="Times New Roman" w:cs="Times New Roman"/>
          <w:sz w:val="24"/>
        </w:rPr>
        <w:t>This figure illustrates the relationship between Tumor Burden Score (TBS) and log-transformed AFP levels at three time points: preoperatively, 6 months postoperatively, and 12 months postoperatively. The blue line represents AFP levels at the preoperative time point, the orange line shows AFP levels at 6 months postoperatively, and the green line depicts AFP levels at 12 months postoperatively. Shaded areas around each line indicate the 95% confidence intervals. Spearman correlation coefficients and corresponding p-values are provided to assess the strength and significance of the correlation at each time point.</w:t>
      </w:r>
      <w:r w:rsidRPr="007F7395">
        <w:rPr>
          <w:noProof/>
        </w:rPr>
        <w:t xml:space="preserve"> </w:t>
      </w:r>
      <w:r w:rsidRPr="007F7395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97CEE3D" wp14:editId="732FCD6B">
            <wp:extent cx="6188710" cy="3481070"/>
            <wp:effectExtent l="0" t="0" r="0" b="0"/>
            <wp:docPr id="113557980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57980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85E" w:rsidRDefault="00B0585E" w:rsidP="007F7395">
      <w:pPr>
        <w:tabs>
          <w:tab w:val="left" w:pos="620"/>
        </w:tabs>
        <w:snapToGrid w:val="0"/>
        <w:spacing w:line="160" w:lineRule="atLeast"/>
        <w:jc w:val="left"/>
        <w:rPr>
          <w:rFonts w:ascii="Times New Roman" w:hAnsi="Times New Roman" w:cs="Times New Roman"/>
          <w:b/>
          <w:bCs/>
          <w:sz w:val="24"/>
        </w:rPr>
      </w:pPr>
      <w:r w:rsidRPr="007F7395">
        <w:rPr>
          <w:rFonts w:ascii="Times New Roman" w:hAnsi="Times New Roman" w:cs="Times New Roman"/>
          <w:b/>
          <w:bCs/>
          <w:sz w:val="24"/>
        </w:rPr>
        <w:lastRenderedPageBreak/>
        <w:t>Supplementary Figure 2.</w:t>
      </w:r>
      <w:r w:rsidR="0051284E" w:rsidRPr="0051284E">
        <w:rPr>
          <w:rFonts w:ascii="Times New Roman" w:hAnsi="Times New Roman" w:cs="Times New Roman"/>
          <w:b/>
          <w:bCs/>
          <w:sz w:val="24"/>
        </w:rPr>
        <w:t xml:space="preserve"> Example Use of the Online Real-time Time-varying RFS Prediction Calculator for HCC Patients Based on AFP Levels</w:t>
      </w:r>
    </w:p>
    <w:p w:rsidR="001D6CFC" w:rsidRPr="001D6CFC" w:rsidRDefault="001D6CFC" w:rsidP="007F7395">
      <w:pPr>
        <w:tabs>
          <w:tab w:val="left" w:pos="620"/>
        </w:tabs>
        <w:snapToGrid w:val="0"/>
        <w:spacing w:line="160" w:lineRule="atLeast"/>
        <w:jc w:val="left"/>
        <w:rPr>
          <w:rFonts w:ascii="Times New Roman" w:hAnsi="Times New Roman" w:cs="Times New Roman"/>
          <w:sz w:val="24"/>
        </w:rPr>
      </w:pPr>
      <w:r w:rsidRPr="001D6CFC">
        <w:rPr>
          <w:rFonts w:ascii="Times New Roman" w:hAnsi="Times New Roman" w:cs="Times New Roman"/>
          <w:sz w:val="24"/>
        </w:rPr>
        <w:t>This figure demonstrates the use of an online calculator for predicting recurrence-free survival (RFS) in hepatocellular carcinoma (HCC) patients, based on AFP levels and other clinical data.</w:t>
      </w:r>
    </w:p>
    <w:p w:rsidR="00B0585E" w:rsidRPr="0051284E" w:rsidRDefault="001D6CFC" w:rsidP="007F7395">
      <w:pPr>
        <w:tabs>
          <w:tab w:val="left" w:pos="620"/>
        </w:tabs>
        <w:snapToGrid w:val="0"/>
        <w:spacing w:line="160" w:lineRule="atLeast"/>
        <w:jc w:val="left"/>
        <w:rPr>
          <w:rFonts w:ascii="Times New Roman" w:hAnsi="Times New Roman" w:cs="Times New Roman"/>
          <w:b/>
          <w:bCs/>
          <w:sz w:val="24"/>
        </w:rPr>
      </w:pPr>
      <w:r w:rsidRPr="001D6CFC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20C75B59" wp14:editId="4A189B8F">
            <wp:extent cx="6188710" cy="3481070"/>
            <wp:effectExtent l="0" t="0" r="0" b="0"/>
            <wp:docPr id="186222550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255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85E" w:rsidRPr="007F7395" w:rsidRDefault="00B0585E" w:rsidP="007F7395">
      <w:pPr>
        <w:tabs>
          <w:tab w:val="left" w:pos="620"/>
        </w:tabs>
        <w:snapToGrid w:val="0"/>
        <w:spacing w:line="160" w:lineRule="atLeast"/>
        <w:jc w:val="left"/>
        <w:rPr>
          <w:rFonts w:ascii="Times New Roman" w:hAnsi="Times New Roman" w:cs="Times New Roman"/>
          <w:sz w:val="24"/>
        </w:rPr>
        <w:sectPr w:rsidR="00B0585E" w:rsidRPr="007F7395" w:rsidSect="00911344">
          <w:pgSz w:w="11906" w:h="16838"/>
          <w:pgMar w:top="1440" w:right="1080" w:bottom="1440" w:left="1080" w:header="720" w:footer="720" w:gutter="0"/>
          <w:cols w:space="720"/>
          <w:docGrid w:type="lines" w:linePitch="360"/>
        </w:sectPr>
      </w:pPr>
    </w:p>
    <w:p w:rsidR="001D6CFC" w:rsidRPr="001D6CFC" w:rsidRDefault="00A74E59" w:rsidP="007F7395">
      <w:pPr>
        <w:snapToGrid w:val="0"/>
        <w:spacing w:line="160" w:lineRule="atLeast"/>
        <w:jc w:val="left"/>
        <w:rPr>
          <w:rFonts w:ascii="Times New Roman" w:hAnsi="Times New Roman" w:cs="Times New Roman"/>
          <w:b/>
          <w:bCs/>
          <w:sz w:val="24"/>
        </w:rPr>
      </w:pPr>
      <w:r w:rsidRPr="007F7395">
        <w:rPr>
          <w:rFonts w:ascii="Times New Roman" w:hAnsi="Times New Roman" w:cs="Times New Roman"/>
          <w:b/>
          <w:bCs/>
          <w:sz w:val="24"/>
        </w:rPr>
        <w:lastRenderedPageBreak/>
        <w:t>Supplementary Table 1: </w:t>
      </w:r>
      <w:r w:rsidR="007F7395" w:rsidRPr="007F7395">
        <w:rPr>
          <w:rFonts w:ascii="Times New Roman" w:hAnsi="Times New Roman" w:cs="Times New Roman"/>
          <w:b/>
          <w:bCs/>
          <w:sz w:val="24"/>
        </w:rPr>
        <w:t>Predictors of Recurrence-Free Survival in Cox Proportional Hazard Model: Univariate and Multivariate Analysis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77"/>
        <w:gridCol w:w="2269"/>
        <w:gridCol w:w="1132"/>
        <w:gridCol w:w="2269"/>
        <w:gridCol w:w="1099"/>
      </w:tblGrid>
      <w:tr w:rsidR="007F7395" w:rsidRPr="00BA54CD" w:rsidTr="00CF40B5">
        <w:trPr>
          <w:trHeight w:val="251"/>
        </w:trPr>
        <w:tc>
          <w:tcPr>
            <w:tcW w:w="1527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snapToGrid w:val="0"/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745" w:type="pct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A54CD">
              <w:rPr>
                <w:rFonts w:ascii="Times New Roman" w:hAnsi="Times New Roman" w:cs="Times New Roman"/>
                <w:b/>
                <w:bCs/>
                <w:sz w:val="24"/>
              </w:rPr>
              <w:t>Univariate</w:t>
            </w:r>
          </w:p>
        </w:tc>
        <w:tc>
          <w:tcPr>
            <w:tcW w:w="1728" w:type="pct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A54CD">
              <w:rPr>
                <w:rFonts w:ascii="Times New Roman" w:hAnsi="Times New Roman" w:cs="Times New Roman"/>
                <w:b/>
                <w:bCs/>
                <w:sz w:val="24"/>
              </w:rPr>
              <w:t>Multivariable</w:t>
            </w:r>
          </w:p>
        </w:tc>
      </w:tr>
      <w:tr w:rsidR="007F7395" w:rsidRPr="00BA54CD" w:rsidTr="00CF40B5">
        <w:trPr>
          <w:trHeight w:val="251"/>
        </w:trPr>
        <w:tc>
          <w:tcPr>
            <w:tcW w:w="1527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snapToGrid w:val="0"/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A54CD">
              <w:rPr>
                <w:rFonts w:ascii="Times New Roman" w:hAnsi="Times New Roman" w:cs="Times New Roman"/>
                <w:b/>
                <w:bCs/>
                <w:sz w:val="24"/>
              </w:rPr>
              <w:t>Variable</w:t>
            </w:r>
          </w:p>
        </w:tc>
        <w:tc>
          <w:tcPr>
            <w:tcW w:w="1164" w:type="pc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A54CD">
              <w:rPr>
                <w:rFonts w:ascii="Times New Roman" w:hAnsi="Times New Roman" w:cs="Times New Roman"/>
                <w:b/>
                <w:bCs/>
                <w:sz w:val="24"/>
              </w:rPr>
              <w:t>HR (95% CI)</w:t>
            </w:r>
          </w:p>
        </w:tc>
        <w:tc>
          <w:tcPr>
            <w:tcW w:w="581" w:type="pc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A54CD">
              <w:rPr>
                <w:rFonts w:ascii="Times New Roman" w:hAnsi="Times New Roman" w:cs="Times New Roman"/>
                <w:b/>
                <w:bCs/>
                <w:sz w:val="24"/>
              </w:rPr>
              <w:t>p-value</w:t>
            </w:r>
          </w:p>
        </w:tc>
        <w:tc>
          <w:tcPr>
            <w:tcW w:w="1164" w:type="pc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A54CD">
              <w:rPr>
                <w:rFonts w:ascii="Times New Roman" w:hAnsi="Times New Roman" w:cs="Times New Roman"/>
                <w:b/>
                <w:bCs/>
                <w:sz w:val="24"/>
              </w:rPr>
              <w:t>HR (95% CI)</w:t>
            </w:r>
          </w:p>
        </w:tc>
        <w:tc>
          <w:tcPr>
            <w:tcW w:w="564" w:type="pc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A54CD">
              <w:rPr>
                <w:rFonts w:ascii="Times New Roman" w:hAnsi="Times New Roman" w:cs="Times New Roman"/>
                <w:b/>
                <w:bCs/>
                <w:sz w:val="24"/>
              </w:rPr>
              <w:t>p-value</w:t>
            </w:r>
          </w:p>
        </w:tc>
      </w:tr>
      <w:tr w:rsidR="007F7395" w:rsidRPr="00BA54CD" w:rsidTr="00CF40B5">
        <w:trPr>
          <w:trHeight w:val="251"/>
        </w:trPr>
        <w:tc>
          <w:tcPr>
            <w:tcW w:w="1527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Age</w:t>
            </w:r>
          </w:p>
        </w:tc>
        <w:tc>
          <w:tcPr>
            <w:tcW w:w="1164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1.00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5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(0.99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9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1.01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81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134</w:t>
            </w:r>
          </w:p>
        </w:tc>
        <w:tc>
          <w:tcPr>
            <w:tcW w:w="1164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1.00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9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1.002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17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64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019</w:t>
            </w:r>
          </w:p>
        </w:tc>
      </w:tr>
      <w:tr w:rsidR="007F7395" w:rsidRPr="00BA54CD" w:rsidTr="007F7395">
        <w:trPr>
          <w:trHeight w:val="176"/>
        </w:trPr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Male, Yes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1.058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896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249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508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1.1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94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960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485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111</w:t>
            </w:r>
          </w:p>
        </w:tc>
      </w:tr>
      <w:tr w:rsidR="007F7395" w:rsidRPr="00BA54CD" w:rsidTr="00CF40B5">
        <w:trPr>
          <w:trHeight w:val="251"/>
        </w:trPr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ASA class&gt;2, Yes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1.059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919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221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428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1.130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940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359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194</w:t>
            </w:r>
          </w:p>
        </w:tc>
      </w:tr>
      <w:tr w:rsidR="007F7395" w:rsidRPr="00BA54CD" w:rsidTr="00CF40B5">
        <w:trPr>
          <w:trHeight w:val="251"/>
        </w:trPr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7F7395" w:rsidRDefault="007F7395" w:rsidP="00CF40B5">
            <w:pPr>
              <w:pStyle w:val="Web"/>
              <w:snapToGrid w:val="0"/>
              <w:spacing w:before="0" w:after="0" w:line="240" w:lineRule="exact"/>
              <w:rPr>
                <w:rFonts w:cs="Times New Roman"/>
                <w:sz w:val="24"/>
                <w:szCs w:val="24"/>
                <w:vertAlign w:val="superscript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BMI, kg/m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0.9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86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(0.9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70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02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095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0.993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(0.9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73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13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498</w:t>
            </w:r>
          </w:p>
        </w:tc>
      </w:tr>
      <w:tr w:rsidR="007F7395" w:rsidRPr="00BA54CD" w:rsidTr="00CF40B5">
        <w:trPr>
          <w:trHeight w:val="251"/>
        </w:trPr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Log AFP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74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(1.0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49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100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&lt;</w:t>
            </w:r>
            <w:r>
              <w:rPr>
                <w:rFonts w:cs="Times New Roman"/>
                <w:sz w:val="24"/>
                <w:szCs w:val="24"/>
              </w:rPr>
              <w:t>0.001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52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(1.0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21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1.08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4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&lt;</w:t>
            </w:r>
            <w:r>
              <w:rPr>
                <w:rFonts w:cs="Times New Roman"/>
                <w:sz w:val="24"/>
                <w:szCs w:val="24"/>
              </w:rPr>
              <w:t>0.001</w:t>
            </w:r>
          </w:p>
        </w:tc>
      </w:tr>
      <w:tr w:rsidR="007F7395" w:rsidRPr="00BA54CD" w:rsidTr="007F7395">
        <w:trPr>
          <w:trHeight w:val="251"/>
        </w:trPr>
        <w:tc>
          <w:tcPr>
            <w:tcW w:w="152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T</w:t>
            </w:r>
            <w:r>
              <w:rPr>
                <w:rFonts w:cs="Times New Roman"/>
                <w:sz w:val="24"/>
                <w:szCs w:val="24"/>
              </w:rPr>
              <w:t>BS</w:t>
            </w:r>
          </w:p>
        </w:tc>
        <w:tc>
          <w:tcPr>
            <w:tcW w:w="116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053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(1.0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39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068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&lt;</w:t>
            </w:r>
            <w:r>
              <w:rPr>
                <w:rFonts w:cs="Times New Roman"/>
                <w:sz w:val="24"/>
                <w:szCs w:val="24"/>
              </w:rPr>
              <w:t>0.001</w:t>
            </w:r>
          </w:p>
        </w:tc>
        <w:tc>
          <w:tcPr>
            <w:tcW w:w="116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049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1.031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– 1.06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8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6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  <w:hideMark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&lt;</w:t>
            </w:r>
            <w:r>
              <w:rPr>
                <w:rFonts w:cs="Times New Roman"/>
                <w:sz w:val="24"/>
                <w:szCs w:val="24"/>
              </w:rPr>
              <w:t>0.001</w:t>
            </w:r>
          </w:p>
        </w:tc>
      </w:tr>
      <w:tr w:rsidR="007F7395" w:rsidRPr="00BA54CD" w:rsidTr="007F7395">
        <w:trPr>
          <w:trHeight w:val="251"/>
        </w:trPr>
        <w:tc>
          <w:tcPr>
            <w:tcW w:w="1527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ALBI score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1.057 (1.006 – 1.111)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0.029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1.433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(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1.207 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–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1.</w:t>
            </w:r>
            <w:r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701</w:t>
            </w:r>
            <w:r w:rsidRPr="00BA54CD">
              <w:rPr>
                <w:rFonts w:cs="Times New Roman"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31" w:type="dxa"/>
              <w:left w:w="63" w:type="dxa"/>
              <w:bottom w:w="31" w:type="dxa"/>
              <w:right w:w="63" w:type="dxa"/>
            </w:tcMar>
            <w:vAlign w:val="center"/>
          </w:tcPr>
          <w:p w:rsidR="007F7395" w:rsidRPr="00BA54CD" w:rsidRDefault="007F7395" w:rsidP="00CF40B5">
            <w:pPr>
              <w:pStyle w:val="Web"/>
              <w:snapToGrid w:val="0"/>
              <w:spacing w:before="0" w:after="0" w:line="2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&lt;</w:t>
            </w:r>
            <w:r>
              <w:rPr>
                <w:rFonts w:cs="Times New Roman"/>
                <w:sz w:val="24"/>
                <w:szCs w:val="24"/>
              </w:rPr>
              <w:t>0.001</w:t>
            </w:r>
          </w:p>
        </w:tc>
      </w:tr>
    </w:tbl>
    <w:p w:rsidR="007F7395" w:rsidRPr="00BA54CD" w:rsidRDefault="007F7395" w:rsidP="001D6CFC">
      <w:pPr>
        <w:snapToGrid w:val="0"/>
        <w:spacing w:line="240" w:lineRule="exact"/>
        <w:jc w:val="left"/>
        <w:rPr>
          <w:rFonts w:ascii="Times New Roman" w:hAnsi="Times New Roman" w:cs="Times New Roman"/>
          <w:sz w:val="24"/>
        </w:rPr>
      </w:pPr>
      <w:r w:rsidRPr="00BA54CD">
        <w:rPr>
          <w:rFonts w:ascii="Times New Roman" w:hAnsi="Times New Roman" w:cs="Times New Roman"/>
          <w:bCs/>
          <w:i/>
          <w:sz w:val="24"/>
        </w:rPr>
        <w:t>Abbreviations.</w:t>
      </w:r>
      <w:r w:rsidRPr="00BA54CD">
        <w:rPr>
          <w:rFonts w:ascii="Times New Roman" w:hAnsi="Times New Roman" w:cs="Times New Roman"/>
          <w:bCs/>
          <w:sz w:val="24"/>
        </w:rPr>
        <w:t xml:space="preserve"> AFP: </w:t>
      </w:r>
      <w:r w:rsidRPr="00BA54CD">
        <w:rPr>
          <w:rFonts w:ascii="Times New Roman" w:hAnsi="Times New Roman" w:cs="Times New Roman"/>
          <w:bCs/>
          <w:i/>
          <w:iCs/>
          <w:sz w:val="24"/>
        </w:rPr>
        <w:t>α</w:t>
      </w:r>
      <w:r w:rsidRPr="00BA54CD">
        <w:rPr>
          <w:rFonts w:ascii="Times New Roman" w:hAnsi="Times New Roman" w:cs="Times New Roman"/>
          <w:bCs/>
          <w:sz w:val="24"/>
        </w:rPr>
        <w:t>-Fetoprotein</w:t>
      </w:r>
      <w:r w:rsidRPr="00BA54CD">
        <w:rPr>
          <w:rFonts w:ascii="Times New Roman" w:hAnsi="Times New Roman" w:cs="Times New Roman"/>
          <w:sz w:val="24"/>
        </w:rPr>
        <w:t>, ALBI: Albumin-Bilirubin, ASA: American Society of Anesthesiologists, BMI: Body Mass Index, CI: Confidence interval, HR: Hazard Ratio</w:t>
      </w:r>
      <w:r w:rsidRPr="00BA54CD">
        <w:rPr>
          <w:rFonts w:ascii="Times New Roman" w:hAnsi="Times New Roman" w:cs="Times New Roman"/>
          <w:sz w:val="24"/>
          <w:lang w:eastAsia="ja-JP"/>
        </w:rPr>
        <w:t xml:space="preserve">, </w:t>
      </w:r>
      <w:r w:rsidRPr="00BA54CD">
        <w:rPr>
          <w:rFonts w:ascii="Times New Roman" w:hAnsi="Times New Roman" w:cs="Times New Roman"/>
          <w:sz w:val="24"/>
        </w:rPr>
        <w:t xml:space="preserve">TBS: Tumor Burden Score. </w:t>
      </w:r>
    </w:p>
    <w:p w:rsidR="00882781" w:rsidRPr="007F7395" w:rsidRDefault="00882781" w:rsidP="007F7395">
      <w:pPr>
        <w:snapToGrid w:val="0"/>
        <w:spacing w:line="160" w:lineRule="atLeast"/>
        <w:jc w:val="left"/>
        <w:rPr>
          <w:rFonts w:ascii="Times New Roman" w:hAnsi="Times New Roman" w:cs="Times New Roman"/>
          <w:sz w:val="24"/>
        </w:rPr>
      </w:pPr>
    </w:p>
    <w:sectPr w:rsidR="00882781" w:rsidRPr="007F7395" w:rsidSect="00911344"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832F2"/>
    <w:multiLevelType w:val="multilevel"/>
    <w:tmpl w:val="7C76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242A06"/>
    <w:multiLevelType w:val="hybridMultilevel"/>
    <w:tmpl w:val="D7265AE4"/>
    <w:lvl w:ilvl="0" w:tplc="63C86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E68B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A833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3CB8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828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261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929C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70C7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CC1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F7B2C15"/>
    <w:multiLevelType w:val="hybridMultilevel"/>
    <w:tmpl w:val="7A2A1476"/>
    <w:lvl w:ilvl="0" w:tplc="A7BEB8D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61781869">
    <w:abstractNumId w:val="2"/>
  </w:num>
  <w:num w:numId="2" w16cid:durableId="1192185448">
    <w:abstractNumId w:val="1"/>
  </w:num>
  <w:num w:numId="3" w16cid:durableId="120652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31"/>
    <w:rsid w:val="000019AB"/>
    <w:rsid w:val="000034D6"/>
    <w:rsid w:val="00012C11"/>
    <w:rsid w:val="00016E4E"/>
    <w:rsid w:val="0002017E"/>
    <w:rsid w:val="00030762"/>
    <w:rsid w:val="00031C77"/>
    <w:rsid w:val="00033C95"/>
    <w:rsid w:val="00044004"/>
    <w:rsid w:val="00054181"/>
    <w:rsid w:val="00060B7B"/>
    <w:rsid w:val="00062AE4"/>
    <w:rsid w:val="00065445"/>
    <w:rsid w:val="00075E22"/>
    <w:rsid w:val="00082120"/>
    <w:rsid w:val="00084031"/>
    <w:rsid w:val="00095011"/>
    <w:rsid w:val="00097AE0"/>
    <w:rsid w:val="000A4146"/>
    <w:rsid w:val="000E316D"/>
    <w:rsid w:val="000E3FBB"/>
    <w:rsid w:val="001013D3"/>
    <w:rsid w:val="001016F2"/>
    <w:rsid w:val="00105371"/>
    <w:rsid w:val="00110DA8"/>
    <w:rsid w:val="001162B1"/>
    <w:rsid w:val="001201DD"/>
    <w:rsid w:val="00123FC0"/>
    <w:rsid w:val="00130C4B"/>
    <w:rsid w:val="00151C1F"/>
    <w:rsid w:val="00164367"/>
    <w:rsid w:val="00170ACD"/>
    <w:rsid w:val="00176829"/>
    <w:rsid w:val="001B47D1"/>
    <w:rsid w:val="001B77B6"/>
    <w:rsid w:val="001C77E5"/>
    <w:rsid w:val="001D6CFC"/>
    <w:rsid w:val="001E4320"/>
    <w:rsid w:val="001E4CE7"/>
    <w:rsid w:val="001E532C"/>
    <w:rsid w:val="001E58DC"/>
    <w:rsid w:val="001E5AA4"/>
    <w:rsid w:val="001F16A3"/>
    <w:rsid w:val="001F1FA2"/>
    <w:rsid w:val="00216E2A"/>
    <w:rsid w:val="002339BE"/>
    <w:rsid w:val="00234D8B"/>
    <w:rsid w:val="00235FAD"/>
    <w:rsid w:val="00251D73"/>
    <w:rsid w:val="00260554"/>
    <w:rsid w:val="00262C14"/>
    <w:rsid w:val="002717A9"/>
    <w:rsid w:val="002863A1"/>
    <w:rsid w:val="00294597"/>
    <w:rsid w:val="002951AC"/>
    <w:rsid w:val="002B4DDC"/>
    <w:rsid w:val="002D5AD5"/>
    <w:rsid w:val="002D7ECC"/>
    <w:rsid w:val="002F0C6B"/>
    <w:rsid w:val="002F7D33"/>
    <w:rsid w:val="0030556A"/>
    <w:rsid w:val="00307C7A"/>
    <w:rsid w:val="00310A50"/>
    <w:rsid w:val="0034514A"/>
    <w:rsid w:val="00345218"/>
    <w:rsid w:val="0034618C"/>
    <w:rsid w:val="00354F40"/>
    <w:rsid w:val="003879B3"/>
    <w:rsid w:val="003A7FE1"/>
    <w:rsid w:val="003B00E6"/>
    <w:rsid w:val="003B5EF0"/>
    <w:rsid w:val="003C144A"/>
    <w:rsid w:val="003C33F4"/>
    <w:rsid w:val="003C621E"/>
    <w:rsid w:val="00406656"/>
    <w:rsid w:val="00411DEB"/>
    <w:rsid w:val="00411E03"/>
    <w:rsid w:val="00414BBE"/>
    <w:rsid w:val="00414DBB"/>
    <w:rsid w:val="0041685B"/>
    <w:rsid w:val="00425C2A"/>
    <w:rsid w:val="00426E71"/>
    <w:rsid w:val="00434241"/>
    <w:rsid w:val="00441A43"/>
    <w:rsid w:val="00451153"/>
    <w:rsid w:val="004638E2"/>
    <w:rsid w:val="00464FD7"/>
    <w:rsid w:val="00474F63"/>
    <w:rsid w:val="0048234D"/>
    <w:rsid w:val="00486717"/>
    <w:rsid w:val="00490030"/>
    <w:rsid w:val="00494C46"/>
    <w:rsid w:val="004A1F0F"/>
    <w:rsid w:val="004A4119"/>
    <w:rsid w:val="004B0F24"/>
    <w:rsid w:val="004B175B"/>
    <w:rsid w:val="004B277E"/>
    <w:rsid w:val="004B5028"/>
    <w:rsid w:val="004C48AC"/>
    <w:rsid w:val="004C7896"/>
    <w:rsid w:val="004D74E2"/>
    <w:rsid w:val="004E2EFC"/>
    <w:rsid w:val="00511E4C"/>
    <w:rsid w:val="0051284E"/>
    <w:rsid w:val="00512B26"/>
    <w:rsid w:val="005140C2"/>
    <w:rsid w:val="00526E5F"/>
    <w:rsid w:val="00531A3B"/>
    <w:rsid w:val="00534B62"/>
    <w:rsid w:val="0053617A"/>
    <w:rsid w:val="005414A6"/>
    <w:rsid w:val="005506EC"/>
    <w:rsid w:val="005562DC"/>
    <w:rsid w:val="005712A0"/>
    <w:rsid w:val="00582A0A"/>
    <w:rsid w:val="00586135"/>
    <w:rsid w:val="00591AC4"/>
    <w:rsid w:val="005B2928"/>
    <w:rsid w:val="005C16DD"/>
    <w:rsid w:val="005D4F6D"/>
    <w:rsid w:val="005D61C2"/>
    <w:rsid w:val="005E0E25"/>
    <w:rsid w:val="005F7AE6"/>
    <w:rsid w:val="006551D3"/>
    <w:rsid w:val="0065718E"/>
    <w:rsid w:val="0066476A"/>
    <w:rsid w:val="00671E57"/>
    <w:rsid w:val="00697431"/>
    <w:rsid w:val="006A0F87"/>
    <w:rsid w:val="006A2758"/>
    <w:rsid w:val="006A419D"/>
    <w:rsid w:val="006A6675"/>
    <w:rsid w:val="006C257C"/>
    <w:rsid w:val="006C421B"/>
    <w:rsid w:val="006C6AA7"/>
    <w:rsid w:val="006D6047"/>
    <w:rsid w:val="006E0942"/>
    <w:rsid w:val="00701AF7"/>
    <w:rsid w:val="00715BBD"/>
    <w:rsid w:val="0072672F"/>
    <w:rsid w:val="00732F1C"/>
    <w:rsid w:val="00740F5E"/>
    <w:rsid w:val="007563EB"/>
    <w:rsid w:val="007648EC"/>
    <w:rsid w:val="00765921"/>
    <w:rsid w:val="00771463"/>
    <w:rsid w:val="00776E76"/>
    <w:rsid w:val="00792BA8"/>
    <w:rsid w:val="00793561"/>
    <w:rsid w:val="007C1EB1"/>
    <w:rsid w:val="007D7BFD"/>
    <w:rsid w:val="007E088C"/>
    <w:rsid w:val="007E1AFF"/>
    <w:rsid w:val="007E53C6"/>
    <w:rsid w:val="007F7395"/>
    <w:rsid w:val="0081153E"/>
    <w:rsid w:val="00812CC8"/>
    <w:rsid w:val="00814B58"/>
    <w:rsid w:val="00825B1F"/>
    <w:rsid w:val="008261FD"/>
    <w:rsid w:val="00830F54"/>
    <w:rsid w:val="00843E3E"/>
    <w:rsid w:val="00844AAF"/>
    <w:rsid w:val="008451C3"/>
    <w:rsid w:val="00850874"/>
    <w:rsid w:val="0085137B"/>
    <w:rsid w:val="008535D3"/>
    <w:rsid w:val="00871370"/>
    <w:rsid w:val="008751E2"/>
    <w:rsid w:val="00882781"/>
    <w:rsid w:val="008A24AF"/>
    <w:rsid w:val="008A56D5"/>
    <w:rsid w:val="008A7740"/>
    <w:rsid w:val="008B1411"/>
    <w:rsid w:val="008B2684"/>
    <w:rsid w:val="008D0892"/>
    <w:rsid w:val="008D5C50"/>
    <w:rsid w:val="008E1CD0"/>
    <w:rsid w:val="009032EB"/>
    <w:rsid w:val="00910828"/>
    <w:rsid w:val="00924B2A"/>
    <w:rsid w:val="0093545A"/>
    <w:rsid w:val="00942FB1"/>
    <w:rsid w:val="00943085"/>
    <w:rsid w:val="0097312A"/>
    <w:rsid w:val="009B5D49"/>
    <w:rsid w:val="009C7EE3"/>
    <w:rsid w:val="009E5D72"/>
    <w:rsid w:val="009F05CF"/>
    <w:rsid w:val="00A23549"/>
    <w:rsid w:val="00A3308A"/>
    <w:rsid w:val="00A355BE"/>
    <w:rsid w:val="00A37802"/>
    <w:rsid w:val="00A7371A"/>
    <w:rsid w:val="00A74E59"/>
    <w:rsid w:val="00A94B26"/>
    <w:rsid w:val="00A95A70"/>
    <w:rsid w:val="00AA4A1E"/>
    <w:rsid w:val="00AB195A"/>
    <w:rsid w:val="00AC12A3"/>
    <w:rsid w:val="00AC2709"/>
    <w:rsid w:val="00AD1634"/>
    <w:rsid w:val="00AD7ED8"/>
    <w:rsid w:val="00AE1380"/>
    <w:rsid w:val="00AE3124"/>
    <w:rsid w:val="00AE366A"/>
    <w:rsid w:val="00AF1B82"/>
    <w:rsid w:val="00AF411F"/>
    <w:rsid w:val="00B00351"/>
    <w:rsid w:val="00B01602"/>
    <w:rsid w:val="00B0585E"/>
    <w:rsid w:val="00B1024B"/>
    <w:rsid w:val="00B23756"/>
    <w:rsid w:val="00B42382"/>
    <w:rsid w:val="00B42B64"/>
    <w:rsid w:val="00B44FCD"/>
    <w:rsid w:val="00B577DA"/>
    <w:rsid w:val="00B61D17"/>
    <w:rsid w:val="00B65456"/>
    <w:rsid w:val="00B90B09"/>
    <w:rsid w:val="00B91D40"/>
    <w:rsid w:val="00B9261E"/>
    <w:rsid w:val="00BA12A1"/>
    <w:rsid w:val="00BA5A2A"/>
    <w:rsid w:val="00BC07F2"/>
    <w:rsid w:val="00BD1506"/>
    <w:rsid w:val="00BD3814"/>
    <w:rsid w:val="00BD5C97"/>
    <w:rsid w:val="00BD6F22"/>
    <w:rsid w:val="00BE160D"/>
    <w:rsid w:val="00C07A0A"/>
    <w:rsid w:val="00C11552"/>
    <w:rsid w:val="00C26932"/>
    <w:rsid w:val="00C336BE"/>
    <w:rsid w:val="00C336EA"/>
    <w:rsid w:val="00C45DF4"/>
    <w:rsid w:val="00C463DB"/>
    <w:rsid w:val="00C52F86"/>
    <w:rsid w:val="00C77DE4"/>
    <w:rsid w:val="00C95BA3"/>
    <w:rsid w:val="00CA0485"/>
    <w:rsid w:val="00CA792D"/>
    <w:rsid w:val="00CB20DC"/>
    <w:rsid w:val="00CD31FE"/>
    <w:rsid w:val="00CD3BEC"/>
    <w:rsid w:val="00CE50CE"/>
    <w:rsid w:val="00CF0000"/>
    <w:rsid w:val="00CF0D31"/>
    <w:rsid w:val="00D05F74"/>
    <w:rsid w:val="00D32E05"/>
    <w:rsid w:val="00D33A65"/>
    <w:rsid w:val="00D47BD7"/>
    <w:rsid w:val="00D61809"/>
    <w:rsid w:val="00D626A7"/>
    <w:rsid w:val="00D6335D"/>
    <w:rsid w:val="00D666E2"/>
    <w:rsid w:val="00D83466"/>
    <w:rsid w:val="00D91EA4"/>
    <w:rsid w:val="00DA0AE7"/>
    <w:rsid w:val="00DB3F2A"/>
    <w:rsid w:val="00DC51CB"/>
    <w:rsid w:val="00DC76C3"/>
    <w:rsid w:val="00DF2518"/>
    <w:rsid w:val="00DF513F"/>
    <w:rsid w:val="00DF5A5B"/>
    <w:rsid w:val="00DF6B15"/>
    <w:rsid w:val="00E04C6B"/>
    <w:rsid w:val="00E16EA5"/>
    <w:rsid w:val="00E24229"/>
    <w:rsid w:val="00E244B7"/>
    <w:rsid w:val="00E24EE3"/>
    <w:rsid w:val="00E30D9A"/>
    <w:rsid w:val="00E312C0"/>
    <w:rsid w:val="00E41DFA"/>
    <w:rsid w:val="00E55EC0"/>
    <w:rsid w:val="00E564F7"/>
    <w:rsid w:val="00E74574"/>
    <w:rsid w:val="00E7707E"/>
    <w:rsid w:val="00E83F3C"/>
    <w:rsid w:val="00E846CA"/>
    <w:rsid w:val="00E90808"/>
    <w:rsid w:val="00E90B7B"/>
    <w:rsid w:val="00E912BC"/>
    <w:rsid w:val="00EA31AA"/>
    <w:rsid w:val="00EA4004"/>
    <w:rsid w:val="00EA5150"/>
    <w:rsid w:val="00EA62EA"/>
    <w:rsid w:val="00EB34E1"/>
    <w:rsid w:val="00EC1E87"/>
    <w:rsid w:val="00ED0150"/>
    <w:rsid w:val="00ED29ED"/>
    <w:rsid w:val="00ED4246"/>
    <w:rsid w:val="00ED4BBF"/>
    <w:rsid w:val="00ED7314"/>
    <w:rsid w:val="00EE5C72"/>
    <w:rsid w:val="00EF655C"/>
    <w:rsid w:val="00F00E6C"/>
    <w:rsid w:val="00F05FE9"/>
    <w:rsid w:val="00F0619A"/>
    <w:rsid w:val="00F146A3"/>
    <w:rsid w:val="00F328E5"/>
    <w:rsid w:val="00F348BC"/>
    <w:rsid w:val="00F41846"/>
    <w:rsid w:val="00F544BE"/>
    <w:rsid w:val="00F62331"/>
    <w:rsid w:val="00F64B9C"/>
    <w:rsid w:val="00F735CC"/>
    <w:rsid w:val="00F73D8B"/>
    <w:rsid w:val="00F76323"/>
    <w:rsid w:val="00F83756"/>
    <w:rsid w:val="00F86918"/>
    <w:rsid w:val="00F905D3"/>
    <w:rsid w:val="00F93877"/>
    <w:rsid w:val="00FA6CB6"/>
    <w:rsid w:val="00FB3943"/>
    <w:rsid w:val="00FC1277"/>
    <w:rsid w:val="00FD3663"/>
    <w:rsid w:val="00FE6891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FA2FF9"/>
  <w15:chartTrackingRefBased/>
  <w15:docId w15:val="{A083BC79-FDA8-2246-98FF-8F8C0AA3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CF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74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4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4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4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4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4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4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4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74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74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743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74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74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74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74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74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74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74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7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74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74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74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74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74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743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7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743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7431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uiPriority w:val="99"/>
    <w:rsid w:val="00697431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1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9FADBE1-567F-6345-87E8-8127B6A928A3}">
  <we:reference id="wa200001011" version="1.2.0.0" store="ja-JP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279</Words>
  <Characters>1697</Characters>
  <Application>Microsoft Office Word</Application>
  <DocSecurity>0</DocSecurity>
  <Lines>29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mihou akabane</dc:creator>
  <cp:keywords/>
  <dc:description/>
  <cp:lastModifiedBy>miho akabane</cp:lastModifiedBy>
  <cp:revision>21</cp:revision>
  <dcterms:created xsi:type="dcterms:W3CDTF">2024-10-04T01:19:00Z</dcterms:created>
  <dcterms:modified xsi:type="dcterms:W3CDTF">2024-11-03T18:49:00Z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documentId_8623</vt:lpwstr>
  </property>
  <property fmtid="{D5CDD505-2E9C-101B-9397-08002B2CF9AE}" pid="3" name="grammarly_documentContext">
    <vt:lpwstr>{"goals":[],"domain":"general","emotions":[],"dialect":"american"}</vt:lpwstr>
  </property>
</Properties>
</file>