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19A" w:rsidRPr="00777FE2" w:rsidRDefault="0062519A" w:rsidP="0062519A">
      <w:pPr>
        <w:jc w:val="center"/>
        <w:rPr>
          <w:rFonts w:ascii="Calibri" w:eastAsia="Aptos" w:hAnsi="Calibri" w:cs="Calibri"/>
          <w:b/>
          <w:sz w:val="28"/>
          <w:szCs w:val="28"/>
        </w:rPr>
      </w:pPr>
      <w:bookmarkStart w:id="0" w:name="_GoBack"/>
      <w:bookmarkEnd w:id="0"/>
      <w:r w:rsidRPr="00777FE2">
        <w:rPr>
          <w:rFonts w:ascii="Calibri" w:eastAsia="Aptos" w:hAnsi="Calibri" w:cs="Calibri"/>
          <w:b/>
          <w:sz w:val="28"/>
          <w:szCs w:val="28"/>
        </w:rPr>
        <w:t>Supplementary Material</w:t>
      </w:r>
    </w:p>
    <w:p w:rsidR="0062519A" w:rsidRPr="00777FE2" w:rsidRDefault="0062519A" w:rsidP="0062519A">
      <w:pPr>
        <w:rPr>
          <w:rFonts w:ascii="Calibri" w:eastAsia="Aptos" w:hAnsi="Calibri" w:cs="Calibri"/>
          <w:sz w:val="21"/>
          <w:szCs w:val="21"/>
        </w:rPr>
      </w:pPr>
      <w:r w:rsidRPr="00777FE2">
        <w:rPr>
          <w:rFonts w:ascii="Calibri" w:eastAsia="Aptos" w:hAnsi="Calibri" w:cs="Calibri"/>
          <w:b/>
          <w:sz w:val="21"/>
          <w:szCs w:val="21"/>
        </w:rPr>
        <w:t xml:space="preserve">Table S1: </w:t>
      </w:r>
      <w:r w:rsidRPr="00777FE2">
        <w:rPr>
          <w:rFonts w:ascii="Calibri" w:eastAsia="Aptos" w:hAnsi="Calibri" w:cs="Calibri"/>
          <w:sz w:val="21"/>
          <w:szCs w:val="21"/>
        </w:rPr>
        <w:t xml:space="preserve">Table summarising the treatments and the use of adjuvant systemic therapy. 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3123"/>
        <w:gridCol w:w="846"/>
      </w:tblGrid>
      <w:tr w:rsidR="0062519A" w:rsidRPr="00777FE2" w:rsidTr="00E76D6C">
        <w:tc>
          <w:tcPr>
            <w:tcW w:w="4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b/>
                <w:sz w:val="21"/>
                <w:szCs w:val="21"/>
              </w:rPr>
              <w:t>Treatment category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b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b/>
                <w:sz w:val="21"/>
                <w:szCs w:val="21"/>
              </w:rPr>
              <w:t>N = 142</w:t>
            </w:r>
          </w:p>
        </w:tc>
      </w:tr>
      <w:tr w:rsidR="0062519A" w:rsidRPr="00777FE2" w:rsidTr="00E76D6C">
        <w:tc>
          <w:tcPr>
            <w:tcW w:w="495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b/>
                <w:sz w:val="21"/>
                <w:szCs w:val="21"/>
              </w:rPr>
              <w:t>First line treatment, n (%)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None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</w:t>
            </w:r>
            <w:proofErr w:type="spellStart"/>
            <w:r w:rsidRPr="00777FE2">
              <w:rPr>
                <w:rFonts w:ascii="Calibri" w:eastAsia="Aptos" w:hAnsi="Calibri" w:cs="Calibri"/>
                <w:sz w:val="21"/>
                <w:szCs w:val="21"/>
              </w:rPr>
              <w:t>Local</w:t>
            </w:r>
            <w:r w:rsidRPr="00777FE2"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</w:t>
            </w:r>
            <w:proofErr w:type="spellStart"/>
            <w:r w:rsidRPr="00777FE2">
              <w:rPr>
                <w:rFonts w:ascii="Calibri" w:eastAsia="Aptos" w:hAnsi="Calibri" w:cs="Calibri"/>
                <w:sz w:val="21"/>
                <w:szCs w:val="21"/>
              </w:rPr>
              <w:t>Regional</w:t>
            </w:r>
            <w:r w:rsidRPr="00777FE2"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  <w:t>b</w:t>
            </w:r>
            <w:proofErr w:type="spellEnd"/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</w:t>
            </w:r>
            <w:proofErr w:type="spellStart"/>
            <w:r w:rsidRPr="00777FE2">
              <w:rPr>
                <w:rFonts w:ascii="Calibri" w:eastAsia="Aptos" w:hAnsi="Calibri" w:cs="Calibri"/>
                <w:sz w:val="21"/>
                <w:szCs w:val="21"/>
              </w:rPr>
              <w:t>Systemic</w:t>
            </w:r>
            <w:r w:rsidRPr="00777FE2"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  <w:t>c</w:t>
            </w:r>
            <w:proofErr w:type="spellEnd"/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4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107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17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(2.8)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(75.4)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(12.0)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(9.9)</w:t>
            </w:r>
          </w:p>
        </w:tc>
      </w:tr>
      <w:tr w:rsidR="0062519A" w:rsidRPr="00777FE2" w:rsidTr="00E76D6C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  <w:vertAlign w:val="superscript"/>
              </w:rPr>
            </w:pPr>
            <w:r w:rsidRPr="00777FE2">
              <w:rPr>
                <w:rFonts w:ascii="Calibri" w:eastAsia="Aptos" w:hAnsi="Calibri" w:cs="Calibri"/>
                <w:b/>
                <w:sz w:val="21"/>
                <w:szCs w:val="21"/>
              </w:rPr>
              <w:t>Cumulative treatment counts, n (%)</w:t>
            </w:r>
            <w:r w:rsidRPr="00777FE2">
              <w:rPr>
                <w:rFonts w:ascii="Calibri" w:eastAsia="Aptos" w:hAnsi="Calibri" w:cs="Calibri"/>
                <w:b/>
                <w:sz w:val="21"/>
                <w:szCs w:val="21"/>
                <w:vertAlign w:val="superscript"/>
              </w:rPr>
              <w:t>d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</w:t>
            </w:r>
            <w:proofErr w:type="spellStart"/>
            <w:r w:rsidRPr="00777FE2">
              <w:rPr>
                <w:rFonts w:ascii="Calibri" w:eastAsia="Aptos" w:hAnsi="Calibri" w:cs="Calibri"/>
                <w:sz w:val="21"/>
                <w:szCs w:val="21"/>
              </w:rPr>
              <w:t>Local</w:t>
            </w:r>
            <w:r w:rsidRPr="00777FE2"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</w:t>
            </w:r>
            <w:proofErr w:type="spellStart"/>
            <w:r w:rsidRPr="00777FE2">
              <w:rPr>
                <w:rFonts w:ascii="Calibri" w:eastAsia="Aptos" w:hAnsi="Calibri" w:cs="Calibri"/>
                <w:sz w:val="21"/>
                <w:szCs w:val="21"/>
              </w:rPr>
              <w:t>Regional</w:t>
            </w:r>
            <w:r w:rsidRPr="00777FE2"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  <w:t>b</w:t>
            </w:r>
            <w:proofErr w:type="spellEnd"/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</w:t>
            </w:r>
            <w:proofErr w:type="spellStart"/>
            <w:r w:rsidRPr="00777FE2">
              <w:rPr>
                <w:rFonts w:ascii="Calibri" w:eastAsia="Aptos" w:hAnsi="Calibri" w:cs="Calibri"/>
                <w:sz w:val="21"/>
                <w:szCs w:val="21"/>
              </w:rPr>
              <w:t>Systemic</w:t>
            </w:r>
            <w:r w:rsidRPr="00777FE2">
              <w:rPr>
                <w:rFonts w:ascii="Calibri" w:eastAsia="Aptos" w:hAnsi="Calibri" w:cs="Calibri"/>
                <w:sz w:val="21"/>
                <w:szCs w:val="21"/>
                <w:vertAlign w:val="superscript"/>
              </w:rPr>
              <w:t>c</w:t>
            </w:r>
            <w:proofErr w:type="spellEnd"/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109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91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92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(76.8)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(64.1)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(64.8)</w:t>
            </w:r>
          </w:p>
        </w:tc>
      </w:tr>
      <w:tr w:rsidR="0062519A" w:rsidRPr="00777FE2" w:rsidTr="00E76D6C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</w:rPr>
            </w:pPr>
            <w:r w:rsidRPr="00777FE2">
              <w:rPr>
                <w:rFonts w:ascii="Calibri" w:eastAsia="Aptos" w:hAnsi="Calibri" w:cs="Calibri"/>
                <w:b/>
              </w:rPr>
              <w:t>Treatment strategy used, n (%)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None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Local only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Regional only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Systemic only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Local and regional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Local and systemic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Regional and systemic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Local, regional and systemic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4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13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5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15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28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19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9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49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(2.8)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(9.2)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(3.5)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(10.6)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(19.7)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(13.4)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(6.3)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(34.5)</w:t>
            </w:r>
          </w:p>
        </w:tc>
      </w:tr>
      <w:tr w:rsidR="0062519A" w:rsidRPr="00777FE2" w:rsidTr="00E76D6C">
        <w:tc>
          <w:tcPr>
            <w:tcW w:w="49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b/>
                <w:sz w:val="21"/>
                <w:szCs w:val="21"/>
              </w:rPr>
              <w:lastRenderedPageBreak/>
              <w:t>Adjuvant systemic therapy, n (%)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No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 xml:space="preserve">     Yes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57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85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(40.1)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21"/>
                <w:szCs w:val="21"/>
              </w:rPr>
            </w:pPr>
            <w:r w:rsidRPr="00777FE2">
              <w:rPr>
                <w:rFonts w:ascii="Calibri" w:eastAsia="Aptos" w:hAnsi="Calibri" w:cs="Calibri"/>
                <w:sz w:val="21"/>
                <w:szCs w:val="21"/>
              </w:rPr>
              <w:t>(59.9)</w:t>
            </w:r>
          </w:p>
        </w:tc>
      </w:tr>
      <w:tr w:rsidR="0062519A" w:rsidRPr="00777FE2" w:rsidTr="00E76D6C">
        <w:trPr>
          <w:trHeight w:val="1683"/>
        </w:trPr>
        <w:tc>
          <w:tcPr>
            <w:tcW w:w="8926" w:type="dxa"/>
            <w:gridSpan w:val="3"/>
            <w:tcBorders>
              <w:top w:val="single" w:sz="4" w:space="0" w:color="000000"/>
              <w:left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777FE2">
              <w:rPr>
                <w:rFonts w:ascii="Calibri" w:eastAsia="Aptos" w:hAnsi="Calibri" w:cs="Calibri"/>
                <w:sz w:val="20"/>
                <w:szCs w:val="20"/>
              </w:rPr>
              <w:t>n, number of participants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0"/>
                <w:szCs w:val="20"/>
              </w:rPr>
            </w:pPr>
            <w:proofErr w:type="gramStart"/>
            <w:r w:rsidRPr="00777FE2">
              <w:rPr>
                <w:rFonts w:ascii="Calibri" w:eastAsia="Aptos" w:hAnsi="Calibri" w:cs="Calibri"/>
                <w:sz w:val="20"/>
                <w:szCs w:val="20"/>
                <w:vertAlign w:val="superscript"/>
              </w:rPr>
              <w:t>a</w:t>
            </w:r>
            <w:proofErr w:type="gramEnd"/>
            <w:r w:rsidRPr="00777FE2">
              <w:rPr>
                <w:rFonts w:ascii="Calibri" w:eastAsia="Aptos" w:hAnsi="Calibri" w:cs="Calibri"/>
                <w:sz w:val="20"/>
                <w:szCs w:val="20"/>
                <w:vertAlign w:val="superscript"/>
              </w:rPr>
              <w:t xml:space="preserve"> </w:t>
            </w:r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Wide local excision, ITM excision, CO2 laser ablation,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electrochemotherapy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talimogene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laherparepvec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 (T-VEC), Bacillus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Calmette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>–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Guérin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 (BCG), diathermy/fulgurate. 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777FE2">
              <w:rPr>
                <w:rFonts w:ascii="Calibri" w:eastAsia="Aptos" w:hAnsi="Calibri" w:cs="Calibri"/>
                <w:sz w:val="20"/>
                <w:szCs w:val="20"/>
                <w:vertAlign w:val="superscript"/>
              </w:rPr>
              <w:t>b</w:t>
            </w:r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 Lymph node removal, complete lymph node dissection,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diphenylcyclopropenone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 (DPCP),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imiquimod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Isolated Limb Infusion (ILI), amputation. 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777FE2">
              <w:rPr>
                <w:rFonts w:ascii="Calibri" w:eastAsia="Aptos" w:hAnsi="Calibri" w:cs="Calibri"/>
                <w:sz w:val="20"/>
                <w:szCs w:val="20"/>
                <w:vertAlign w:val="superscript"/>
              </w:rPr>
              <w:t>c</w:t>
            </w:r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Nivolumab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ipilimumab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ipilimumab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>/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nivolumab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pembrolizumab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dacarbazine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dabrafenib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trametinib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dabrafenib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>/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trametinib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>, radiotherapy, paclitaxel/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trametinib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bevacizumab, paclitaxel,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ipilimumab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 or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pembrolizumab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vemurafenib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 xml:space="preserve">, non-ITM surgical removal, ITM </w:t>
            </w:r>
            <w:proofErr w:type="spellStart"/>
            <w:r w:rsidRPr="00777FE2">
              <w:rPr>
                <w:rFonts w:ascii="Calibri" w:eastAsia="Aptos" w:hAnsi="Calibri" w:cs="Calibri"/>
                <w:sz w:val="20"/>
                <w:szCs w:val="20"/>
              </w:rPr>
              <w:t>debulking</w:t>
            </w:r>
            <w:proofErr w:type="spellEnd"/>
            <w:r w:rsidRPr="00777FE2">
              <w:rPr>
                <w:rFonts w:ascii="Calibri" w:eastAsia="Aptos" w:hAnsi="Calibri" w:cs="Calibri"/>
                <w:sz w:val="20"/>
                <w:szCs w:val="20"/>
              </w:rPr>
              <w:t>, axilla de-bulking</w:t>
            </w:r>
          </w:p>
          <w:p w:rsidR="0062519A" w:rsidRPr="00777FE2" w:rsidRDefault="0062519A" w:rsidP="00E76D6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77FE2">
              <w:rPr>
                <w:rFonts w:ascii="Calibri" w:eastAsia="Calibri" w:hAnsi="Calibri" w:cs="Calibri"/>
                <w:color w:val="000000"/>
                <w:sz w:val="20"/>
                <w:szCs w:val="20"/>
                <w:vertAlign w:val="superscript"/>
              </w:rPr>
              <w:t>d</w:t>
            </w:r>
            <w:r w:rsidRPr="00777FE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Patients</w:t>
            </w:r>
            <w:proofErr w:type="spellEnd"/>
            <w:proofErr w:type="gramEnd"/>
            <w:r w:rsidRPr="00777FE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received more than 1 treatment so % total is &gt;100.</w:t>
            </w:r>
          </w:p>
        </w:tc>
      </w:tr>
    </w:tbl>
    <w:p w:rsidR="0062519A" w:rsidRPr="00777FE2" w:rsidRDefault="0062519A" w:rsidP="0062519A">
      <w:pPr>
        <w:rPr>
          <w:rFonts w:ascii="Calibri" w:eastAsia="Aptos" w:hAnsi="Calibri" w:cs="Calibri"/>
          <w:b/>
          <w:sz w:val="20"/>
          <w:szCs w:val="20"/>
        </w:rPr>
        <w:sectPr w:rsidR="0062519A" w:rsidRPr="00777FE2" w:rsidSect="005F0CE5">
          <w:pgSz w:w="16840" w:h="11900" w:orient="landscape"/>
          <w:pgMar w:top="720" w:right="992" w:bottom="720" w:left="992" w:header="709" w:footer="709" w:gutter="0"/>
          <w:cols w:space="720"/>
        </w:sectPr>
      </w:pPr>
      <w:r w:rsidRPr="00777FE2">
        <w:rPr>
          <w:rFonts w:ascii="Calibri" w:hAnsi="Calibri" w:cs="Calibri"/>
          <w:sz w:val="20"/>
          <w:szCs w:val="20"/>
        </w:rPr>
        <w:br w:type="page"/>
      </w:r>
    </w:p>
    <w:p w:rsidR="0062519A" w:rsidRPr="00777FE2" w:rsidRDefault="0062519A" w:rsidP="0062519A">
      <w:pPr>
        <w:rPr>
          <w:rFonts w:ascii="Calibri" w:eastAsia="Aptos" w:hAnsi="Calibri" w:cs="Calibri"/>
          <w:b/>
          <w:sz w:val="21"/>
          <w:szCs w:val="21"/>
        </w:rPr>
      </w:pPr>
    </w:p>
    <w:p w:rsidR="0062519A" w:rsidRPr="00777FE2" w:rsidRDefault="0062519A" w:rsidP="006251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Aptos" w:hAnsi="Calibri" w:cs="Calibri"/>
          <w:sz w:val="21"/>
          <w:szCs w:val="21"/>
        </w:rPr>
      </w:pPr>
      <w:r w:rsidRPr="00777FE2">
        <w:rPr>
          <w:rFonts w:ascii="Calibri" w:eastAsia="Aptos" w:hAnsi="Calibri" w:cs="Calibri"/>
          <w:b/>
          <w:sz w:val="21"/>
          <w:szCs w:val="21"/>
        </w:rPr>
        <w:t>Table S2:</w:t>
      </w:r>
      <w:r w:rsidRPr="00777FE2">
        <w:rPr>
          <w:rFonts w:ascii="Calibri" w:eastAsia="Aptos" w:hAnsi="Calibri" w:cs="Calibri"/>
          <w:sz w:val="21"/>
          <w:szCs w:val="21"/>
        </w:rPr>
        <w:t xml:space="preserve"> Disease-specific survival, distant metastasis-free survival and overall survival stratified according to sex, site of melanoma, ulceration status, disease burden at ITM diagnosis, adjuvant systemic therapy use, Breslow thickness, age at in-transit metastasis diagnosis, in-transit metastasis-free interval, in-transit metastasis count at diagnosis and size of the largest ITM at diagnosis excluding patients with stage IV disease at ITM diagnosis (n=142).</w:t>
      </w:r>
    </w:p>
    <w:p w:rsidR="0062519A" w:rsidRPr="00777FE2" w:rsidRDefault="0062519A" w:rsidP="0062519A">
      <w:pPr>
        <w:jc w:val="both"/>
        <w:rPr>
          <w:rFonts w:ascii="Calibri" w:eastAsia="Aptos" w:hAnsi="Calibri" w:cs="Calibri"/>
          <w:sz w:val="21"/>
          <w:szCs w:val="21"/>
        </w:rPr>
      </w:pPr>
      <w:proofErr w:type="gramStart"/>
      <w:r w:rsidRPr="00777FE2">
        <w:rPr>
          <w:rFonts w:ascii="Calibri" w:eastAsia="Aptos" w:hAnsi="Calibri" w:cs="Calibri"/>
          <w:sz w:val="21"/>
          <w:szCs w:val="21"/>
          <w:vertAlign w:val="superscript"/>
        </w:rPr>
        <w:t>a</w:t>
      </w:r>
      <w:proofErr w:type="gramEnd"/>
      <w:r w:rsidRPr="00777FE2">
        <w:rPr>
          <w:rFonts w:ascii="Calibri" w:eastAsia="Aptos" w:hAnsi="Calibri" w:cs="Calibri"/>
          <w:sz w:val="21"/>
          <w:szCs w:val="21"/>
        </w:rPr>
        <w:t xml:space="preserve"> Variables were examined by Cox’s regression, adjusted for gender, site, ulceration status, disease burden, adjuvant systemic therapy use, Breslow thickness, age at in-transit metastasis diagnosis, in-transit metastasis-free interval, in-transit metastasis count at diagnosis and size of the largest ITM at diagnosis. </w:t>
      </w:r>
    </w:p>
    <w:tbl>
      <w:tblPr>
        <w:tblW w:w="143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1"/>
        <w:gridCol w:w="2126"/>
        <w:gridCol w:w="1473"/>
        <w:gridCol w:w="2213"/>
        <w:gridCol w:w="1417"/>
        <w:gridCol w:w="2126"/>
        <w:gridCol w:w="1560"/>
      </w:tblGrid>
      <w:tr w:rsidR="0062519A" w:rsidRPr="00777FE2" w:rsidTr="00E76D6C">
        <w:trPr>
          <w:jc w:val="center"/>
        </w:trPr>
        <w:tc>
          <w:tcPr>
            <w:tcW w:w="3402" w:type="dxa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Survival Endpoint</w:t>
            </w:r>
          </w:p>
        </w:tc>
        <w:tc>
          <w:tcPr>
            <w:tcW w:w="3599" w:type="dxa"/>
            <w:gridSpan w:val="2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Disease Specific</w:t>
            </w:r>
          </w:p>
        </w:tc>
        <w:tc>
          <w:tcPr>
            <w:tcW w:w="3630" w:type="dxa"/>
            <w:gridSpan w:val="2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Distant metastasis-free</w:t>
            </w:r>
          </w:p>
        </w:tc>
        <w:tc>
          <w:tcPr>
            <w:tcW w:w="3686" w:type="dxa"/>
            <w:gridSpan w:val="2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Overall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Crude Risk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1473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Adjusted </w:t>
            </w:r>
            <w:proofErr w:type="spellStart"/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Risk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2213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Crude Risk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1417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Adjusted </w:t>
            </w:r>
            <w:proofErr w:type="spellStart"/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Risk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2126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Crude Risk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1560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Adjusted </w:t>
            </w:r>
            <w:proofErr w:type="spellStart"/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Risk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Sex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213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Female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i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i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i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i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i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i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Male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2.06 (1.18-3.59)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1.83 (0.93-3.60)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p=0.082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1.65 (0.98-2.79)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1.79 (0.87-3.55)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1.51 (0.91-2.49)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1.27 (0.68-2.38)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p=0.457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Site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Axial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Extremity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0.83 (0.46-1.51)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p=0.549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1.26 (0.58-2.70)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p=0.561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0.75 (0.43-1.31)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1.62 (0.77-3.42)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0.92 (0.53-1.60)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1.15 (0.56-2.36)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p=0.702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Ulceration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Absent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Present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1.21 (0.70-2.09)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p=0.504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0.88 (0.45-1.74)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p=0.716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1.06 (0.63-1.80)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p=0.814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0.80 (0.42-1.52)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1.22 (0.74-2.01)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0.82 (0.44-1.53)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p=0.536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Disease Burden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 xml:space="preserve">Local 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 xml:space="preserve">Regional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1.14 (0.66-1.98)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p=0.639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lastRenderedPageBreak/>
              <w:t>1.30 (0.67-2.51)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p=0.433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2.45 (1.44-4.18)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3.22 (1.67-6.21)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p=&lt;0.001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1.07 (0.65-1.77)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1.39 (0.77–2.51)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p=0.276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Adjuvant Systemic Therapy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Not given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Given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1.26 (0.72-2.19)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p=0.425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1.41 (0.75-2.65)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p=0.289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2.04 (1.17-3.58)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p=0.012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2.18 (1.19-3.99)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1.09 (0.66-1.79)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1.29 (0.73-2.27)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p=0.376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Breslow Thickness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1.10 (1.03-1.17)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1.07 (0.97-1.17)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p=0.164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1.03 (0.96-1.11)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p=0.359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0.95 (0.86-1.05)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1.09 (1.02-1.15)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1.06 (0.97-1.15)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p=0.207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Age at ITM Diagnosis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1.02 (1.00-1.05)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p=0.087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1.02 (0.99-1.06)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p=0.110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1.00 (0.98-1.02)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p=0.926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1.02 (0.99-1.04)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1.03 (1.01-1.05)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1.03 (1.01-1.06)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p=0.020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ITMs-Free Interval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0.99 (0.98-1.00)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p=0.102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0.99 (0.98-1.01)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p=0.338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0.99 (0.98-1.00)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p=0.066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0.98 (0.97-1.00)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0.99 (0.98-1.00)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0.99 (0.98-1.00)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p=0.132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ITMs Count at Diagnosis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</w:t>
            </w: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2</w:t>
            </w: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3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0.72 (0.37-1.40)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p=0.337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1.27 (0.45-3.59)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p=0.651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0.62 (0.29-1.32)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p=0.215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0.73 (0.23-2.37)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p=0.869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0.94 (0.52-1.72)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p=0.843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1.57 (0.61-4.03)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0.74 (0.38-1.45)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p=0.384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0.54 (0.19-1.59)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p=0.264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0.72 (0.40-1.31)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p=0.284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1.03 (0.37-2.87)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p=0.959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0.73 (0.37-1.42)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p=0.354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0.59 (0.19-1.84)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p=0.364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Size of the largest ITM at Diagnosis (mm)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1.01 (1.00-1.02)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p=0.092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1.00 (0.99-1.02)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p=0.869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1.03 (1.01-1.04)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1.02 (1.01-1.04)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1.01 (1.00-1.02)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1.00 (0.99-1.02)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p=0.673</w:t>
            </w:r>
          </w:p>
        </w:tc>
      </w:tr>
      <w:tr w:rsidR="0062519A" w:rsidRPr="00777FE2" w:rsidTr="00E76D6C">
        <w:trPr>
          <w:jc w:val="center"/>
        </w:trPr>
        <w:tc>
          <w:tcPr>
            <w:tcW w:w="14317" w:type="dxa"/>
            <w:gridSpan w:val="7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CIs, Confidence intervals; ITMs, In-transit metastases</w:t>
            </w:r>
          </w:p>
        </w:tc>
      </w:tr>
    </w:tbl>
    <w:p w:rsidR="0062519A" w:rsidRPr="00777FE2" w:rsidRDefault="0062519A" w:rsidP="006251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Aptos" w:hAnsi="Calibri" w:cs="Calibri"/>
          <w:b/>
          <w:sz w:val="18"/>
          <w:szCs w:val="18"/>
        </w:rPr>
      </w:pPr>
    </w:p>
    <w:p w:rsidR="0062519A" w:rsidRPr="00777FE2" w:rsidRDefault="0062519A" w:rsidP="006251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Aptos" w:hAnsi="Calibri" w:cs="Calibri"/>
          <w:b/>
          <w:sz w:val="21"/>
          <w:szCs w:val="21"/>
        </w:rPr>
      </w:pPr>
      <w:r w:rsidRPr="00777FE2">
        <w:rPr>
          <w:rFonts w:ascii="Calibri" w:eastAsia="Aptos" w:hAnsi="Calibri" w:cs="Calibri"/>
          <w:b/>
          <w:sz w:val="21"/>
          <w:szCs w:val="21"/>
        </w:rPr>
        <w:t>Table S3:</w:t>
      </w:r>
      <w:r w:rsidRPr="00777FE2">
        <w:rPr>
          <w:rFonts w:ascii="Calibri" w:eastAsia="Aptos" w:hAnsi="Calibri" w:cs="Calibri"/>
          <w:sz w:val="21"/>
          <w:szCs w:val="21"/>
        </w:rPr>
        <w:t xml:space="preserve"> Disease-specific survival, distant metastasis-free survival and overall survival stratified according to sex, site of melanoma, ulceration status, disease burden at ITM </w:t>
      </w:r>
      <w:r w:rsidRPr="00777FE2">
        <w:rPr>
          <w:rFonts w:ascii="Calibri" w:eastAsia="Aptos" w:hAnsi="Calibri" w:cs="Calibri"/>
          <w:sz w:val="21"/>
          <w:szCs w:val="21"/>
        </w:rPr>
        <w:lastRenderedPageBreak/>
        <w:t>diagnosis, adjuvant systemic therapy use, Breslow thickness (&gt;2 vs ≤2 mm), in-transit metastasis-free interval (&gt;18 vs ≤18 months), in-transit metastasis count at diagnosis (&gt;2 or ≤2), size of the largest ITM at diagnosis (&gt;30 vs ≤30 mm) and age at in-transit metastasis diagnosis (n=142).</w:t>
      </w:r>
    </w:p>
    <w:tbl>
      <w:tblPr>
        <w:tblW w:w="143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1"/>
        <w:gridCol w:w="2126"/>
        <w:gridCol w:w="1473"/>
        <w:gridCol w:w="2213"/>
        <w:gridCol w:w="1417"/>
        <w:gridCol w:w="2126"/>
        <w:gridCol w:w="1560"/>
      </w:tblGrid>
      <w:tr w:rsidR="0062519A" w:rsidRPr="00777FE2" w:rsidTr="00E76D6C">
        <w:trPr>
          <w:jc w:val="center"/>
        </w:trPr>
        <w:tc>
          <w:tcPr>
            <w:tcW w:w="3402" w:type="dxa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Survival Endpoint</w:t>
            </w:r>
          </w:p>
        </w:tc>
        <w:tc>
          <w:tcPr>
            <w:tcW w:w="3599" w:type="dxa"/>
            <w:gridSpan w:val="2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Disease Specific</w:t>
            </w:r>
          </w:p>
        </w:tc>
        <w:tc>
          <w:tcPr>
            <w:tcW w:w="3630" w:type="dxa"/>
            <w:gridSpan w:val="2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Distant metastasis-free</w:t>
            </w:r>
          </w:p>
        </w:tc>
        <w:tc>
          <w:tcPr>
            <w:tcW w:w="3686" w:type="dxa"/>
            <w:gridSpan w:val="2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Overall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Crude Risk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1473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Adjusted </w:t>
            </w:r>
            <w:proofErr w:type="spellStart"/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Risk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2213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Crude Risk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1417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Adjusted </w:t>
            </w:r>
            <w:proofErr w:type="spellStart"/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Risk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2126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Crude Risk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  <w:tc>
          <w:tcPr>
            <w:tcW w:w="1560" w:type="dxa"/>
            <w:tcBorders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Adjusted </w:t>
            </w:r>
            <w:proofErr w:type="spellStart"/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Risk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  <w:vertAlign w:val="superscript"/>
              </w:rPr>
              <w:t>a</w:t>
            </w:r>
            <w:proofErr w:type="spellEnd"/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HR (95% CIs)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Sex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  <w:t>Female</w:t>
            </w:r>
          </w:p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Male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1.56 (0.98-2.58)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p=0.059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1.26 (0.69-2.29)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p=0.459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1.85 (1.19-2.87)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1.20 (0.69-2.09)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p=0.525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1.37 (0.89-2.12)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1.04 (0.60-1.80)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p=0.902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Site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Axial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Extremity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0.92 (0.56-1.53)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p=0.752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1.36 (0.71-2.61)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p=0.353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0.66 (0.42-1.03)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1.57 (0.88-2.82)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0.93 (0.59-1.46)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1.27 (0.70-2.30)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p=0.435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Ulceration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Absent</w:t>
            </w:r>
          </w:p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Present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1.39 (0.86-2.25)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p=0.180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0.93 (0.54-1.62)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p=0.809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1.10 (0.71-1.70)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p=0.676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0.87 (0.53-1.44)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p=0.591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1.40 (0.91-2.17)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1.00 (0.60-1.65)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p=0.990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 xml:space="preserve">Disease Burden 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Local</w:t>
            </w:r>
          </w:p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 xml:space="preserve">Regional 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 xml:space="preserve">Distant 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1.14 (0.66-1.98)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p=0.640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1.75 (0.94-3.25)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p=0.079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1.09 (0.57-2.08)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p=0.799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1.86 (0.84-4.12)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p=0.129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2.45 (1.44-4.18)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p=0.001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3.20 (1.73-5.91)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p=&lt;0.001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1.07 (0.65-1.77)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p=0.782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1.75 (1.00-3.05)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1.23 (0.69–2.21)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p=0.481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2.50 (1.21-5.17)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p=0.013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Adjuvant Systemic Therapy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Not given</w:t>
            </w:r>
          </w:p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lastRenderedPageBreak/>
              <w:t>Given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1.45 (0.87-2.41)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p=0.149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1.46 (0.83-2.55)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p=0.185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2.25 (1.38-3.64)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p=0.001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1.52 (0.89-2.59)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1.28 (0.81-2.00)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1.32 (0.80-2.18)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p=0.271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Breslow Thickness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≤2 mm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&gt;2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2.58 (1.28-5.22)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1.75 (0.79-3.86)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p=0.168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1.43 (0.83-2.24)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p=0.195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0.71 (0.37-1.35)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p=0.290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1.97 (1.11-3.51)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1.28 (0.66-2.49)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p=0.471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ITMs-Free Interval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≤18 months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&gt;18 months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0.42 (0.25-0.69)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0.45 (0.25-0.83)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0.76 (0.49-1.18)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p=0.224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0.44 (0.25-0.75)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0.44 (0.28-0.69)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0.44 (0.26-0.76)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p=0.003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ITMs Count at Diagnosis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≤2</w:t>
            </w: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tabs>
                <w:tab w:val="right" w:pos="3186"/>
              </w:tabs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&gt;2</w:t>
            </w: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2.28 (1.15-4.53)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1.36 (0.62-2.96)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p=0.442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2.27 (1.19-4.31)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0.54 (0.25-1.16)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1.84 (0.94-3.59)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1.06 (0.50-2.23)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p=0.876</w:t>
            </w: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tabs>
                <w:tab w:val="right" w:pos="3186"/>
              </w:tabs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Size of the largest ITM at Diagnosis (mm)</w:t>
            </w: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ab/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>≤30 mm</w:t>
            </w: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right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&gt;30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2.11 (1.10-4.06)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p=0.025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1.44 (0.72-2.90)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2.10 (1.15-3.83)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2.31 (1.15-4.65)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1.93 (1.04-3.59)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i/>
                <w:sz w:val="14"/>
                <w:szCs w:val="14"/>
              </w:rPr>
              <w:t>Referent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1.34 (0.70-2.58)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p=0.377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</w:p>
        </w:tc>
      </w:tr>
      <w:tr w:rsidR="0062519A" w:rsidRPr="00777FE2" w:rsidTr="00E76D6C">
        <w:trPr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Age at ITM Diagnosis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1.02 (0.99-1.04)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p=0.145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1.01 (0.98-1.04)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p=0.449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0.99 (0.97-1.01)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1.01 (0.98-1.03)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p=0.611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b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1.02 (1.00-1.04)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b/>
                <w:sz w:val="14"/>
                <w:szCs w:val="14"/>
              </w:rPr>
              <w:t>p=0.037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1.02 (1.00-1.05)</w:t>
            </w:r>
          </w:p>
          <w:p w:rsidR="0062519A" w:rsidRPr="00777FE2" w:rsidRDefault="0062519A" w:rsidP="00E76D6C">
            <w:pPr>
              <w:jc w:val="center"/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>p=0.091</w:t>
            </w:r>
          </w:p>
        </w:tc>
      </w:tr>
      <w:tr w:rsidR="0062519A" w:rsidRPr="00777FE2" w:rsidTr="00E76D6C">
        <w:trPr>
          <w:jc w:val="center"/>
        </w:trPr>
        <w:tc>
          <w:tcPr>
            <w:tcW w:w="14317" w:type="dxa"/>
            <w:gridSpan w:val="7"/>
            <w:tcBorders>
              <w:left w:val="nil"/>
              <w:right w:val="nil"/>
            </w:tcBorders>
          </w:tcPr>
          <w:p w:rsidR="0062519A" w:rsidRPr="00777FE2" w:rsidRDefault="0062519A" w:rsidP="00E76D6C">
            <w:pPr>
              <w:rPr>
                <w:rFonts w:ascii="Calibri" w:eastAsia="Aptos" w:hAnsi="Calibri" w:cs="Calibri"/>
                <w:sz w:val="14"/>
                <w:szCs w:val="14"/>
              </w:rPr>
            </w:pPr>
            <w:r w:rsidRPr="00777FE2">
              <w:rPr>
                <w:rFonts w:ascii="Calibri" w:eastAsia="Aptos" w:hAnsi="Calibri" w:cs="Calibri"/>
                <w:sz w:val="14"/>
                <w:szCs w:val="14"/>
              </w:rPr>
              <w:t xml:space="preserve">CIs, Confidence intervals; ITMs, In-transit metastases; </w:t>
            </w:r>
            <w:r w:rsidRPr="00777FE2">
              <w:rPr>
                <w:rFonts w:ascii="Calibri" w:eastAsia="Aptos" w:hAnsi="Calibri" w:cs="Calibri"/>
                <w:sz w:val="14"/>
                <w:szCs w:val="14"/>
                <w:vertAlign w:val="superscript"/>
              </w:rPr>
              <w:t>a</w:t>
            </w:r>
            <w:r w:rsidRPr="00777FE2">
              <w:rPr>
                <w:rFonts w:ascii="Calibri" w:eastAsia="Aptos" w:hAnsi="Calibri" w:cs="Calibri"/>
                <w:sz w:val="14"/>
                <w:szCs w:val="14"/>
              </w:rPr>
              <w:t xml:space="preserve"> Adjusted using Cox’s regression</w:t>
            </w:r>
          </w:p>
        </w:tc>
      </w:tr>
    </w:tbl>
    <w:p w:rsidR="0062519A" w:rsidRDefault="0062519A" w:rsidP="0062519A">
      <w:pPr>
        <w:tabs>
          <w:tab w:val="left" w:pos="3537"/>
        </w:tabs>
        <w:rPr>
          <w:rFonts w:ascii="Arial" w:eastAsia="Arial" w:hAnsi="Arial" w:cs="Arial"/>
        </w:rPr>
      </w:pPr>
    </w:p>
    <w:p w:rsidR="0062519A" w:rsidRDefault="0062519A" w:rsidP="006251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733D15" w:rsidRDefault="00733D15"/>
    <w:sectPr w:rsidR="00733D15">
      <w:pgSz w:w="16840" w:h="11900" w:orient="landscape"/>
      <w:pgMar w:top="720" w:right="992" w:bottom="720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19A"/>
    <w:rsid w:val="0001420F"/>
    <w:rsid w:val="00020EF5"/>
    <w:rsid w:val="000215EF"/>
    <w:rsid w:val="00024156"/>
    <w:rsid w:val="0003272A"/>
    <w:rsid w:val="00034358"/>
    <w:rsid w:val="000356EC"/>
    <w:rsid w:val="00037097"/>
    <w:rsid w:val="00037B63"/>
    <w:rsid w:val="000438AB"/>
    <w:rsid w:val="00044284"/>
    <w:rsid w:val="00047CD2"/>
    <w:rsid w:val="000527A9"/>
    <w:rsid w:val="0005398C"/>
    <w:rsid w:val="00054630"/>
    <w:rsid w:val="00054ABA"/>
    <w:rsid w:val="00056FF5"/>
    <w:rsid w:val="00057ADC"/>
    <w:rsid w:val="000620FD"/>
    <w:rsid w:val="0006366D"/>
    <w:rsid w:val="00063AD9"/>
    <w:rsid w:val="000640A3"/>
    <w:rsid w:val="000655FF"/>
    <w:rsid w:val="00067CAC"/>
    <w:rsid w:val="00071214"/>
    <w:rsid w:val="00073247"/>
    <w:rsid w:val="00073AC1"/>
    <w:rsid w:val="000749A8"/>
    <w:rsid w:val="000754D1"/>
    <w:rsid w:val="0007614A"/>
    <w:rsid w:val="00077CC1"/>
    <w:rsid w:val="00080606"/>
    <w:rsid w:val="000813FF"/>
    <w:rsid w:val="0008559A"/>
    <w:rsid w:val="0008731C"/>
    <w:rsid w:val="00090B6B"/>
    <w:rsid w:val="00093E01"/>
    <w:rsid w:val="00094087"/>
    <w:rsid w:val="0009791C"/>
    <w:rsid w:val="000A0DA2"/>
    <w:rsid w:val="000A2984"/>
    <w:rsid w:val="000A61DD"/>
    <w:rsid w:val="000A630D"/>
    <w:rsid w:val="000A71E9"/>
    <w:rsid w:val="000B0771"/>
    <w:rsid w:val="000B4BFF"/>
    <w:rsid w:val="000B75BC"/>
    <w:rsid w:val="000C242E"/>
    <w:rsid w:val="000C3496"/>
    <w:rsid w:val="000C4B09"/>
    <w:rsid w:val="000D06C4"/>
    <w:rsid w:val="000D3F93"/>
    <w:rsid w:val="000D571D"/>
    <w:rsid w:val="000D589A"/>
    <w:rsid w:val="000E14FD"/>
    <w:rsid w:val="000E5030"/>
    <w:rsid w:val="000E5AC6"/>
    <w:rsid w:val="000E5B03"/>
    <w:rsid w:val="000F1DF4"/>
    <w:rsid w:val="000F7FE3"/>
    <w:rsid w:val="000F7FF3"/>
    <w:rsid w:val="0010321E"/>
    <w:rsid w:val="001046C4"/>
    <w:rsid w:val="00104A93"/>
    <w:rsid w:val="0010546B"/>
    <w:rsid w:val="00110935"/>
    <w:rsid w:val="00120284"/>
    <w:rsid w:val="0012067C"/>
    <w:rsid w:val="00122E21"/>
    <w:rsid w:val="00124042"/>
    <w:rsid w:val="00127034"/>
    <w:rsid w:val="00131C6C"/>
    <w:rsid w:val="001332FF"/>
    <w:rsid w:val="00136180"/>
    <w:rsid w:val="00140F01"/>
    <w:rsid w:val="001435FA"/>
    <w:rsid w:val="001457F1"/>
    <w:rsid w:val="00146785"/>
    <w:rsid w:val="0014696B"/>
    <w:rsid w:val="00150A66"/>
    <w:rsid w:val="0015393D"/>
    <w:rsid w:val="00154B83"/>
    <w:rsid w:val="00163743"/>
    <w:rsid w:val="0017447B"/>
    <w:rsid w:val="001755C9"/>
    <w:rsid w:val="00176D0B"/>
    <w:rsid w:val="00176FBE"/>
    <w:rsid w:val="00177CA6"/>
    <w:rsid w:val="00181114"/>
    <w:rsid w:val="00182FDC"/>
    <w:rsid w:val="00193ABC"/>
    <w:rsid w:val="0019400D"/>
    <w:rsid w:val="001974CC"/>
    <w:rsid w:val="00197D17"/>
    <w:rsid w:val="001A126A"/>
    <w:rsid w:val="001A143E"/>
    <w:rsid w:val="001A2538"/>
    <w:rsid w:val="001A3B31"/>
    <w:rsid w:val="001A583F"/>
    <w:rsid w:val="001A5ECE"/>
    <w:rsid w:val="001A78F6"/>
    <w:rsid w:val="001A7EB6"/>
    <w:rsid w:val="001B18AF"/>
    <w:rsid w:val="001B247F"/>
    <w:rsid w:val="001B351F"/>
    <w:rsid w:val="001B5942"/>
    <w:rsid w:val="001B6D4B"/>
    <w:rsid w:val="001C34F6"/>
    <w:rsid w:val="001C4D0A"/>
    <w:rsid w:val="001C57DC"/>
    <w:rsid w:val="001D09C7"/>
    <w:rsid w:val="001D4309"/>
    <w:rsid w:val="001D6D3B"/>
    <w:rsid w:val="001D7D2E"/>
    <w:rsid w:val="001E259D"/>
    <w:rsid w:val="001E39F4"/>
    <w:rsid w:val="001E4342"/>
    <w:rsid w:val="001E5CEC"/>
    <w:rsid w:val="001F42BF"/>
    <w:rsid w:val="001F5D08"/>
    <w:rsid w:val="001F60D5"/>
    <w:rsid w:val="001F70C1"/>
    <w:rsid w:val="00200110"/>
    <w:rsid w:val="00201547"/>
    <w:rsid w:val="0020357C"/>
    <w:rsid w:val="00204104"/>
    <w:rsid w:val="002041C3"/>
    <w:rsid w:val="00204359"/>
    <w:rsid w:val="00206AB0"/>
    <w:rsid w:val="002108A6"/>
    <w:rsid w:val="00210EF0"/>
    <w:rsid w:val="002117DE"/>
    <w:rsid w:val="0021352A"/>
    <w:rsid w:val="00213ECC"/>
    <w:rsid w:val="00214C77"/>
    <w:rsid w:val="00216EBE"/>
    <w:rsid w:val="00217730"/>
    <w:rsid w:val="00223F3E"/>
    <w:rsid w:val="002266A5"/>
    <w:rsid w:val="002335CB"/>
    <w:rsid w:val="002336E4"/>
    <w:rsid w:val="0023430F"/>
    <w:rsid w:val="00235F94"/>
    <w:rsid w:val="00237B00"/>
    <w:rsid w:val="00240CAF"/>
    <w:rsid w:val="002419B5"/>
    <w:rsid w:val="00244D4D"/>
    <w:rsid w:val="00245380"/>
    <w:rsid w:val="00246243"/>
    <w:rsid w:val="00253AE4"/>
    <w:rsid w:val="00254863"/>
    <w:rsid w:val="00255257"/>
    <w:rsid w:val="00257A6A"/>
    <w:rsid w:val="002603F6"/>
    <w:rsid w:val="002620B4"/>
    <w:rsid w:val="00263DD3"/>
    <w:rsid w:val="0026588C"/>
    <w:rsid w:val="00267C22"/>
    <w:rsid w:val="00270B69"/>
    <w:rsid w:val="0027145F"/>
    <w:rsid w:val="0027153D"/>
    <w:rsid w:val="0027275F"/>
    <w:rsid w:val="00273923"/>
    <w:rsid w:val="00275CAE"/>
    <w:rsid w:val="00276B82"/>
    <w:rsid w:val="00282AD2"/>
    <w:rsid w:val="0028496E"/>
    <w:rsid w:val="00285B21"/>
    <w:rsid w:val="0028751B"/>
    <w:rsid w:val="0029069F"/>
    <w:rsid w:val="00296F10"/>
    <w:rsid w:val="0029742D"/>
    <w:rsid w:val="002977FD"/>
    <w:rsid w:val="002A0CF9"/>
    <w:rsid w:val="002A2265"/>
    <w:rsid w:val="002A46C6"/>
    <w:rsid w:val="002A773D"/>
    <w:rsid w:val="002B0445"/>
    <w:rsid w:val="002B4007"/>
    <w:rsid w:val="002B7365"/>
    <w:rsid w:val="002C3423"/>
    <w:rsid w:val="002C43A8"/>
    <w:rsid w:val="002C5F53"/>
    <w:rsid w:val="002D2515"/>
    <w:rsid w:val="002D28C4"/>
    <w:rsid w:val="002D382F"/>
    <w:rsid w:val="002D7E07"/>
    <w:rsid w:val="002E06B8"/>
    <w:rsid w:val="002E1C72"/>
    <w:rsid w:val="002E1F2E"/>
    <w:rsid w:val="002E5486"/>
    <w:rsid w:val="002E56D6"/>
    <w:rsid w:val="002F0008"/>
    <w:rsid w:val="002F1534"/>
    <w:rsid w:val="002F36F8"/>
    <w:rsid w:val="002F48CB"/>
    <w:rsid w:val="002F4AB7"/>
    <w:rsid w:val="002F5370"/>
    <w:rsid w:val="002F5B06"/>
    <w:rsid w:val="003028FE"/>
    <w:rsid w:val="00303103"/>
    <w:rsid w:val="00305064"/>
    <w:rsid w:val="00305176"/>
    <w:rsid w:val="0030655E"/>
    <w:rsid w:val="00306987"/>
    <w:rsid w:val="00311C51"/>
    <w:rsid w:val="00312F71"/>
    <w:rsid w:val="003134F9"/>
    <w:rsid w:val="003144CE"/>
    <w:rsid w:val="00314CCB"/>
    <w:rsid w:val="003203C8"/>
    <w:rsid w:val="00320CE1"/>
    <w:rsid w:val="00323115"/>
    <w:rsid w:val="00325F6E"/>
    <w:rsid w:val="003352F5"/>
    <w:rsid w:val="003354F6"/>
    <w:rsid w:val="00344C65"/>
    <w:rsid w:val="00347825"/>
    <w:rsid w:val="003504AE"/>
    <w:rsid w:val="00353B55"/>
    <w:rsid w:val="0035538D"/>
    <w:rsid w:val="003562E0"/>
    <w:rsid w:val="00361C29"/>
    <w:rsid w:val="00361C74"/>
    <w:rsid w:val="003639AF"/>
    <w:rsid w:val="0036509B"/>
    <w:rsid w:val="00370EC3"/>
    <w:rsid w:val="00371747"/>
    <w:rsid w:val="00372F17"/>
    <w:rsid w:val="0037579F"/>
    <w:rsid w:val="003876CB"/>
    <w:rsid w:val="00391276"/>
    <w:rsid w:val="00391A55"/>
    <w:rsid w:val="003A204C"/>
    <w:rsid w:val="003A2639"/>
    <w:rsid w:val="003A48FE"/>
    <w:rsid w:val="003A6073"/>
    <w:rsid w:val="003B027E"/>
    <w:rsid w:val="003B0BA3"/>
    <w:rsid w:val="003B3C6A"/>
    <w:rsid w:val="003B3EA8"/>
    <w:rsid w:val="003B3FE6"/>
    <w:rsid w:val="003B4F9A"/>
    <w:rsid w:val="003B693E"/>
    <w:rsid w:val="003C5433"/>
    <w:rsid w:val="003C679C"/>
    <w:rsid w:val="003C7687"/>
    <w:rsid w:val="003D02A5"/>
    <w:rsid w:val="003D07F4"/>
    <w:rsid w:val="003D25A4"/>
    <w:rsid w:val="003D6902"/>
    <w:rsid w:val="003E0EB0"/>
    <w:rsid w:val="003E1AC6"/>
    <w:rsid w:val="003F09CA"/>
    <w:rsid w:val="003F1A32"/>
    <w:rsid w:val="003F54DC"/>
    <w:rsid w:val="003F577B"/>
    <w:rsid w:val="003F5CB2"/>
    <w:rsid w:val="003F669E"/>
    <w:rsid w:val="003F7792"/>
    <w:rsid w:val="0040102B"/>
    <w:rsid w:val="00401B03"/>
    <w:rsid w:val="004023E6"/>
    <w:rsid w:val="00404CD4"/>
    <w:rsid w:val="00405547"/>
    <w:rsid w:val="00405849"/>
    <w:rsid w:val="00412AAA"/>
    <w:rsid w:val="00420125"/>
    <w:rsid w:val="00420181"/>
    <w:rsid w:val="004210A0"/>
    <w:rsid w:val="00421F37"/>
    <w:rsid w:val="0042415A"/>
    <w:rsid w:val="00424B2C"/>
    <w:rsid w:val="004269C7"/>
    <w:rsid w:val="004443BB"/>
    <w:rsid w:val="00447381"/>
    <w:rsid w:val="00447BD6"/>
    <w:rsid w:val="0045071B"/>
    <w:rsid w:val="004509FB"/>
    <w:rsid w:val="0045330A"/>
    <w:rsid w:val="00453C78"/>
    <w:rsid w:val="00455DA3"/>
    <w:rsid w:val="0045625B"/>
    <w:rsid w:val="004624C8"/>
    <w:rsid w:val="0047302F"/>
    <w:rsid w:val="00473636"/>
    <w:rsid w:val="00475A4F"/>
    <w:rsid w:val="00477836"/>
    <w:rsid w:val="00477DD1"/>
    <w:rsid w:val="00485275"/>
    <w:rsid w:val="004859B8"/>
    <w:rsid w:val="0049020C"/>
    <w:rsid w:val="004918CF"/>
    <w:rsid w:val="00491C96"/>
    <w:rsid w:val="00494055"/>
    <w:rsid w:val="00495F5C"/>
    <w:rsid w:val="004A05A1"/>
    <w:rsid w:val="004A07B2"/>
    <w:rsid w:val="004A080A"/>
    <w:rsid w:val="004A208B"/>
    <w:rsid w:val="004A2422"/>
    <w:rsid w:val="004A3209"/>
    <w:rsid w:val="004B4F82"/>
    <w:rsid w:val="004B6D85"/>
    <w:rsid w:val="004C08ED"/>
    <w:rsid w:val="004C1CFC"/>
    <w:rsid w:val="004C2062"/>
    <w:rsid w:val="004C286C"/>
    <w:rsid w:val="004C3CAC"/>
    <w:rsid w:val="004D170B"/>
    <w:rsid w:val="004D4781"/>
    <w:rsid w:val="004D6A60"/>
    <w:rsid w:val="004D6F2E"/>
    <w:rsid w:val="004E4A5E"/>
    <w:rsid w:val="004E687D"/>
    <w:rsid w:val="004E762D"/>
    <w:rsid w:val="004F2C3F"/>
    <w:rsid w:val="004F2E30"/>
    <w:rsid w:val="004F329E"/>
    <w:rsid w:val="004F39AA"/>
    <w:rsid w:val="004F3FDD"/>
    <w:rsid w:val="004F5906"/>
    <w:rsid w:val="004F6733"/>
    <w:rsid w:val="004F7F3C"/>
    <w:rsid w:val="00503839"/>
    <w:rsid w:val="005053E9"/>
    <w:rsid w:val="00512392"/>
    <w:rsid w:val="00513251"/>
    <w:rsid w:val="00513390"/>
    <w:rsid w:val="00514402"/>
    <w:rsid w:val="00516634"/>
    <w:rsid w:val="00531D4A"/>
    <w:rsid w:val="00532326"/>
    <w:rsid w:val="005331C7"/>
    <w:rsid w:val="0053461E"/>
    <w:rsid w:val="005360D8"/>
    <w:rsid w:val="00542515"/>
    <w:rsid w:val="00543796"/>
    <w:rsid w:val="00545BEB"/>
    <w:rsid w:val="0055008F"/>
    <w:rsid w:val="005513B0"/>
    <w:rsid w:val="00551693"/>
    <w:rsid w:val="005530A5"/>
    <w:rsid w:val="0055315E"/>
    <w:rsid w:val="0055780E"/>
    <w:rsid w:val="005601B6"/>
    <w:rsid w:val="00560BC7"/>
    <w:rsid w:val="00561DEB"/>
    <w:rsid w:val="00562E9A"/>
    <w:rsid w:val="00564419"/>
    <w:rsid w:val="00564B3C"/>
    <w:rsid w:val="0057059F"/>
    <w:rsid w:val="00572161"/>
    <w:rsid w:val="00572CCC"/>
    <w:rsid w:val="00574FF2"/>
    <w:rsid w:val="005752D1"/>
    <w:rsid w:val="00575B71"/>
    <w:rsid w:val="00577BE3"/>
    <w:rsid w:val="0058092F"/>
    <w:rsid w:val="00580C39"/>
    <w:rsid w:val="005833A7"/>
    <w:rsid w:val="0059051B"/>
    <w:rsid w:val="00591379"/>
    <w:rsid w:val="005940A8"/>
    <w:rsid w:val="005A4B75"/>
    <w:rsid w:val="005A4B88"/>
    <w:rsid w:val="005A65AD"/>
    <w:rsid w:val="005A7CE9"/>
    <w:rsid w:val="005B66F5"/>
    <w:rsid w:val="005B7BAF"/>
    <w:rsid w:val="005C36B3"/>
    <w:rsid w:val="005C38ED"/>
    <w:rsid w:val="005C49AC"/>
    <w:rsid w:val="005C65C7"/>
    <w:rsid w:val="005C66AA"/>
    <w:rsid w:val="005D0C90"/>
    <w:rsid w:val="005D127E"/>
    <w:rsid w:val="005D21EC"/>
    <w:rsid w:val="005D37AD"/>
    <w:rsid w:val="005D42FC"/>
    <w:rsid w:val="005D499D"/>
    <w:rsid w:val="005D6A87"/>
    <w:rsid w:val="005D7F40"/>
    <w:rsid w:val="005E0643"/>
    <w:rsid w:val="005E1351"/>
    <w:rsid w:val="005E1380"/>
    <w:rsid w:val="005F7D43"/>
    <w:rsid w:val="0060181B"/>
    <w:rsid w:val="00603548"/>
    <w:rsid w:val="006046C2"/>
    <w:rsid w:val="00605F53"/>
    <w:rsid w:val="00607A06"/>
    <w:rsid w:val="0061169A"/>
    <w:rsid w:val="0061281A"/>
    <w:rsid w:val="006151B5"/>
    <w:rsid w:val="00616A9F"/>
    <w:rsid w:val="00617AF6"/>
    <w:rsid w:val="00621C2F"/>
    <w:rsid w:val="006222A1"/>
    <w:rsid w:val="006240A3"/>
    <w:rsid w:val="0062519A"/>
    <w:rsid w:val="006263B0"/>
    <w:rsid w:val="00630B24"/>
    <w:rsid w:val="00631DD3"/>
    <w:rsid w:val="00631EE8"/>
    <w:rsid w:val="0063266D"/>
    <w:rsid w:val="00635094"/>
    <w:rsid w:val="00636C8F"/>
    <w:rsid w:val="00637682"/>
    <w:rsid w:val="00640F40"/>
    <w:rsid w:val="006413C3"/>
    <w:rsid w:val="006419EE"/>
    <w:rsid w:val="00644BF2"/>
    <w:rsid w:val="006518A8"/>
    <w:rsid w:val="00660482"/>
    <w:rsid w:val="00661992"/>
    <w:rsid w:val="006627B2"/>
    <w:rsid w:val="006642F0"/>
    <w:rsid w:val="00667791"/>
    <w:rsid w:val="006715D2"/>
    <w:rsid w:val="006744F0"/>
    <w:rsid w:val="00680132"/>
    <w:rsid w:val="0068362C"/>
    <w:rsid w:val="00683DE3"/>
    <w:rsid w:val="00683E37"/>
    <w:rsid w:val="006850E0"/>
    <w:rsid w:val="00693DF5"/>
    <w:rsid w:val="006972A6"/>
    <w:rsid w:val="006A0127"/>
    <w:rsid w:val="006A363E"/>
    <w:rsid w:val="006A5A75"/>
    <w:rsid w:val="006B11A2"/>
    <w:rsid w:val="006B1C35"/>
    <w:rsid w:val="006B2074"/>
    <w:rsid w:val="006B6EE9"/>
    <w:rsid w:val="006C0108"/>
    <w:rsid w:val="006C168A"/>
    <w:rsid w:val="006C2F07"/>
    <w:rsid w:val="006D23DD"/>
    <w:rsid w:val="006D5634"/>
    <w:rsid w:val="006D7849"/>
    <w:rsid w:val="006D7DA2"/>
    <w:rsid w:val="006E1EFF"/>
    <w:rsid w:val="006E286C"/>
    <w:rsid w:val="006E744C"/>
    <w:rsid w:val="006F1CD9"/>
    <w:rsid w:val="006F269C"/>
    <w:rsid w:val="006F3BEF"/>
    <w:rsid w:val="006F3ED5"/>
    <w:rsid w:val="006F4758"/>
    <w:rsid w:val="006F6816"/>
    <w:rsid w:val="006F6F5B"/>
    <w:rsid w:val="006F7354"/>
    <w:rsid w:val="007009D8"/>
    <w:rsid w:val="00701550"/>
    <w:rsid w:val="007025F3"/>
    <w:rsid w:val="007029AC"/>
    <w:rsid w:val="00703EDF"/>
    <w:rsid w:val="00704F29"/>
    <w:rsid w:val="00705690"/>
    <w:rsid w:val="00705F6E"/>
    <w:rsid w:val="0070637F"/>
    <w:rsid w:val="00706780"/>
    <w:rsid w:val="00707A7A"/>
    <w:rsid w:val="0071279A"/>
    <w:rsid w:val="00713215"/>
    <w:rsid w:val="00715A20"/>
    <w:rsid w:val="00720A00"/>
    <w:rsid w:val="00720A50"/>
    <w:rsid w:val="0072481B"/>
    <w:rsid w:val="00725619"/>
    <w:rsid w:val="00727C57"/>
    <w:rsid w:val="00733D15"/>
    <w:rsid w:val="007343D6"/>
    <w:rsid w:val="00734625"/>
    <w:rsid w:val="00734C80"/>
    <w:rsid w:val="007373ED"/>
    <w:rsid w:val="0074217B"/>
    <w:rsid w:val="00745AE5"/>
    <w:rsid w:val="007463AC"/>
    <w:rsid w:val="0075248E"/>
    <w:rsid w:val="00753087"/>
    <w:rsid w:val="00755B4B"/>
    <w:rsid w:val="0075700C"/>
    <w:rsid w:val="007604A6"/>
    <w:rsid w:val="007627F3"/>
    <w:rsid w:val="00765AEB"/>
    <w:rsid w:val="00766DF1"/>
    <w:rsid w:val="00771760"/>
    <w:rsid w:val="00771B25"/>
    <w:rsid w:val="00772A97"/>
    <w:rsid w:val="00777A6C"/>
    <w:rsid w:val="00780BF7"/>
    <w:rsid w:val="007810C8"/>
    <w:rsid w:val="007823B7"/>
    <w:rsid w:val="007831E4"/>
    <w:rsid w:val="00784AC5"/>
    <w:rsid w:val="00795CFE"/>
    <w:rsid w:val="0079636B"/>
    <w:rsid w:val="007A133A"/>
    <w:rsid w:val="007A513B"/>
    <w:rsid w:val="007A5745"/>
    <w:rsid w:val="007B245F"/>
    <w:rsid w:val="007B29FD"/>
    <w:rsid w:val="007B35C3"/>
    <w:rsid w:val="007B3645"/>
    <w:rsid w:val="007B5D88"/>
    <w:rsid w:val="007C29FE"/>
    <w:rsid w:val="007C7C5B"/>
    <w:rsid w:val="007D26FC"/>
    <w:rsid w:val="007D2A5D"/>
    <w:rsid w:val="007D377F"/>
    <w:rsid w:val="007D483A"/>
    <w:rsid w:val="007D6620"/>
    <w:rsid w:val="007E039D"/>
    <w:rsid w:val="007E05ED"/>
    <w:rsid w:val="007E4CBC"/>
    <w:rsid w:val="007E4FD8"/>
    <w:rsid w:val="007E5D35"/>
    <w:rsid w:val="007F0577"/>
    <w:rsid w:val="007F21EB"/>
    <w:rsid w:val="007F267B"/>
    <w:rsid w:val="007F4C30"/>
    <w:rsid w:val="008014F0"/>
    <w:rsid w:val="008053BA"/>
    <w:rsid w:val="00810E75"/>
    <w:rsid w:val="00811727"/>
    <w:rsid w:val="00811D8D"/>
    <w:rsid w:val="00816EB0"/>
    <w:rsid w:val="0081759F"/>
    <w:rsid w:val="00820D10"/>
    <w:rsid w:val="00821144"/>
    <w:rsid w:val="008219B4"/>
    <w:rsid w:val="00824FB3"/>
    <w:rsid w:val="00824FB6"/>
    <w:rsid w:val="00826550"/>
    <w:rsid w:val="00830969"/>
    <w:rsid w:val="00833019"/>
    <w:rsid w:val="00840F7A"/>
    <w:rsid w:val="00841B70"/>
    <w:rsid w:val="00846932"/>
    <w:rsid w:val="008646FB"/>
    <w:rsid w:val="00871817"/>
    <w:rsid w:val="00871FFF"/>
    <w:rsid w:val="008764A2"/>
    <w:rsid w:val="00894D82"/>
    <w:rsid w:val="00897DBB"/>
    <w:rsid w:val="008A0972"/>
    <w:rsid w:val="008A3E72"/>
    <w:rsid w:val="008B318B"/>
    <w:rsid w:val="008B3C30"/>
    <w:rsid w:val="008B4472"/>
    <w:rsid w:val="008C0B9B"/>
    <w:rsid w:val="008C3239"/>
    <w:rsid w:val="008C48EB"/>
    <w:rsid w:val="008C5983"/>
    <w:rsid w:val="008C73F0"/>
    <w:rsid w:val="008D52BD"/>
    <w:rsid w:val="008E404E"/>
    <w:rsid w:val="008E6AF2"/>
    <w:rsid w:val="008E6C86"/>
    <w:rsid w:val="008E6CBF"/>
    <w:rsid w:val="008F158D"/>
    <w:rsid w:val="008F1C74"/>
    <w:rsid w:val="008F2AC5"/>
    <w:rsid w:val="008F3A1D"/>
    <w:rsid w:val="008F5DE2"/>
    <w:rsid w:val="009000FF"/>
    <w:rsid w:val="00904123"/>
    <w:rsid w:val="009046EB"/>
    <w:rsid w:val="00905A78"/>
    <w:rsid w:val="00906AED"/>
    <w:rsid w:val="00907726"/>
    <w:rsid w:val="00910D4A"/>
    <w:rsid w:val="00912581"/>
    <w:rsid w:val="009138FF"/>
    <w:rsid w:val="00913D4C"/>
    <w:rsid w:val="00914AF5"/>
    <w:rsid w:val="00914F3D"/>
    <w:rsid w:val="00915320"/>
    <w:rsid w:val="00920BE7"/>
    <w:rsid w:val="009213A0"/>
    <w:rsid w:val="009225B1"/>
    <w:rsid w:val="009227A9"/>
    <w:rsid w:val="00922870"/>
    <w:rsid w:val="00922AD0"/>
    <w:rsid w:val="00923BD7"/>
    <w:rsid w:val="00923E37"/>
    <w:rsid w:val="00924DDF"/>
    <w:rsid w:val="00924EC0"/>
    <w:rsid w:val="00925042"/>
    <w:rsid w:val="00934224"/>
    <w:rsid w:val="0094102D"/>
    <w:rsid w:val="009431C4"/>
    <w:rsid w:val="00943317"/>
    <w:rsid w:val="009439EB"/>
    <w:rsid w:val="00950119"/>
    <w:rsid w:val="00951618"/>
    <w:rsid w:val="009539B3"/>
    <w:rsid w:val="00954794"/>
    <w:rsid w:val="00955C83"/>
    <w:rsid w:val="009626C9"/>
    <w:rsid w:val="009776DF"/>
    <w:rsid w:val="00977A8D"/>
    <w:rsid w:val="00977DF9"/>
    <w:rsid w:val="009827E3"/>
    <w:rsid w:val="00983222"/>
    <w:rsid w:val="00983ABF"/>
    <w:rsid w:val="00983BF8"/>
    <w:rsid w:val="0098415B"/>
    <w:rsid w:val="009869E9"/>
    <w:rsid w:val="00992E3F"/>
    <w:rsid w:val="00995EAD"/>
    <w:rsid w:val="009A2D94"/>
    <w:rsid w:val="009A366F"/>
    <w:rsid w:val="009A53AB"/>
    <w:rsid w:val="009A5683"/>
    <w:rsid w:val="009B558A"/>
    <w:rsid w:val="009C1332"/>
    <w:rsid w:val="009C136C"/>
    <w:rsid w:val="009C16E9"/>
    <w:rsid w:val="009C2F83"/>
    <w:rsid w:val="009C4308"/>
    <w:rsid w:val="009C4537"/>
    <w:rsid w:val="009D13E9"/>
    <w:rsid w:val="009D1F66"/>
    <w:rsid w:val="009D4D93"/>
    <w:rsid w:val="009D66A3"/>
    <w:rsid w:val="009D6F47"/>
    <w:rsid w:val="009D7810"/>
    <w:rsid w:val="009E0EC7"/>
    <w:rsid w:val="009E2C84"/>
    <w:rsid w:val="009E545E"/>
    <w:rsid w:val="009F6423"/>
    <w:rsid w:val="00A023FE"/>
    <w:rsid w:val="00A03809"/>
    <w:rsid w:val="00A0678C"/>
    <w:rsid w:val="00A10714"/>
    <w:rsid w:val="00A11402"/>
    <w:rsid w:val="00A16CAC"/>
    <w:rsid w:val="00A17CEA"/>
    <w:rsid w:val="00A23175"/>
    <w:rsid w:val="00A24D23"/>
    <w:rsid w:val="00A24DC3"/>
    <w:rsid w:val="00A31A76"/>
    <w:rsid w:val="00A33569"/>
    <w:rsid w:val="00A354F6"/>
    <w:rsid w:val="00A35E70"/>
    <w:rsid w:val="00A37EC4"/>
    <w:rsid w:val="00A410C3"/>
    <w:rsid w:val="00A452E9"/>
    <w:rsid w:val="00A476ED"/>
    <w:rsid w:val="00A50063"/>
    <w:rsid w:val="00A5136A"/>
    <w:rsid w:val="00A529D9"/>
    <w:rsid w:val="00A52F2C"/>
    <w:rsid w:val="00A57234"/>
    <w:rsid w:val="00A63791"/>
    <w:rsid w:val="00A663E8"/>
    <w:rsid w:val="00A66B81"/>
    <w:rsid w:val="00A67343"/>
    <w:rsid w:val="00A70E8C"/>
    <w:rsid w:val="00A721E8"/>
    <w:rsid w:val="00A73B2A"/>
    <w:rsid w:val="00A76F24"/>
    <w:rsid w:val="00A77CA5"/>
    <w:rsid w:val="00A809B6"/>
    <w:rsid w:val="00A80D79"/>
    <w:rsid w:val="00A8313A"/>
    <w:rsid w:val="00A870CC"/>
    <w:rsid w:val="00A9114A"/>
    <w:rsid w:val="00A9331B"/>
    <w:rsid w:val="00A93EEA"/>
    <w:rsid w:val="00A94289"/>
    <w:rsid w:val="00A94BD9"/>
    <w:rsid w:val="00A95446"/>
    <w:rsid w:val="00A96756"/>
    <w:rsid w:val="00A97840"/>
    <w:rsid w:val="00A979C0"/>
    <w:rsid w:val="00AA14CF"/>
    <w:rsid w:val="00AA20CF"/>
    <w:rsid w:val="00AA77DD"/>
    <w:rsid w:val="00AB004B"/>
    <w:rsid w:val="00AB3991"/>
    <w:rsid w:val="00AB4962"/>
    <w:rsid w:val="00AC3925"/>
    <w:rsid w:val="00AC7091"/>
    <w:rsid w:val="00AC7618"/>
    <w:rsid w:val="00AD15FE"/>
    <w:rsid w:val="00AD51BC"/>
    <w:rsid w:val="00AD5A2A"/>
    <w:rsid w:val="00AE0B17"/>
    <w:rsid w:val="00AE11DF"/>
    <w:rsid w:val="00AE57BB"/>
    <w:rsid w:val="00AE7FA1"/>
    <w:rsid w:val="00AF0E66"/>
    <w:rsid w:val="00AF13C7"/>
    <w:rsid w:val="00AF513A"/>
    <w:rsid w:val="00B01317"/>
    <w:rsid w:val="00B015FA"/>
    <w:rsid w:val="00B01B8F"/>
    <w:rsid w:val="00B04180"/>
    <w:rsid w:val="00B06FC8"/>
    <w:rsid w:val="00B1000B"/>
    <w:rsid w:val="00B13CCE"/>
    <w:rsid w:val="00B13E47"/>
    <w:rsid w:val="00B1635D"/>
    <w:rsid w:val="00B16FEB"/>
    <w:rsid w:val="00B20897"/>
    <w:rsid w:val="00B2103B"/>
    <w:rsid w:val="00B217F9"/>
    <w:rsid w:val="00B2333F"/>
    <w:rsid w:val="00B24B5A"/>
    <w:rsid w:val="00B24F51"/>
    <w:rsid w:val="00B2750D"/>
    <w:rsid w:val="00B27EBA"/>
    <w:rsid w:val="00B310F4"/>
    <w:rsid w:val="00B33831"/>
    <w:rsid w:val="00B3673E"/>
    <w:rsid w:val="00B377B3"/>
    <w:rsid w:val="00B41E84"/>
    <w:rsid w:val="00B41F79"/>
    <w:rsid w:val="00B42331"/>
    <w:rsid w:val="00B429C2"/>
    <w:rsid w:val="00B43668"/>
    <w:rsid w:val="00B4508A"/>
    <w:rsid w:val="00B47157"/>
    <w:rsid w:val="00B47703"/>
    <w:rsid w:val="00B53CD1"/>
    <w:rsid w:val="00B55529"/>
    <w:rsid w:val="00B568BB"/>
    <w:rsid w:val="00B61B83"/>
    <w:rsid w:val="00B71C00"/>
    <w:rsid w:val="00B7473B"/>
    <w:rsid w:val="00B77CD7"/>
    <w:rsid w:val="00B806C3"/>
    <w:rsid w:val="00B84179"/>
    <w:rsid w:val="00B85D0F"/>
    <w:rsid w:val="00B9132F"/>
    <w:rsid w:val="00B91F8F"/>
    <w:rsid w:val="00B96264"/>
    <w:rsid w:val="00BA5914"/>
    <w:rsid w:val="00BB0AC1"/>
    <w:rsid w:val="00BB17B0"/>
    <w:rsid w:val="00BB2954"/>
    <w:rsid w:val="00BB2B9E"/>
    <w:rsid w:val="00BB3358"/>
    <w:rsid w:val="00BB5E66"/>
    <w:rsid w:val="00BC0913"/>
    <w:rsid w:val="00BC0FC5"/>
    <w:rsid w:val="00BC110C"/>
    <w:rsid w:val="00BC1BC3"/>
    <w:rsid w:val="00BC1E01"/>
    <w:rsid w:val="00BC2CFF"/>
    <w:rsid w:val="00BC2E91"/>
    <w:rsid w:val="00BC574E"/>
    <w:rsid w:val="00BC7EB9"/>
    <w:rsid w:val="00BD0D7E"/>
    <w:rsid w:val="00BD1A8E"/>
    <w:rsid w:val="00BD1F81"/>
    <w:rsid w:val="00BD2683"/>
    <w:rsid w:val="00BD3F29"/>
    <w:rsid w:val="00BD550A"/>
    <w:rsid w:val="00BD7275"/>
    <w:rsid w:val="00BE2B1F"/>
    <w:rsid w:val="00BE4807"/>
    <w:rsid w:val="00BF341E"/>
    <w:rsid w:val="00BF53F4"/>
    <w:rsid w:val="00BF5BE5"/>
    <w:rsid w:val="00BF621A"/>
    <w:rsid w:val="00C017FE"/>
    <w:rsid w:val="00C02996"/>
    <w:rsid w:val="00C02C0E"/>
    <w:rsid w:val="00C054BF"/>
    <w:rsid w:val="00C07565"/>
    <w:rsid w:val="00C07DA7"/>
    <w:rsid w:val="00C101F4"/>
    <w:rsid w:val="00C12774"/>
    <w:rsid w:val="00C13F10"/>
    <w:rsid w:val="00C15517"/>
    <w:rsid w:val="00C20468"/>
    <w:rsid w:val="00C21597"/>
    <w:rsid w:val="00C21EC7"/>
    <w:rsid w:val="00C22711"/>
    <w:rsid w:val="00C32FB1"/>
    <w:rsid w:val="00C365C3"/>
    <w:rsid w:val="00C37CC2"/>
    <w:rsid w:val="00C4099B"/>
    <w:rsid w:val="00C415EE"/>
    <w:rsid w:val="00C4263C"/>
    <w:rsid w:val="00C4303D"/>
    <w:rsid w:val="00C479B7"/>
    <w:rsid w:val="00C511CF"/>
    <w:rsid w:val="00C522DB"/>
    <w:rsid w:val="00C54566"/>
    <w:rsid w:val="00C54723"/>
    <w:rsid w:val="00C547AF"/>
    <w:rsid w:val="00C57E30"/>
    <w:rsid w:val="00C6268B"/>
    <w:rsid w:val="00C6495C"/>
    <w:rsid w:val="00C65C8D"/>
    <w:rsid w:val="00C671CB"/>
    <w:rsid w:val="00C765FB"/>
    <w:rsid w:val="00C813C0"/>
    <w:rsid w:val="00C865F7"/>
    <w:rsid w:val="00C87D9D"/>
    <w:rsid w:val="00C909BB"/>
    <w:rsid w:val="00C915F9"/>
    <w:rsid w:val="00CA4717"/>
    <w:rsid w:val="00CB6EB0"/>
    <w:rsid w:val="00CC0B84"/>
    <w:rsid w:val="00CC2E63"/>
    <w:rsid w:val="00CC734A"/>
    <w:rsid w:val="00CE1325"/>
    <w:rsid w:val="00CE41ED"/>
    <w:rsid w:val="00CE5ED0"/>
    <w:rsid w:val="00CE7C44"/>
    <w:rsid w:val="00CF0AFA"/>
    <w:rsid w:val="00CF0D53"/>
    <w:rsid w:val="00CF1092"/>
    <w:rsid w:val="00CF41AB"/>
    <w:rsid w:val="00CF436D"/>
    <w:rsid w:val="00D0336C"/>
    <w:rsid w:val="00D04034"/>
    <w:rsid w:val="00D04209"/>
    <w:rsid w:val="00D079A9"/>
    <w:rsid w:val="00D203B1"/>
    <w:rsid w:val="00D2138C"/>
    <w:rsid w:val="00D31ADA"/>
    <w:rsid w:val="00D32EE0"/>
    <w:rsid w:val="00D348D9"/>
    <w:rsid w:val="00D40E0E"/>
    <w:rsid w:val="00D428E3"/>
    <w:rsid w:val="00D5262A"/>
    <w:rsid w:val="00D5411A"/>
    <w:rsid w:val="00D55A7B"/>
    <w:rsid w:val="00D619B1"/>
    <w:rsid w:val="00D6302A"/>
    <w:rsid w:val="00D65314"/>
    <w:rsid w:val="00D80251"/>
    <w:rsid w:val="00D808B4"/>
    <w:rsid w:val="00D80DE0"/>
    <w:rsid w:val="00D81EEE"/>
    <w:rsid w:val="00D914FB"/>
    <w:rsid w:val="00D92AFF"/>
    <w:rsid w:val="00D9442D"/>
    <w:rsid w:val="00D9459E"/>
    <w:rsid w:val="00D94BAF"/>
    <w:rsid w:val="00D9561E"/>
    <w:rsid w:val="00D95917"/>
    <w:rsid w:val="00D961CE"/>
    <w:rsid w:val="00D962ED"/>
    <w:rsid w:val="00DA0BD5"/>
    <w:rsid w:val="00DA19EF"/>
    <w:rsid w:val="00DA23CC"/>
    <w:rsid w:val="00DA687A"/>
    <w:rsid w:val="00DA73EB"/>
    <w:rsid w:val="00DA7B91"/>
    <w:rsid w:val="00DB111B"/>
    <w:rsid w:val="00DB1576"/>
    <w:rsid w:val="00DB1A68"/>
    <w:rsid w:val="00DB2012"/>
    <w:rsid w:val="00DB493D"/>
    <w:rsid w:val="00DB6F2B"/>
    <w:rsid w:val="00DB70DB"/>
    <w:rsid w:val="00DB772B"/>
    <w:rsid w:val="00DC065A"/>
    <w:rsid w:val="00DC48C6"/>
    <w:rsid w:val="00DC5FE9"/>
    <w:rsid w:val="00DD2807"/>
    <w:rsid w:val="00DD35A9"/>
    <w:rsid w:val="00DD698F"/>
    <w:rsid w:val="00DE00FB"/>
    <w:rsid w:val="00DE3B9A"/>
    <w:rsid w:val="00DE3ECB"/>
    <w:rsid w:val="00DE4928"/>
    <w:rsid w:val="00DF208D"/>
    <w:rsid w:val="00DF263D"/>
    <w:rsid w:val="00E00800"/>
    <w:rsid w:val="00E039AA"/>
    <w:rsid w:val="00E03C2A"/>
    <w:rsid w:val="00E040AD"/>
    <w:rsid w:val="00E06EF4"/>
    <w:rsid w:val="00E1372F"/>
    <w:rsid w:val="00E1557B"/>
    <w:rsid w:val="00E25D20"/>
    <w:rsid w:val="00E2734A"/>
    <w:rsid w:val="00E2785A"/>
    <w:rsid w:val="00E304FD"/>
    <w:rsid w:val="00E35230"/>
    <w:rsid w:val="00E3755C"/>
    <w:rsid w:val="00E37B43"/>
    <w:rsid w:val="00E413A9"/>
    <w:rsid w:val="00E4183E"/>
    <w:rsid w:val="00E50D3B"/>
    <w:rsid w:val="00E534BE"/>
    <w:rsid w:val="00E5357E"/>
    <w:rsid w:val="00E55199"/>
    <w:rsid w:val="00E56214"/>
    <w:rsid w:val="00E63093"/>
    <w:rsid w:val="00E6515A"/>
    <w:rsid w:val="00E65B61"/>
    <w:rsid w:val="00E668FD"/>
    <w:rsid w:val="00E672CC"/>
    <w:rsid w:val="00E67889"/>
    <w:rsid w:val="00E75438"/>
    <w:rsid w:val="00E81F7E"/>
    <w:rsid w:val="00E83AB6"/>
    <w:rsid w:val="00E83B96"/>
    <w:rsid w:val="00E85D3C"/>
    <w:rsid w:val="00E87F5C"/>
    <w:rsid w:val="00E95592"/>
    <w:rsid w:val="00E95E17"/>
    <w:rsid w:val="00EA0CA2"/>
    <w:rsid w:val="00EA14B4"/>
    <w:rsid w:val="00EA295E"/>
    <w:rsid w:val="00EA2D99"/>
    <w:rsid w:val="00EA43B8"/>
    <w:rsid w:val="00EA68A5"/>
    <w:rsid w:val="00EB400A"/>
    <w:rsid w:val="00EB52DC"/>
    <w:rsid w:val="00EB60ED"/>
    <w:rsid w:val="00EB6475"/>
    <w:rsid w:val="00EB6DF8"/>
    <w:rsid w:val="00EB7141"/>
    <w:rsid w:val="00EB75A1"/>
    <w:rsid w:val="00EC01FB"/>
    <w:rsid w:val="00EC4979"/>
    <w:rsid w:val="00ED0D6A"/>
    <w:rsid w:val="00ED11AB"/>
    <w:rsid w:val="00ED3FD1"/>
    <w:rsid w:val="00ED51FA"/>
    <w:rsid w:val="00EE23D0"/>
    <w:rsid w:val="00EE4B5A"/>
    <w:rsid w:val="00EE5DD8"/>
    <w:rsid w:val="00EF08E6"/>
    <w:rsid w:val="00EF4710"/>
    <w:rsid w:val="00EF6EC6"/>
    <w:rsid w:val="00F03F59"/>
    <w:rsid w:val="00F05FD8"/>
    <w:rsid w:val="00F07825"/>
    <w:rsid w:val="00F10720"/>
    <w:rsid w:val="00F11EFD"/>
    <w:rsid w:val="00F124CC"/>
    <w:rsid w:val="00F12F2C"/>
    <w:rsid w:val="00F16508"/>
    <w:rsid w:val="00F16FEA"/>
    <w:rsid w:val="00F2145D"/>
    <w:rsid w:val="00F221DB"/>
    <w:rsid w:val="00F2334F"/>
    <w:rsid w:val="00F238DA"/>
    <w:rsid w:val="00F251A2"/>
    <w:rsid w:val="00F2789C"/>
    <w:rsid w:val="00F3027F"/>
    <w:rsid w:val="00F30B4C"/>
    <w:rsid w:val="00F34432"/>
    <w:rsid w:val="00F34EEA"/>
    <w:rsid w:val="00F35578"/>
    <w:rsid w:val="00F35ADF"/>
    <w:rsid w:val="00F366ED"/>
    <w:rsid w:val="00F40A65"/>
    <w:rsid w:val="00F42721"/>
    <w:rsid w:val="00F4530A"/>
    <w:rsid w:val="00F47BFB"/>
    <w:rsid w:val="00F50984"/>
    <w:rsid w:val="00F516E2"/>
    <w:rsid w:val="00F52BEF"/>
    <w:rsid w:val="00F52C7A"/>
    <w:rsid w:val="00F572E2"/>
    <w:rsid w:val="00F63DB6"/>
    <w:rsid w:val="00F655F9"/>
    <w:rsid w:val="00F67445"/>
    <w:rsid w:val="00F6764B"/>
    <w:rsid w:val="00F7135D"/>
    <w:rsid w:val="00F73A93"/>
    <w:rsid w:val="00F73CBD"/>
    <w:rsid w:val="00F7463B"/>
    <w:rsid w:val="00F74C72"/>
    <w:rsid w:val="00F810F4"/>
    <w:rsid w:val="00F83567"/>
    <w:rsid w:val="00F83D1A"/>
    <w:rsid w:val="00F84350"/>
    <w:rsid w:val="00F87DD6"/>
    <w:rsid w:val="00F901E8"/>
    <w:rsid w:val="00F9280B"/>
    <w:rsid w:val="00F94E2A"/>
    <w:rsid w:val="00F96EDC"/>
    <w:rsid w:val="00F97159"/>
    <w:rsid w:val="00F97957"/>
    <w:rsid w:val="00FA03D8"/>
    <w:rsid w:val="00FA1B42"/>
    <w:rsid w:val="00FA3B38"/>
    <w:rsid w:val="00FA70CB"/>
    <w:rsid w:val="00FB1401"/>
    <w:rsid w:val="00FB2B20"/>
    <w:rsid w:val="00FB4405"/>
    <w:rsid w:val="00FB5504"/>
    <w:rsid w:val="00FB7BB4"/>
    <w:rsid w:val="00FC2FB0"/>
    <w:rsid w:val="00FC31AE"/>
    <w:rsid w:val="00FC35AE"/>
    <w:rsid w:val="00FC3B96"/>
    <w:rsid w:val="00FC4831"/>
    <w:rsid w:val="00FC7191"/>
    <w:rsid w:val="00FC7B54"/>
    <w:rsid w:val="00FD1F5A"/>
    <w:rsid w:val="00FD2A4F"/>
    <w:rsid w:val="00FD5FF0"/>
    <w:rsid w:val="00FD7331"/>
    <w:rsid w:val="00FE545F"/>
    <w:rsid w:val="00FE7BCB"/>
    <w:rsid w:val="00FF13C5"/>
    <w:rsid w:val="00FF32AC"/>
    <w:rsid w:val="00FF4A07"/>
    <w:rsid w:val="00FF5C2E"/>
    <w:rsid w:val="00F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41A6C0-BE3E-4401-A749-176744AA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1205</Words>
  <Characters>6871</Characters>
  <Application>Microsoft Office Word</Application>
  <DocSecurity>0</DocSecurity>
  <Lines>57</Lines>
  <Paragraphs>16</Paragraphs>
  <ScaleCrop>false</ScaleCrop>
  <Company/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Anbuselvi A</dc:creator>
  <cp:keywords/>
  <dc:description/>
  <cp:lastModifiedBy>Anbuselvi A</cp:lastModifiedBy>
  <cp:revision>2</cp:revision>
  <dcterms:created xsi:type="dcterms:W3CDTF">2025-10-10T13:01:00Z</dcterms:created>
  <dcterms:modified xsi:type="dcterms:W3CDTF">2025-10-11T09:45:00Z</dcterms:modified>
</cp:coreProperties>
</file>