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FAD" w:rsidRPr="00D252E1" w:rsidRDefault="00355FAD" w:rsidP="00355FAD">
      <w:pPr>
        <w:pStyle w:val="Heading1"/>
        <w:rPr>
          <w:color w:val="000000" w:themeColor="text1"/>
        </w:rPr>
      </w:pPr>
      <w:r w:rsidRPr="00D252E1">
        <w:rPr>
          <w:color w:val="000000" w:themeColor="text1"/>
        </w:rPr>
        <w:t>Supplements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5"/>
        <w:gridCol w:w="3600"/>
      </w:tblGrid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B770FF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Overall</w:t>
            </w:r>
            <w:r>
              <w:br/>
            </w: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(N=163)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Years since breast cancer diagnosis, median (IQR)</w:t>
            </w:r>
          </w:p>
        </w:tc>
        <w:tc>
          <w:tcPr>
            <w:tcW w:w="360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9.00 (IQR 7.0 - 13.0)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Affected breast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Right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77 (47.2%)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Left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81 (49.7%)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Bilateral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5 (3.1%)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 - stage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35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57 (35.0%)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77 (47.2%)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23 (14.1%)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T4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4 (2.5%)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N - stage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N0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28 (17.2%)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N1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67 (41.1%)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N2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46 (28.2%)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N3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21 (12.9%)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N4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M - stage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M0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135 (82</w:t>
            </w: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.8%)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M1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Mx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AF056B5">
              <w:rPr>
                <w:rFonts w:eastAsiaTheme="minorEastAsia"/>
                <w:color w:val="000000" w:themeColor="text1"/>
                <w:sz w:val="20"/>
                <w:szCs w:val="20"/>
              </w:rPr>
              <w:t>27 (16</w:t>
            </w: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lastRenderedPageBreak/>
              <w:t>Primary tumor location,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Upper outer quadrant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107 (65.6%)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Upper inner quadrant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24 (14.7%)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Lower inner quadrant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9 (5.5%)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Centrally behind nipple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5 (3.1%)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Multifocal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17 (10.4%)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Primary tumor diameter (mm), median (IQR)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23.0 (IQR 15.0 - 35.0)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ER</w:t>
            </w: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pos</w:t>
            </w: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eastAsiaTheme="minorEastAsia" w:cstheme="minorHAnsi"/>
                <w:b/>
                <w:bCs/>
                <w:color w:val="000000" w:themeColor="text1"/>
                <w:sz w:val="20"/>
                <w:szCs w:val="20"/>
              </w:rPr>
              <w:t>≥</w:t>
            </w: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10%</w:t>
            </w: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110 (67.5%)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Her2Neu pos (IHC 3+ or amplification),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28 (17.2%)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Germline </w:t>
            </w: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DNA mutations,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Pr="004A6EF1" w:rsidRDefault="00355FAD" w:rsidP="00F729F8">
            <w:pPr>
              <w:spacing w:line="240" w:lineRule="auto"/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</w:pPr>
            <w:r w:rsidRPr="004A6EF1"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  <w:t>BRCA1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8 (4.9%)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Pr="004A6EF1" w:rsidRDefault="00355FAD" w:rsidP="00F729F8">
            <w:pPr>
              <w:spacing w:line="240" w:lineRule="auto"/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</w:pPr>
            <w:r w:rsidRPr="004A6EF1"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  <w:t>BRCA2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2 (1.2%)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Pr="004A6EF1" w:rsidRDefault="00355FAD" w:rsidP="00F729F8">
            <w:pPr>
              <w:spacing w:line="240" w:lineRule="auto"/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</w:pPr>
            <w:r w:rsidRPr="004A6EF1"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  <w:t>CHEK2</w:t>
            </w:r>
            <w:r>
              <w:rPr>
                <w:rFonts w:eastAsiaTheme="minorEastAsia"/>
                <w:i/>
                <w:iCs/>
                <w:color w:val="000000" w:themeColor="text1"/>
                <w:sz w:val="20"/>
                <w:szCs w:val="20"/>
              </w:rPr>
              <w:t>1100delC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No DNA mutations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152 (93.3%)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Breast surgery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162 (99.4%)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Type of breast surgery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Mastectomy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97 (59.9%)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Lumpectomy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65 (40.1%)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ALND (total),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146 (89.6%)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SLNB (total),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58 (35.6%)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Lymph nodes removed, median (IQR)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14.0 (IQR 9.0 - 20.5)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Reconstructive surgery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Primary reconstructive surgery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21 (12.9%)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Secondary reconstructive surgery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60 (36.8%)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No reconstructive surgery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603141F">
              <w:rPr>
                <w:rFonts w:eastAsiaTheme="minorEastAsia"/>
                <w:color w:val="000000" w:themeColor="text1"/>
                <w:sz w:val="20"/>
                <w:szCs w:val="20"/>
              </w:rPr>
              <w:t>82 (50.3%)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lastRenderedPageBreak/>
              <w:t>Chemotherapy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147 (90.2%)</w:t>
            </w:r>
          </w:p>
        </w:tc>
      </w:tr>
      <w:tr w:rsidR="00355FAD" w:rsidTr="00F729F8">
        <w:trPr>
          <w:trHeight w:val="50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Adjuvant/Neoadjuvant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Adjuvant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95 (64.6%)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Neoadjuvant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51 (34.7%)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Neoadjuvant and adjuvant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 (0.7%)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Chemotherapy sessions, median (IQR)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6.0 (IQR 5.5 - 8.0)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Type of chemotherapy,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4C5D73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4C5D73">
              <w:rPr>
                <w:rFonts w:eastAsiaTheme="minorEastAsia"/>
                <w:color w:val="000000" w:themeColor="text1"/>
                <w:sz w:val="20"/>
                <w:szCs w:val="20"/>
              </w:rPr>
              <w:t>Anthracycline and taxane based schedules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103 (70.1%)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4C5D73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4C5D73">
              <w:rPr>
                <w:rFonts w:eastAsiaTheme="minorEastAsia"/>
                <w:color w:val="000000" w:themeColor="text1"/>
                <w:sz w:val="20"/>
                <w:szCs w:val="20"/>
              </w:rPr>
              <w:t>Solely anthracycline based agents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39 (26.5%)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4C5D73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4C5D73">
              <w:rPr>
                <w:rFonts w:eastAsiaTheme="minorEastAsia"/>
                <w:color w:val="000000" w:themeColor="text1"/>
                <w:sz w:val="20"/>
                <w:szCs w:val="20"/>
              </w:rPr>
              <w:t>Solely taxane based agents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ind w:left="227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5 (3.4%)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Taxane</w:t>
            </w: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based chemotherapy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108</w:t>
            </w: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66.3</w:t>
            </w: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Platinum-based chemotherapy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8 (4.9%)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Antihormonal 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5CED4869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CED4869">
              <w:rPr>
                <w:rFonts w:eastAsiaTheme="minorEastAsia"/>
                <w:color w:val="000000" w:themeColor="text1"/>
                <w:sz w:val="20"/>
                <w:szCs w:val="20"/>
              </w:rPr>
              <w:t>110 (67.5%)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1735B021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Anti-HER2 targeted 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1735B021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19 (11.6%)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b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PARP inhibitor targeted </w:t>
            </w:r>
            <w:r w:rsidRPr="1735B021" w:rsidDel="00B95198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therapy</w:t>
            </w: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3 (13.1%)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CDK4/6 inhibitor </w:t>
            </w:r>
            <w:r w:rsidRPr="1735B021" w:rsidDel="00B95198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therapy</w:t>
            </w: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735B021">
              <w:rPr>
                <w:rFonts w:eastAsiaTheme="minorEastAsia"/>
                <w:color w:val="000000" w:themeColor="text1"/>
                <w:sz w:val="20"/>
                <w:szCs w:val="20"/>
              </w:rPr>
              <w:t>1 (4.3%)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Radiotherapy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color w:val="000000" w:themeColor="text1"/>
                <w:sz w:val="20"/>
                <w:szCs w:val="20"/>
              </w:rPr>
              <w:t>143 (87.7%)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Irradiation site / Targeted regions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0240B2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0240B2">
              <w:rPr>
                <w:rFonts w:eastAsiaTheme="minorEastAsia"/>
                <w:color w:val="000000" w:themeColor="text1"/>
                <w:sz w:val="20"/>
                <w:szCs w:val="20"/>
              </w:rPr>
              <w:t>Breast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52EF7868">
              <w:rPr>
                <w:rFonts w:eastAsiaTheme="minorEastAsia"/>
                <w:color w:val="000000" w:themeColor="text1"/>
                <w:sz w:val="20"/>
                <w:szCs w:val="20"/>
              </w:rPr>
              <w:t>29 (</w:t>
            </w:r>
            <w:r w:rsidRPr="1FD1A6BE">
              <w:rPr>
                <w:rFonts w:eastAsiaTheme="minorEastAsia"/>
                <w:color w:val="000000" w:themeColor="text1"/>
                <w:sz w:val="20"/>
                <w:szCs w:val="20"/>
              </w:rPr>
              <w:t>20</w:t>
            </w:r>
            <w:r w:rsidRPr="4EE933DE">
              <w:rPr>
                <w:rFonts w:eastAsiaTheme="minorEastAsia"/>
                <w:color w:val="000000" w:themeColor="text1"/>
                <w:sz w:val="20"/>
                <w:szCs w:val="20"/>
              </w:rPr>
              <w:t>.3%)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0240B2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0240B2">
              <w:rPr>
                <w:rFonts w:eastAsiaTheme="minorEastAsia"/>
                <w:color w:val="000000" w:themeColor="text1"/>
                <w:sz w:val="20"/>
                <w:szCs w:val="20"/>
              </w:rPr>
              <w:t>Breast and axillary lymph nodes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4D88420D">
              <w:rPr>
                <w:rFonts w:eastAsiaTheme="minorEastAsia"/>
                <w:color w:val="000000" w:themeColor="text1"/>
                <w:sz w:val="20"/>
                <w:szCs w:val="20"/>
              </w:rPr>
              <w:t>30 (</w:t>
            </w:r>
            <w:r w:rsidRPr="3FFAD77F">
              <w:rPr>
                <w:rFonts w:eastAsiaTheme="minorEastAsia"/>
                <w:color w:val="000000" w:themeColor="text1"/>
                <w:sz w:val="20"/>
                <w:szCs w:val="20"/>
              </w:rPr>
              <w:t>20.9</w:t>
            </w:r>
            <w:r w:rsidRPr="295C57E0">
              <w:rPr>
                <w:rFonts w:eastAsiaTheme="minorEastAsia"/>
                <w:color w:val="000000" w:themeColor="text1"/>
                <w:sz w:val="20"/>
                <w:szCs w:val="20"/>
              </w:rPr>
              <w:t>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0240B2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0240B2">
              <w:rPr>
                <w:rFonts w:eastAsiaTheme="minorEastAsia"/>
                <w:color w:val="000000" w:themeColor="text1"/>
                <w:sz w:val="20"/>
                <w:szCs w:val="20"/>
              </w:rPr>
              <w:t>Chest wall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79EBEF20">
              <w:rPr>
                <w:rFonts w:eastAsiaTheme="minorEastAsia"/>
                <w:color w:val="000000" w:themeColor="text1"/>
                <w:sz w:val="20"/>
                <w:szCs w:val="20"/>
              </w:rPr>
              <w:t>31</w:t>
            </w:r>
            <w:r w:rsidRPr="589CB8CF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(</w:t>
            </w:r>
            <w:r w:rsidRPr="27B00EB1">
              <w:rPr>
                <w:rFonts w:eastAsiaTheme="minorEastAsia"/>
                <w:color w:val="000000" w:themeColor="text1"/>
                <w:sz w:val="20"/>
                <w:szCs w:val="20"/>
              </w:rPr>
              <w:t>21.7</w:t>
            </w:r>
            <w:r w:rsidRPr="0038AABD">
              <w:rPr>
                <w:rFonts w:eastAsiaTheme="minorEastAsia"/>
                <w:color w:val="000000" w:themeColor="text1"/>
                <w:sz w:val="20"/>
                <w:szCs w:val="20"/>
              </w:rPr>
              <w:t>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0240B2" w:rsidRDefault="00355FAD" w:rsidP="00F729F8">
            <w:pPr>
              <w:spacing w:line="240" w:lineRule="auto"/>
              <w:ind w:left="227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0240B2">
              <w:rPr>
                <w:rFonts w:eastAsiaTheme="minorEastAsia"/>
                <w:color w:val="000000" w:themeColor="text1"/>
                <w:sz w:val="20"/>
                <w:szCs w:val="20"/>
              </w:rPr>
              <w:t>Chest wall and axillary lymph nodes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27B00EB1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52 </w:t>
            </w:r>
            <w:r w:rsidRPr="2DC34DBB">
              <w:rPr>
                <w:rFonts w:eastAsiaTheme="minorEastAsia"/>
                <w:color w:val="000000" w:themeColor="text1"/>
                <w:sz w:val="20"/>
                <w:szCs w:val="20"/>
              </w:rPr>
              <w:t>(</w:t>
            </w:r>
            <w:r w:rsidRPr="47401725">
              <w:rPr>
                <w:rFonts w:eastAsiaTheme="minorEastAsia"/>
                <w:color w:val="000000" w:themeColor="text1"/>
                <w:sz w:val="20"/>
                <w:szCs w:val="20"/>
              </w:rPr>
              <w:t>36.4</w:t>
            </w:r>
            <w:r w:rsidRPr="2DC34DBB">
              <w:rPr>
                <w:rFonts w:eastAsiaTheme="minorEastAsia"/>
                <w:color w:val="000000" w:themeColor="text1"/>
                <w:sz w:val="20"/>
                <w:szCs w:val="20"/>
              </w:rPr>
              <w:t>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0240B2" w:rsidRDefault="00355FAD" w:rsidP="00F729F8">
            <w:pPr>
              <w:spacing w:line="240" w:lineRule="auto"/>
              <w:ind w:left="227"/>
            </w:pPr>
            <w:r w:rsidRPr="000240B2">
              <w:rPr>
                <w:rFonts w:eastAsiaTheme="minorEastAsia"/>
                <w:color w:val="000000" w:themeColor="text1"/>
                <w:sz w:val="20"/>
                <w:szCs w:val="20"/>
              </w:rPr>
              <w:t>Periclavicular lymph nodes and axillary lymph nodes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3BE9691A">
              <w:rPr>
                <w:rFonts w:eastAsiaTheme="minorEastAsia"/>
                <w:color w:val="000000" w:themeColor="text1"/>
                <w:sz w:val="20"/>
                <w:szCs w:val="20"/>
              </w:rPr>
              <w:t>1 (0</w:t>
            </w:r>
            <w:r w:rsidRPr="475EFD7C">
              <w:rPr>
                <w:rFonts w:eastAsiaTheme="minorEastAsia"/>
                <w:color w:val="000000" w:themeColor="text1"/>
                <w:sz w:val="20"/>
                <w:szCs w:val="20"/>
              </w:rPr>
              <w:t>.7%)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7F30C3C8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Regional nodal </w:t>
            </w:r>
            <w:r w:rsidRPr="7DACF269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irradiation (RNI), (</w:t>
            </w:r>
            <w:r w:rsidRPr="0B0FAB4E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yes)</w:t>
            </w:r>
            <w:r w:rsidRPr="4F08DB58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n</w:t>
            </w:r>
            <w:r w:rsidRPr="1FBCC39D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4F08DB58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3FCA4409">
              <w:rPr>
                <w:rFonts w:eastAsiaTheme="minorEastAsia"/>
                <w:color w:val="000000" w:themeColor="text1"/>
                <w:sz w:val="20"/>
                <w:szCs w:val="20"/>
              </w:rPr>
              <w:t>83 (</w:t>
            </w:r>
            <w:r w:rsidRPr="4CECC2B2">
              <w:rPr>
                <w:rFonts w:eastAsiaTheme="minorEastAsia"/>
                <w:color w:val="000000" w:themeColor="text1"/>
                <w:sz w:val="20"/>
                <w:szCs w:val="20"/>
              </w:rPr>
              <w:t>58%)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37AB2905" w:rsidRDefault="00355FAD" w:rsidP="00F729F8">
            <w:pPr>
              <w:spacing w:line="240" w:lineRule="auto"/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37AB2905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Radiation therapy boost (yes), n (%)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37AB2905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37AB2905">
              <w:rPr>
                <w:rFonts w:eastAsiaTheme="minorEastAsia"/>
                <w:color w:val="000000" w:themeColor="text1"/>
                <w:sz w:val="20"/>
                <w:szCs w:val="20"/>
              </w:rPr>
              <w:t>45 (31.5%)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rPr>
                <w:rFonts w:eastAsiaTheme="minorEastAsia"/>
                <w:b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Total radiation dosage (Gy), median (IQR)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color w:val="000000" w:themeColor="text1"/>
                <w:sz w:val="20"/>
                <w:szCs w:val="20"/>
              </w:rPr>
              <w:t>50.0 Gy (IQR 40.0-55.9)</w:t>
            </w:r>
          </w:p>
        </w:tc>
      </w:tr>
      <w:tr w:rsidR="00355FAD" w:rsidTr="00F729F8">
        <w:trPr>
          <w:trHeight w:val="20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rPr>
                <w:rFonts w:eastAsiaTheme="minorEastAsia"/>
                <w:b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lastRenderedPageBreak/>
              <w:t>Number of radiotherapy sessions, median (IQR)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355FAD" w:rsidRPr="002B3870" w:rsidRDefault="00355FAD" w:rsidP="00F729F8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2B3870">
              <w:rPr>
                <w:rFonts w:eastAsiaTheme="minorEastAsia"/>
                <w:color w:val="000000" w:themeColor="text1"/>
                <w:sz w:val="20"/>
                <w:szCs w:val="20"/>
              </w:rPr>
              <w:t>25.0 (IQR 15.0-25.0)</w:t>
            </w:r>
          </w:p>
        </w:tc>
      </w:tr>
    </w:tbl>
    <w:p w:rsidR="00355FAD" w:rsidRDefault="00355FAD" w:rsidP="00355FAD">
      <w:pPr>
        <w:rPr>
          <w:rFonts w:eastAsiaTheme="minorEastAsia"/>
          <w:b/>
          <w:bCs/>
          <w:sz w:val="20"/>
          <w:szCs w:val="20"/>
        </w:rPr>
      </w:pPr>
    </w:p>
    <w:p w:rsidR="00355FAD" w:rsidRDefault="00355FAD" w:rsidP="00355FAD">
      <w:pPr>
        <w:rPr>
          <w:rFonts w:eastAsiaTheme="minorEastAsia"/>
          <w:b/>
          <w:color w:val="000000" w:themeColor="text1"/>
          <w:sz w:val="20"/>
          <w:szCs w:val="20"/>
        </w:rPr>
      </w:pPr>
      <w:r w:rsidRPr="00D252E1">
        <w:rPr>
          <w:rFonts w:eastAsiaTheme="minorEastAsia"/>
          <w:b/>
          <w:color w:val="000000" w:themeColor="text1"/>
          <w:sz w:val="20"/>
          <w:szCs w:val="20"/>
        </w:rPr>
        <w:t>Supplementary Table 1</w:t>
      </w:r>
      <w:r w:rsidRPr="00D252E1">
        <w:rPr>
          <w:rFonts w:eastAsiaTheme="minorEastAsia"/>
          <w:b/>
          <w:bCs/>
          <w:color w:val="000000" w:themeColor="text1"/>
          <w:sz w:val="20"/>
          <w:szCs w:val="20"/>
        </w:rPr>
        <w:t>:</w:t>
      </w:r>
      <w:r w:rsidRPr="00D252E1">
        <w:rPr>
          <w:rFonts w:eastAsiaTheme="minorEastAsia"/>
          <w:b/>
          <w:color w:val="000000" w:themeColor="text1"/>
          <w:sz w:val="20"/>
          <w:szCs w:val="20"/>
        </w:rPr>
        <w:t xml:space="preserve"> Oncological characteristics and treatment history of patients with breast cancer-related lymphedema (BCRL).</w:t>
      </w:r>
    </w:p>
    <w:p w:rsidR="00355FAD" w:rsidRDefault="00355FAD" w:rsidP="00355FAD">
      <w:pPr>
        <w:rPr>
          <w:rFonts w:eastAsiaTheme="minorEastAsia"/>
          <w:b/>
          <w:color w:val="000000" w:themeColor="text1"/>
          <w:sz w:val="20"/>
          <w:szCs w:val="20"/>
        </w:rPr>
      </w:pPr>
    </w:p>
    <w:p w:rsidR="00355FAD" w:rsidRDefault="00355FAD" w:rsidP="00355FAD">
      <w:pPr>
        <w:pStyle w:val="Heading1"/>
      </w:pPr>
      <w:bookmarkStart w:id="0" w:name="_GoBack"/>
      <w:bookmarkEnd w:id="0"/>
    </w:p>
    <w:p w:rsidR="00355FAD" w:rsidRDefault="00355FAD" w:rsidP="00355FAD">
      <w:r>
        <w:rPr>
          <w:noProof/>
          <w:lang w:eastAsia="en-IN"/>
        </w:rPr>
        <w:drawing>
          <wp:inline distT="0" distB="0" distL="0" distR="0" wp14:anchorId="2BEB6963" wp14:editId="0136CBD1">
            <wp:extent cx="5248404" cy="3292398"/>
            <wp:effectExtent l="0" t="0" r="0" b="0"/>
            <wp:docPr id="1546913948" name="Picture 2" descr="A graph of a number of people with lymphom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404" cy="329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FAD" w:rsidRDefault="00355FAD" w:rsidP="00355FAD">
      <w:r>
        <w:rPr>
          <w:color w:val="000000" w:themeColor="text1"/>
        </w:rPr>
        <w:t xml:space="preserve">Supplementary </w:t>
      </w:r>
      <w:r w:rsidRPr="00D252E1">
        <w:rPr>
          <w:color w:val="000000" w:themeColor="text1"/>
        </w:rPr>
        <w:t xml:space="preserve">Figure </w:t>
      </w:r>
      <w:r>
        <w:rPr>
          <w:color w:val="000000" w:themeColor="text1"/>
        </w:rPr>
        <w:t>1</w:t>
      </w:r>
      <w:r w:rsidRPr="00D252E1">
        <w:rPr>
          <w:color w:val="000000" w:themeColor="text1"/>
        </w:rPr>
        <w:t xml:space="preserve">: Lymph-ICF categories </w:t>
      </w:r>
      <w:r>
        <w:t>based on total score.</w:t>
      </w:r>
    </w:p>
    <w:p w:rsidR="00355FAD" w:rsidRPr="00D252E1" w:rsidRDefault="00355FAD" w:rsidP="00355FAD">
      <w:pPr>
        <w:rPr>
          <w:rFonts w:eastAsiaTheme="minorEastAsia"/>
          <w:b/>
          <w:color w:val="000000" w:themeColor="text1"/>
          <w:sz w:val="20"/>
          <w:szCs w:val="20"/>
        </w:rPr>
      </w:pPr>
    </w:p>
    <w:p w:rsidR="003365AE" w:rsidRDefault="003365AE"/>
    <w:sectPr w:rsidR="003365AE" w:rsidSect="00732414">
      <w:pgSz w:w="11901" w:h="16817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AD"/>
    <w:rsid w:val="00000D2C"/>
    <w:rsid w:val="0003554F"/>
    <w:rsid w:val="00036CC2"/>
    <w:rsid w:val="0004685D"/>
    <w:rsid w:val="00060807"/>
    <w:rsid w:val="000642E6"/>
    <w:rsid w:val="0007226B"/>
    <w:rsid w:val="000916A0"/>
    <w:rsid w:val="000A679C"/>
    <w:rsid w:val="000B4284"/>
    <w:rsid w:val="000B7B3D"/>
    <w:rsid w:val="000C6886"/>
    <w:rsid w:val="000D69C1"/>
    <w:rsid w:val="000E1B61"/>
    <w:rsid w:val="000E55FC"/>
    <w:rsid w:val="000E742D"/>
    <w:rsid w:val="000E79CC"/>
    <w:rsid w:val="0010619E"/>
    <w:rsid w:val="001072A8"/>
    <w:rsid w:val="00122E70"/>
    <w:rsid w:val="00130147"/>
    <w:rsid w:val="00132313"/>
    <w:rsid w:val="001423B4"/>
    <w:rsid w:val="001434A2"/>
    <w:rsid w:val="001445FB"/>
    <w:rsid w:val="001555BD"/>
    <w:rsid w:val="001656E4"/>
    <w:rsid w:val="00173C7A"/>
    <w:rsid w:val="00182FE2"/>
    <w:rsid w:val="00187827"/>
    <w:rsid w:val="00195263"/>
    <w:rsid w:val="00196D5A"/>
    <w:rsid w:val="001A23AB"/>
    <w:rsid w:val="001B1909"/>
    <w:rsid w:val="001D233C"/>
    <w:rsid w:val="001D2350"/>
    <w:rsid w:val="001E3CB2"/>
    <w:rsid w:val="001F2A4A"/>
    <w:rsid w:val="00202CEF"/>
    <w:rsid w:val="00203D74"/>
    <w:rsid w:val="00210B33"/>
    <w:rsid w:val="002163A1"/>
    <w:rsid w:val="00227FDA"/>
    <w:rsid w:val="00244998"/>
    <w:rsid w:val="002527F7"/>
    <w:rsid w:val="002565F1"/>
    <w:rsid w:val="00261174"/>
    <w:rsid w:val="0026146F"/>
    <w:rsid w:val="00266023"/>
    <w:rsid w:val="00271296"/>
    <w:rsid w:val="00272EC6"/>
    <w:rsid w:val="002A7693"/>
    <w:rsid w:val="002A7C68"/>
    <w:rsid w:val="002E12B6"/>
    <w:rsid w:val="002E743C"/>
    <w:rsid w:val="002F5B99"/>
    <w:rsid w:val="00314031"/>
    <w:rsid w:val="003221CD"/>
    <w:rsid w:val="00322AB9"/>
    <w:rsid w:val="00324374"/>
    <w:rsid w:val="00326384"/>
    <w:rsid w:val="00331E07"/>
    <w:rsid w:val="003365AE"/>
    <w:rsid w:val="00343B26"/>
    <w:rsid w:val="0035428E"/>
    <w:rsid w:val="0035589D"/>
    <w:rsid w:val="00355FAD"/>
    <w:rsid w:val="0037016F"/>
    <w:rsid w:val="00375D24"/>
    <w:rsid w:val="0038431F"/>
    <w:rsid w:val="0038669E"/>
    <w:rsid w:val="00393D93"/>
    <w:rsid w:val="00394F63"/>
    <w:rsid w:val="003A1F68"/>
    <w:rsid w:val="003A3D6B"/>
    <w:rsid w:val="003B090A"/>
    <w:rsid w:val="003C728E"/>
    <w:rsid w:val="003D5186"/>
    <w:rsid w:val="003E7B31"/>
    <w:rsid w:val="00401536"/>
    <w:rsid w:val="00407CB4"/>
    <w:rsid w:val="00411F49"/>
    <w:rsid w:val="00416A81"/>
    <w:rsid w:val="00423DAE"/>
    <w:rsid w:val="00425DF6"/>
    <w:rsid w:val="00430798"/>
    <w:rsid w:val="00437030"/>
    <w:rsid w:val="00452264"/>
    <w:rsid w:val="004605C5"/>
    <w:rsid w:val="00462CE8"/>
    <w:rsid w:val="00464970"/>
    <w:rsid w:val="004713BE"/>
    <w:rsid w:val="004753B7"/>
    <w:rsid w:val="00475A36"/>
    <w:rsid w:val="004845B8"/>
    <w:rsid w:val="004911A5"/>
    <w:rsid w:val="00494B99"/>
    <w:rsid w:val="00494CBD"/>
    <w:rsid w:val="004A12F4"/>
    <w:rsid w:val="004A257A"/>
    <w:rsid w:val="004B28C2"/>
    <w:rsid w:val="004B48BB"/>
    <w:rsid w:val="004C417A"/>
    <w:rsid w:val="004D1384"/>
    <w:rsid w:val="004D22CE"/>
    <w:rsid w:val="004E2767"/>
    <w:rsid w:val="00502F94"/>
    <w:rsid w:val="00505E97"/>
    <w:rsid w:val="00510C24"/>
    <w:rsid w:val="00535C10"/>
    <w:rsid w:val="005378F8"/>
    <w:rsid w:val="0055234F"/>
    <w:rsid w:val="00555865"/>
    <w:rsid w:val="005605D7"/>
    <w:rsid w:val="00562373"/>
    <w:rsid w:val="00573943"/>
    <w:rsid w:val="00573DEC"/>
    <w:rsid w:val="0057685E"/>
    <w:rsid w:val="0058046E"/>
    <w:rsid w:val="00581E68"/>
    <w:rsid w:val="005B2B17"/>
    <w:rsid w:val="005B4276"/>
    <w:rsid w:val="005B7C2F"/>
    <w:rsid w:val="005C161C"/>
    <w:rsid w:val="005C3E5E"/>
    <w:rsid w:val="005C4589"/>
    <w:rsid w:val="005D09CD"/>
    <w:rsid w:val="005D1B4D"/>
    <w:rsid w:val="005F2463"/>
    <w:rsid w:val="005F7F40"/>
    <w:rsid w:val="006124F6"/>
    <w:rsid w:val="006159F8"/>
    <w:rsid w:val="00622E8D"/>
    <w:rsid w:val="00630D27"/>
    <w:rsid w:val="00631573"/>
    <w:rsid w:val="0063609C"/>
    <w:rsid w:val="00636DC3"/>
    <w:rsid w:val="00637C4A"/>
    <w:rsid w:val="00640A31"/>
    <w:rsid w:val="00643A2C"/>
    <w:rsid w:val="0064561C"/>
    <w:rsid w:val="00654C1D"/>
    <w:rsid w:val="00663B45"/>
    <w:rsid w:val="006668CB"/>
    <w:rsid w:val="00673F3A"/>
    <w:rsid w:val="00694F77"/>
    <w:rsid w:val="006A399C"/>
    <w:rsid w:val="006B208E"/>
    <w:rsid w:val="006B3D48"/>
    <w:rsid w:val="006B4DE6"/>
    <w:rsid w:val="006D4D06"/>
    <w:rsid w:val="006E1922"/>
    <w:rsid w:val="006E4B1E"/>
    <w:rsid w:val="006F758A"/>
    <w:rsid w:val="00704ABF"/>
    <w:rsid w:val="00715179"/>
    <w:rsid w:val="00717361"/>
    <w:rsid w:val="00730D93"/>
    <w:rsid w:val="00731AA5"/>
    <w:rsid w:val="007338D5"/>
    <w:rsid w:val="0074048F"/>
    <w:rsid w:val="00744FA5"/>
    <w:rsid w:val="00756A50"/>
    <w:rsid w:val="00767710"/>
    <w:rsid w:val="007711DE"/>
    <w:rsid w:val="0077598E"/>
    <w:rsid w:val="00777108"/>
    <w:rsid w:val="00786414"/>
    <w:rsid w:val="00795A9D"/>
    <w:rsid w:val="00797AF5"/>
    <w:rsid w:val="007B43AE"/>
    <w:rsid w:val="007C15E6"/>
    <w:rsid w:val="007C5F52"/>
    <w:rsid w:val="007D553F"/>
    <w:rsid w:val="007E01B0"/>
    <w:rsid w:val="007E11AF"/>
    <w:rsid w:val="007E7D6B"/>
    <w:rsid w:val="007F1C20"/>
    <w:rsid w:val="0081121A"/>
    <w:rsid w:val="00820BF6"/>
    <w:rsid w:val="008210B5"/>
    <w:rsid w:val="00823D99"/>
    <w:rsid w:val="00824B85"/>
    <w:rsid w:val="00826856"/>
    <w:rsid w:val="00833170"/>
    <w:rsid w:val="00834064"/>
    <w:rsid w:val="00837274"/>
    <w:rsid w:val="00837DB6"/>
    <w:rsid w:val="00844779"/>
    <w:rsid w:val="00846C64"/>
    <w:rsid w:val="0084798E"/>
    <w:rsid w:val="0085450B"/>
    <w:rsid w:val="0089083E"/>
    <w:rsid w:val="00893F97"/>
    <w:rsid w:val="008A0EB2"/>
    <w:rsid w:val="008B0204"/>
    <w:rsid w:val="008C0472"/>
    <w:rsid w:val="008C0EC9"/>
    <w:rsid w:val="008C148D"/>
    <w:rsid w:val="008D0DD6"/>
    <w:rsid w:val="008D0F99"/>
    <w:rsid w:val="008D152A"/>
    <w:rsid w:val="008D274E"/>
    <w:rsid w:val="008D313F"/>
    <w:rsid w:val="00902CAD"/>
    <w:rsid w:val="00903A9D"/>
    <w:rsid w:val="00912FAB"/>
    <w:rsid w:val="009132E6"/>
    <w:rsid w:val="0091791F"/>
    <w:rsid w:val="00931FD9"/>
    <w:rsid w:val="0094182C"/>
    <w:rsid w:val="009526E3"/>
    <w:rsid w:val="00957FB8"/>
    <w:rsid w:val="0096447E"/>
    <w:rsid w:val="00976013"/>
    <w:rsid w:val="009773E7"/>
    <w:rsid w:val="009924A3"/>
    <w:rsid w:val="00994B93"/>
    <w:rsid w:val="00997E01"/>
    <w:rsid w:val="009C737E"/>
    <w:rsid w:val="009E030E"/>
    <w:rsid w:val="009E246A"/>
    <w:rsid w:val="009E62E1"/>
    <w:rsid w:val="009E652F"/>
    <w:rsid w:val="009F76D8"/>
    <w:rsid w:val="00A10A85"/>
    <w:rsid w:val="00A1351F"/>
    <w:rsid w:val="00A22A43"/>
    <w:rsid w:val="00A25AA2"/>
    <w:rsid w:val="00A30837"/>
    <w:rsid w:val="00A4021E"/>
    <w:rsid w:val="00A56498"/>
    <w:rsid w:val="00A56DBF"/>
    <w:rsid w:val="00A62E80"/>
    <w:rsid w:val="00A76BFC"/>
    <w:rsid w:val="00A844D2"/>
    <w:rsid w:val="00A92481"/>
    <w:rsid w:val="00AA2B36"/>
    <w:rsid w:val="00AB6677"/>
    <w:rsid w:val="00AC0911"/>
    <w:rsid w:val="00AC2443"/>
    <w:rsid w:val="00AC3455"/>
    <w:rsid w:val="00AD20F8"/>
    <w:rsid w:val="00AD2809"/>
    <w:rsid w:val="00AD7C08"/>
    <w:rsid w:val="00AF277F"/>
    <w:rsid w:val="00B00885"/>
    <w:rsid w:val="00B032F1"/>
    <w:rsid w:val="00B24DD1"/>
    <w:rsid w:val="00B24EAC"/>
    <w:rsid w:val="00B32119"/>
    <w:rsid w:val="00B52AD7"/>
    <w:rsid w:val="00B77EEB"/>
    <w:rsid w:val="00B8412C"/>
    <w:rsid w:val="00B8787A"/>
    <w:rsid w:val="00B92FC8"/>
    <w:rsid w:val="00B9640B"/>
    <w:rsid w:val="00BC5C35"/>
    <w:rsid w:val="00BD11F1"/>
    <w:rsid w:val="00BD1DEB"/>
    <w:rsid w:val="00BE4D0A"/>
    <w:rsid w:val="00BE4E78"/>
    <w:rsid w:val="00BF2AC1"/>
    <w:rsid w:val="00C009D0"/>
    <w:rsid w:val="00C044AA"/>
    <w:rsid w:val="00C12C0D"/>
    <w:rsid w:val="00C2358E"/>
    <w:rsid w:val="00C23CC0"/>
    <w:rsid w:val="00C23E7F"/>
    <w:rsid w:val="00C26C92"/>
    <w:rsid w:val="00C34C7E"/>
    <w:rsid w:val="00C3648F"/>
    <w:rsid w:val="00C40A50"/>
    <w:rsid w:val="00C43033"/>
    <w:rsid w:val="00C45362"/>
    <w:rsid w:val="00C54785"/>
    <w:rsid w:val="00C617A1"/>
    <w:rsid w:val="00C862D6"/>
    <w:rsid w:val="00C867C5"/>
    <w:rsid w:val="00C86969"/>
    <w:rsid w:val="00CA4CB2"/>
    <w:rsid w:val="00CA5118"/>
    <w:rsid w:val="00CB57EB"/>
    <w:rsid w:val="00CC269A"/>
    <w:rsid w:val="00CC6D9F"/>
    <w:rsid w:val="00CE500F"/>
    <w:rsid w:val="00CF3560"/>
    <w:rsid w:val="00D0127E"/>
    <w:rsid w:val="00D0532C"/>
    <w:rsid w:val="00D06E4C"/>
    <w:rsid w:val="00D10ABA"/>
    <w:rsid w:val="00D10E7A"/>
    <w:rsid w:val="00D111C0"/>
    <w:rsid w:val="00D112AA"/>
    <w:rsid w:val="00D11441"/>
    <w:rsid w:val="00D20155"/>
    <w:rsid w:val="00D24602"/>
    <w:rsid w:val="00D2676E"/>
    <w:rsid w:val="00D26A3E"/>
    <w:rsid w:val="00D31FBE"/>
    <w:rsid w:val="00D3311E"/>
    <w:rsid w:val="00D36539"/>
    <w:rsid w:val="00D40EEC"/>
    <w:rsid w:val="00D464E7"/>
    <w:rsid w:val="00D5498B"/>
    <w:rsid w:val="00D66E7C"/>
    <w:rsid w:val="00D76C29"/>
    <w:rsid w:val="00D81C5B"/>
    <w:rsid w:val="00D84DAC"/>
    <w:rsid w:val="00DA020C"/>
    <w:rsid w:val="00DA2067"/>
    <w:rsid w:val="00DA2669"/>
    <w:rsid w:val="00DA5903"/>
    <w:rsid w:val="00DB592C"/>
    <w:rsid w:val="00DD21B9"/>
    <w:rsid w:val="00DE1A5E"/>
    <w:rsid w:val="00DE46F4"/>
    <w:rsid w:val="00DF0E44"/>
    <w:rsid w:val="00DF6FF2"/>
    <w:rsid w:val="00E02C20"/>
    <w:rsid w:val="00E065EE"/>
    <w:rsid w:val="00E36BD5"/>
    <w:rsid w:val="00E37F28"/>
    <w:rsid w:val="00E455D5"/>
    <w:rsid w:val="00E51E53"/>
    <w:rsid w:val="00E545FC"/>
    <w:rsid w:val="00E65BE9"/>
    <w:rsid w:val="00E6701A"/>
    <w:rsid w:val="00E73D4B"/>
    <w:rsid w:val="00EA06D7"/>
    <w:rsid w:val="00EA79DF"/>
    <w:rsid w:val="00EC7CFD"/>
    <w:rsid w:val="00ED3563"/>
    <w:rsid w:val="00EE0102"/>
    <w:rsid w:val="00EE46DC"/>
    <w:rsid w:val="00EF1604"/>
    <w:rsid w:val="00EF3F99"/>
    <w:rsid w:val="00EF5424"/>
    <w:rsid w:val="00F04567"/>
    <w:rsid w:val="00F05F2A"/>
    <w:rsid w:val="00F30CD4"/>
    <w:rsid w:val="00F346AC"/>
    <w:rsid w:val="00F403EB"/>
    <w:rsid w:val="00F4256F"/>
    <w:rsid w:val="00F5218F"/>
    <w:rsid w:val="00F66A0F"/>
    <w:rsid w:val="00F73A18"/>
    <w:rsid w:val="00F73A88"/>
    <w:rsid w:val="00F85EC4"/>
    <w:rsid w:val="00F85F5B"/>
    <w:rsid w:val="00F922B1"/>
    <w:rsid w:val="00FA3CEC"/>
    <w:rsid w:val="00FB7CDE"/>
    <w:rsid w:val="00FC6362"/>
    <w:rsid w:val="00FE2B91"/>
    <w:rsid w:val="00FE3339"/>
    <w:rsid w:val="00FE5A61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41C1AE-72BC-4C19-B3DB-FFCD41D9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FAD"/>
    <w:pPr>
      <w:keepNext/>
      <w:keepLines/>
      <w:spacing w:before="240" w:line="48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FA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Thenmozhi V</dc:creator>
  <cp:keywords/>
  <dc:description/>
  <cp:lastModifiedBy>Thenmozhi V</cp:lastModifiedBy>
  <cp:revision>1</cp:revision>
  <dcterms:created xsi:type="dcterms:W3CDTF">2025-11-05T12:11:00Z</dcterms:created>
  <dcterms:modified xsi:type="dcterms:W3CDTF">2025-11-05T12:12:00Z</dcterms:modified>
</cp:coreProperties>
</file>