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51D1" w14:textId="21B91072" w:rsidR="00C60C69" w:rsidRPr="002D6E6B" w:rsidRDefault="00C60C69" w:rsidP="00B315D0">
      <w:pPr>
        <w:rPr>
          <w:rStyle w:val="Forte"/>
          <w:rFonts w:ascii="Times New Roman" w:hAnsi="Times New Roman" w:cs="Times New Roman"/>
          <w:b w:val="0"/>
          <w:bCs w:val="0"/>
        </w:rPr>
      </w:pPr>
      <w:r w:rsidRPr="002D6E6B">
        <w:rPr>
          <w:rStyle w:val="Forte"/>
          <w:rFonts w:ascii="Times New Roman" w:hAnsi="Times New Roman" w:cs="Times New Roman"/>
          <w:b w:val="0"/>
          <w:bCs w:val="0"/>
        </w:rPr>
        <w:t>Supplementary Table S1. Alternative Multivariable Model Including Both the Number of Stapler Firings and Anastomotic Type</w:t>
      </w:r>
    </w:p>
    <w:p w14:paraId="58933084" w14:textId="77777777" w:rsidR="00C60C69" w:rsidRPr="002D6E6B" w:rsidRDefault="00C60C69"/>
    <w:tbl>
      <w:tblPr>
        <w:tblStyle w:val="Tabelacomgrad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800"/>
        <w:gridCol w:w="1990"/>
        <w:gridCol w:w="815"/>
        <w:gridCol w:w="1754"/>
        <w:gridCol w:w="855"/>
      </w:tblGrid>
      <w:tr w:rsidR="002D6E6B" w:rsidRPr="002D6E6B" w14:paraId="1AABEBA1" w14:textId="77777777" w:rsidTr="004261F4">
        <w:trPr>
          <w:trHeight w:val="288"/>
        </w:trPr>
        <w:tc>
          <w:tcPr>
            <w:tcW w:w="2062" w:type="pct"/>
          </w:tcPr>
          <w:p w14:paraId="50E347A4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Variable</w:t>
            </w:r>
          </w:p>
        </w:tc>
        <w:tc>
          <w:tcPr>
            <w:tcW w:w="1522" w:type="pct"/>
            <w:gridSpan w:val="2"/>
            <w:tcBorders>
              <w:bottom w:val="single" w:sz="4" w:space="0" w:color="auto"/>
            </w:tcBorders>
          </w:tcPr>
          <w:p w14:paraId="3A4044EE" w14:textId="77777777" w:rsidR="00C60C69" w:rsidRPr="002D6E6B" w:rsidRDefault="00C60C69" w:rsidP="004261F4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Univariable analysis</w:t>
            </w:r>
          </w:p>
        </w:tc>
        <w:tc>
          <w:tcPr>
            <w:tcW w:w="1416" w:type="pct"/>
            <w:gridSpan w:val="2"/>
            <w:tcBorders>
              <w:bottom w:val="single" w:sz="4" w:space="0" w:color="auto"/>
            </w:tcBorders>
          </w:tcPr>
          <w:p w14:paraId="4EA13CF2" w14:textId="77777777" w:rsidR="00C60C69" w:rsidRPr="002D6E6B" w:rsidRDefault="00C60C69" w:rsidP="004261F4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Multivariable analysis</w:t>
            </w:r>
          </w:p>
        </w:tc>
      </w:tr>
      <w:tr w:rsidR="002D6E6B" w:rsidRPr="002D6E6B" w14:paraId="36D56FF5" w14:textId="77777777" w:rsidTr="004261F4">
        <w:trPr>
          <w:trHeight w:val="288"/>
        </w:trPr>
        <w:tc>
          <w:tcPr>
            <w:tcW w:w="2062" w:type="pct"/>
            <w:tcBorders>
              <w:bottom w:val="single" w:sz="4" w:space="0" w:color="auto"/>
            </w:tcBorders>
          </w:tcPr>
          <w:p w14:paraId="507B3F8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tcBorders>
              <w:top w:val="single" w:sz="4" w:space="0" w:color="auto"/>
              <w:bottom w:val="single" w:sz="4" w:space="0" w:color="auto"/>
            </w:tcBorders>
          </w:tcPr>
          <w:p w14:paraId="2341E9A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  <w:kern w:val="0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OR/MD (95% CI)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14:paraId="32AE697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  <w:kern w:val="0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P value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</w:tcPr>
          <w:p w14:paraId="680FD47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  <w:kern w:val="0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OR (95% CI)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</w:tcPr>
          <w:p w14:paraId="4257A15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  <w:kern w:val="0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P value</w:t>
            </w:r>
          </w:p>
        </w:tc>
      </w:tr>
      <w:tr w:rsidR="002D6E6B" w:rsidRPr="002D6E6B" w14:paraId="517D814D" w14:textId="77777777" w:rsidTr="004261F4">
        <w:trPr>
          <w:trHeight w:val="288"/>
        </w:trPr>
        <w:tc>
          <w:tcPr>
            <w:tcW w:w="2062" w:type="pct"/>
            <w:tcBorders>
              <w:top w:val="nil"/>
            </w:tcBorders>
          </w:tcPr>
          <w:p w14:paraId="5EE117D7" w14:textId="77777777" w:rsidR="00C60C69" w:rsidRPr="002D6E6B" w:rsidRDefault="00C60C69" w:rsidP="00C60C6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 xml:space="preserve">No of cartridges </w:t>
            </w:r>
            <w:r w:rsidRPr="002D6E6B">
              <w:rPr>
                <w:rFonts w:ascii="Times New Roman" w:hAnsi="Times New Roman" w:cs="Times New Roman"/>
                <w:kern w:val="0"/>
              </w:rPr>
              <w:t>(versus SS)</w:t>
            </w:r>
          </w:p>
        </w:tc>
        <w:tc>
          <w:tcPr>
            <w:tcW w:w="1080" w:type="pct"/>
            <w:tcBorders>
              <w:top w:val="nil"/>
            </w:tcBorders>
          </w:tcPr>
          <w:p w14:paraId="7C5C6C44" w14:textId="77777777" w:rsidR="00C60C69" w:rsidRPr="002D6E6B" w:rsidRDefault="00C60C69" w:rsidP="00C60C6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1.62 (1.09–2.40)</w:t>
            </w:r>
          </w:p>
        </w:tc>
        <w:tc>
          <w:tcPr>
            <w:tcW w:w="442" w:type="pct"/>
            <w:tcBorders>
              <w:top w:val="nil"/>
            </w:tcBorders>
          </w:tcPr>
          <w:p w14:paraId="00B272C1" w14:textId="77777777" w:rsidR="00C60C69" w:rsidRPr="002D6E6B" w:rsidRDefault="00C60C69" w:rsidP="00C60C6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952" w:type="pct"/>
            <w:tcBorders>
              <w:top w:val="nil"/>
            </w:tcBorders>
          </w:tcPr>
          <w:p w14:paraId="58E907F0" w14:textId="77777777" w:rsidR="00C60C69" w:rsidRPr="002D6E6B" w:rsidRDefault="00C60C69" w:rsidP="00C60C6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1.60 (1.06–2.39)</w:t>
            </w:r>
          </w:p>
        </w:tc>
        <w:tc>
          <w:tcPr>
            <w:tcW w:w="464" w:type="pct"/>
            <w:tcBorders>
              <w:top w:val="nil"/>
            </w:tcBorders>
          </w:tcPr>
          <w:p w14:paraId="7EE27A5F" w14:textId="18DCFD69" w:rsidR="00C60C69" w:rsidRPr="002D6E6B" w:rsidRDefault="00C60C69" w:rsidP="00C60C69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0.022</w:t>
            </w:r>
          </w:p>
        </w:tc>
      </w:tr>
      <w:tr w:rsidR="002D6E6B" w:rsidRPr="002D6E6B" w14:paraId="7CE4963A" w14:textId="77777777" w:rsidTr="004261F4">
        <w:trPr>
          <w:trHeight w:val="288"/>
        </w:trPr>
        <w:tc>
          <w:tcPr>
            <w:tcW w:w="2062" w:type="pct"/>
          </w:tcPr>
          <w:p w14:paraId="56D64B4D" w14:textId="77777777" w:rsidR="00745B98" w:rsidRPr="002D6E6B" w:rsidRDefault="00745B98" w:rsidP="00B45D38">
            <w:pPr>
              <w:widowControl w:val="0"/>
              <w:ind w:firstLine="395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u w:val="single"/>
              </w:rPr>
              <w:t>&lt;</w:t>
            </w:r>
            <w:r w:rsidRPr="002D6E6B">
              <w:rPr>
                <w:rFonts w:ascii="Times New Roman" w:hAnsi="Times New Roman" w:cs="Times New Roman"/>
              </w:rPr>
              <w:t xml:space="preserve"> 2 cartridges </w:t>
            </w:r>
            <w:r w:rsidRPr="002D6E6B">
              <w:rPr>
                <w:rFonts w:ascii="Times New Roman" w:hAnsi="Times New Roman" w:cs="Times New Roman"/>
                <w:kern w:val="0"/>
              </w:rPr>
              <w:t>(versus RISS)</w:t>
            </w:r>
          </w:p>
        </w:tc>
        <w:tc>
          <w:tcPr>
            <w:tcW w:w="1080" w:type="pct"/>
          </w:tcPr>
          <w:p w14:paraId="7613AB20" w14:textId="77777777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2.46 (0.58–8.17)</w:t>
            </w:r>
          </w:p>
        </w:tc>
        <w:tc>
          <w:tcPr>
            <w:tcW w:w="442" w:type="pct"/>
          </w:tcPr>
          <w:p w14:paraId="6B98E8E0" w14:textId="77777777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952" w:type="pct"/>
          </w:tcPr>
          <w:p w14:paraId="642ADC1F" w14:textId="342B909D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  <w:strike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5B4B901D" w14:textId="0D2E1CA0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  <w:strike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330D83EC" w14:textId="77777777" w:rsidTr="004261F4">
        <w:trPr>
          <w:trHeight w:val="288"/>
        </w:trPr>
        <w:tc>
          <w:tcPr>
            <w:tcW w:w="2062" w:type="pct"/>
          </w:tcPr>
          <w:p w14:paraId="68642C46" w14:textId="77777777" w:rsidR="00745B98" w:rsidRPr="002D6E6B" w:rsidRDefault="00745B98" w:rsidP="00B45D38">
            <w:pPr>
              <w:widowControl w:val="0"/>
              <w:ind w:firstLine="395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u w:val="single"/>
              </w:rPr>
              <w:t>&gt;</w:t>
            </w:r>
            <w:r w:rsidRPr="002D6E6B">
              <w:rPr>
                <w:rFonts w:ascii="Times New Roman" w:hAnsi="Times New Roman" w:cs="Times New Roman"/>
              </w:rPr>
              <w:t xml:space="preserve"> 3 cartridges </w:t>
            </w:r>
            <w:r w:rsidRPr="002D6E6B">
              <w:rPr>
                <w:rFonts w:ascii="Times New Roman" w:hAnsi="Times New Roman" w:cs="Times New Roman"/>
                <w:kern w:val="0"/>
              </w:rPr>
              <w:t>(versus RISS)</w:t>
            </w:r>
          </w:p>
        </w:tc>
        <w:tc>
          <w:tcPr>
            <w:tcW w:w="1080" w:type="pct"/>
          </w:tcPr>
          <w:p w14:paraId="66036759" w14:textId="77777777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4.92 (1.43–16.8)</w:t>
            </w:r>
          </w:p>
        </w:tc>
        <w:tc>
          <w:tcPr>
            <w:tcW w:w="442" w:type="pct"/>
          </w:tcPr>
          <w:p w14:paraId="2BA0AD15" w14:textId="77777777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952" w:type="pct"/>
          </w:tcPr>
          <w:p w14:paraId="4E1CB9BF" w14:textId="6DDB8B07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  <w:strike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3F0EBA4A" w14:textId="31B9D279" w:rsidR="00745B98" w:rsidRPr="002D6E6B" w:rsidRDefault="00745B98" w:rsidP="00745B98">
            <w:pPr>
              <w:widowControl w:val="0"/>
              <w:contextualSpacing/>
              <w:rPr>
                <w:rFonts w:ascii="Times New Roman" w:hAnsi="Times New Roman" w:cs="Times New Roman"/>
                <w:strike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29C435CA" w14:textId="77777777" w:rsidTr="004261F4">
        <w:trPr>
          <w:trHeight w:val="288"/>
        </w:trPr>
        <w:tc>
          <w:tcPr>
            <w:tcW w:w="2062" w:type="pct"/>
          </w:tcPr>
          <w:p w14:paraId="288AC2D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Sex (versus female)</w:t>
            </w:r>
          </w:p>
        </w:tc>
        <w:tc>
          <w:tcPr>
            <w:tcW w:w="1080" w:type="pct"/>
          </w:tcPr>
          <w:p w14:paraId="6E60636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0.64 (0.22–1.88)</w:t>
            </w:r>
          </w:p>
        </w:tc>
        <w:tc>
          <w:tcPr>
            <w:tcW w:w="442" w:type="pct"/>
          </w:tcPr>
          <w:p w14:paraId="02D15476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952" w:type="pct"/>
          </w:tcPr>
          <w:p w14:paraId="33A1ECA3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660004C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562CB834" w14:textId="77777777" w:rsidTr="004261F4">
        <w:trPr>
          <w:trHeight w:val="288"/>
        </w:trPr>
        <w:tc>
          <w:tcPr>
            <w:tcW w:w="2062" w:type="pct"/>
          </w:tcPr>
          <w:p w14:paraId="675044A5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Age, y</w:t>
            </w:r>
          </w:p>
        </w:tc>
        <w:tc>
          <w:tcPr>
            <w:tcW w:w="1080" w:type="pct"/>
          </w:tcPr>
          <w:p w14:paraId="0D666BF9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1.03 (0.99–1.08)</w:t>
            </w:r>
          </w:p>
        </w:tc>
        <w:tc>
          <w:tcPr>
            <w:tcW w:w="442" w:type="pct"/>
          </w:tcPr>
          <w:p w14:paraId="2D48F6D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0.113</w:t>
            </w:r>
          </w:p>
        </w:tc>
        <w:tc>
          <w:tcPr>
            <w:tcW w:w="952" w:type="pct"/>
          </w:tcPr>
          <w:p w14:paraId="63335A18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4414347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6CA0EBB9" w14:textId="77777777" w:rsidTr="004261F4">
        <w:trPr>
          <w:trHeight w:val="288"/>
        </w:trPr>
        <w:tc>
          <w:tcPr>
            <w:tcW w:w="2062" w:type="pct"/>
          </w:tcPr>
          <w:p w14:paraId="0CA384F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BMI, kg/m</w:t>
            </w:r>
            <w:r w:rsidRPr="002D6E6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80" w:type="pct"/>
          </w:tcPr>
          <w:p w14:paraId="7831156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1.06 (0.95–1.18)</w:t>
            </w:r>
          </w:p>
        </w:tc>
        <w:tc>
          <w:tcPr>
            <w:tcW w:w="442" w:type="pct"/>
          </w:tcPr>
          <w:p w14:paraId="0E0E0AA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952" w:type="pct"/>
          </w:tcPr>
          <w:p w14:paraId="4BBC39A2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0EFBCAD4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6ABC1C2B" w14:textId="77777777" w:rsidTr="004261F4">
        <w:trPr>
          <w:trHeight w:val="288"/>
        </w:trPr>
        <w:tc>
          <w:tcPr>
            <w:tcW w:w="2062" w:type="pct"/>
          </w:tcPr>
          <w:p w14:paraId="748007B3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Clinically relevant comorbidities</w:t>
            </w:r>
          </w:p>
        </w:tc>
        <w:tc>
          <w:tcPr>
            <w:tcW w:w="1080" w:type="pct"/>
          </w:tcPr>
          <w:p w14:paraId="6EB442A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3.11 (1.13–8.54)</w:t>
            </w:r>
          </w:p>
        </w:tc>
        <w:tc>
          <w:tcPr>
            <w:tcW w:w="442" w:type="pct"/>
          </w:tcPr>
          <w:p w14:paraId="146DFEC6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952" w:type="pct"/>
          </w:tcPr>
          <w:p w14:paraId="5AD3C061" w14:textId="3C3E7D38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3.1</w:t>
            </w:r>
            <w:r w:rsidR="00B315D0" w:rsidRPr="002D6E6B">
              <w:rPr>
                <w:rFonts w:ascii="Times New Roman" w:hAnsi="Times New Roman" w:cs="Times New Roman"/>
              </w:rPr>
              <w:t>1</w:t>
            </w:r>
            <w:r w:rsidRPr="002D6E6B">
              <w:rPr>
                <w:rFonts w:ascii="Times New Roman" w:hAnsi="Times New Roman" w:cs="Times New Roman"/>
              </w:rPr>
              <w:t xml:space="preserve"> (1.1</w:t>
            </w:r>
            <w:r w:rsidR="00B315D0" w:rsidRPr="002D6E6B">
              <w:rPr>
                <w:rFonts w:ascii="Times New Roman" w:hAnsi="Times New Roman" w:cs="Times New Roman"/>
              </w:rPr>
              <w:t>1</w:t>
            </w:r>
            <w:r w:rsidRPr="002D6E6B">
              <w:rPr>
                <w:rFonts w:ascii="Times New Roman" w:hAnsi="Times New Roman" w:cs="Times New Roman"/>
              </w:rPr>
              <w:t>–8.</w:t>
            </w:r>
            <w:r w:rsidR="00B315D0" w:rsidRPr="002D6E6B">
              <w:rPr>
                <w:rFonts w:ascii="Times New Roman" w:hAnsi="Times New Roman" w:cs="Times New Roman"/>
              </w:rPr>
              <w:t>69</w:t>
            </w:r>
            <w:r w:rsidRPr="002D6E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4" w:type="pct"/>
          </w:tcPr>
          <w:p w14:paraId="088829E6" w14:textId="51FFB95C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0.0</w:t>
            </w:r>
            <w:r w:rsidR="00B315D0" w:rsidRPr="002D6E6B">
              <w:rPr>
                <w:rFonts w:ascii="Times New Roman" w:hAnsi="Times New Roman" w:cs="Times New Roman"/>
              </w:rPr>
              <w:t>31</w:t>
            </w:r>
          </w:p>
        </w:tc>
      </w:tr>
      <w:tr w:rsidR="002D6E6B" w:rsidRPr="002D6E6B" w14:paraId="7C80B20C" w14:textId="77777777" w:rsidTr="004261F4">
        <w:trPr>
          <w:trHeight w:val="288"/>
        </w:trPr>
        <w:tc>
          <w:tcPr>
            <w:tcW w:w="2062" w:type="pct"/>
          </w:tcPr>
          <w:p w14:paraId="4D917FA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  <w:lang w:val="pt-BR"/>
              </w:rPr>
            </w:pPr>
            <w:r w:rsidRPr="002D6E6B">
              <w:rPr>
                <w:rFonts w:ascii="Times New Roman" w:hAnsi="Times New Roman" w:cs="Times New Roman"/>
                <w:kern w:val="0"/>
                <w:lang w:val="pt-BR"/>
              </w:rPr>
              <w:t>ASA grade (versus ASA I)</w:t>
            </w:r>
          </w:p>
        </w:tc>
        <w:tc>
          <w:tcPr>
            <w:tcW w:w="1080" w:type="pct"/>
          </w:tcPr>
          <w:p w14:paraId="61DA0D7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1.58 (0.34–7.31)</w:t>
            </w:r>
          </w:p>
        </w:tc>
        <w:tc>
          <w:tcPr>
            <w:tcW w:w="442" w:type="pct"/>
          </w:tcPr>
          <w:p w14:paraId="05428C9C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0.556</w:t>
            </w:r>
          </w:p>
        </w:tc>
        <w:tc>
          <w:tcPr>
            <w:tcW w:w="952" w:type="pct"/>
          </w:tcPr>
          <w:p w14:paraId="6518E70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07630342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0B96A932" w14:textId="77777777" w:rsidTr="004261F4">
        <w:trPr>
          <w:trHeight w:val="288"/>
        </w:trPr>
        <w:tc>
          <w:tcPr>
            <w:tcW w:w="2062" w:type="pct"/>
          </w:tcPr>
          <w:p w14:paraId="703B639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Smoking</w:t>
            </w:r>
          </w:p>
        </w:tc>
        <w:tc>
          <w:tcPr>
            <w:tcW w:w="1080" w:type="pct"/>
          </w:tcPr>
          <w:p w14:paraId="316904B4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0.66 (0.20–2.18)</w:t>
            </w:r>
          </w:p>
        </w:tc>
        <w:tc>
          <w:tcPr>
            <w:tcW w:w="442" w:type="pct"/>
          </w:tcPr>
          <w:p w14:paraId="24E64DA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0.504</w:t>
            </w:r>
          </w:p>
        </w:tc>
        <w:tc>
          <w:tcPr>
            <w:tcW w:w="952" w:type="pct"/>
          </w:tcPr>
          <w:p w14:paraId="323EA8FC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28E59BCC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1779D55F" w14:textId="77777777" w:rsidTr="004261F4">
        <w:trPr>
          <w:trHeight w:val="288"/>
        </w:trPr>
        <w:tc>
          <w:tcPr>
            <w:tcW w:w="2062" w:type="pct"/>
          </w:tcPr>
          <w:p w14:paraId="2DE58C9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Distance from the DL, cm</w:t>
            </w:r>
          </w:p>
        </w:tc>
        <w:tc>
          <w:tcPr>
            <w:tcW w:w="1080" w:type="pct"/>
          </w:tcPr>
          <w:p w14:paraId="5A4FB494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1.12 (0.91–1.37)</w:t>
            </w:r>
          </w:p>
        </w:tc>
        <w:tc>
          <w:tcPr>
            <w:tcW w:w="442" w:type="pct"/>
          </w:tcPr>
          <w:p w14:paraId="3ECF7A4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0.276</w:t>
            </w:r>
          </w:p>
        </w:tc>
        <w:tc>
          <w:tcPr>
            <w:tcW w:w="952" w:type="pct"/>
          </w:tcPr>
          <w:p w14:paraId="389351A2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06AF8B26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4C7B748A" w14:textId="77777777" w:rsidTr="004261F4">
        <w:trPr>
          <w:trHeight w:val="288"/>
        </w:trPr>
        <w:tc>
          <w:tcPr>
            <w:tcW w:w="2062" w:type="pct"/>
          </w:tcPr>
          <w:p w14:paraId="37FB699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Neoadjuvant radiotherapy</w:t>
            </w:r>
          </w:p>
        </w:tc>
        <w:tc>
          <w:tcPr>
            <w:tcW w:w="1080" w:type="pct"/>
          </w:tcPr>
          <w:p w14:paraId="430DA12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1.39 (0.52–3.69)</w:t>
            </w:r>
          </w:p>
        </w:tc>
        <w:tc>
          <w:tcPr>
            <w:tcW w:w="442" w:type="pct"/>
          </w:tcPr>
          <w:p w14:paraId="7CEC98A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0.505</w:t>
            </w:r>
          </w:p>
        </w:tc>
        <w:tc>
          <w:tcPr>
            <w:tcW w:w="952" w:type="pct"/>
          </w:tcPr>
          <w:p w14:paraId="1BA93B0D" w14:textId="6E74A11B" w:rsidR="00C60C69" w:rsidRPr="002D6E6B" w:rsidRDefault="005371BA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0.90</w:t>
            </w:r>
            <w:r w:rsidR="00C60C69" w:rsidRPr="002D6E6B">
              <w:rPr>
                <w:rFonts w:ascii="Times New Roman" w:hAnsi="Times New Roman" w:cs="Times New Roman"/>
              </w:rPr>
              <w:t xml:space="preserve"> (0.</w:t>
            </w:r>
            <w:r w:rsidRPr="002D6E6B">
              <w:rPr>
                <w:rFonts w:ascii="Times New Roman" w:hAnsi="Times New Roman" w:cs="Times New Roman"/>
              </w:rPr>
              <w:t>32</w:t>
            </w:r>
            <w:r w:rsidR="00C60C69" w:rsidRPr="002D6E6B">
              <w:rPr>
                <w:rFonts w:ascii="Times New Roman" w:hAnsi="Times New Roman" w:cs="Times New Roman"/>
              </w:rPr>
              <w:t>–</w:t>
            </w:r>
            <w:r w:rsidRPr="002D6E6B">
              <w:rPr>
                <w:rFonts w:ascii="Times New Roman" w:hAnsi="Times New Roman" w:cs="Times New Roman"/>
              </w:rPr>
              <w:t>2</w:t>
            </w:r>
            <w:r w:rsidR="00C60C69" w:rsidRPr="002D6E6B">
              <w:rPr>
                <w:rFonts w:ascii="Times New Roman" w:hAnsi="Times New Roman" w:cs="Times New Roman"/>
              </w:rPr>
              <w:t>.</w:t>
            </w:r>
            <w:r w:rsidRPr="002D6E6B">
              <w:rPr>
                <w:rFonts w:ascii="Times New Roman" w:hAnsi="Times New Roman" w:cs="Times New Roman"/>
              </w:rPr>
              <w:t>54</w:t>
            </w:r>
            <w:r w:rsidR="00C60C69" w:rsidRPr="002D6E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4" w:type="pct"/>
          </w:tcPr>
          <w:p w14:paraId="464B2947" w14:textId="4E96FEA9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</w:t>
            </w:r>
            <w:r w:rsidR="00B315D0" w:rsidRPr="002D6E6B">
              <w:rPr>
                <w:rFonts w:ascii="Times New Roman" w:hAnsi="Times New Roman" w:cs="Times New Roman"/>
              </w:rPr>
              <w:t>852</w:t>
            </w:r>
          </w:p>
        </w:tc>
      </w:tr>
      <w:tr w:rsidR="002D6E6B" w:rsidRPr="002D6E6B" w14:paraId="228CAEFC" w14:textId="77777777" w:rsidTr="004261F4">
        <w:trPr>
          <w:trHeight w:val="288"/>
        </w:trPr>
        <w:tc>
          <w:tcPr>
            <w:tcW w:w="2062" w:type="pct"/>
          </w:tcPr>
          <w:p w14:paraId="3732B39E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Robotic assisted (versus laparoscopy)</w:t>
            </w:r>
          </w:p>
        </w:tc>
        <w:tc>
          <w:tcPr>
            <w:tcW w:w="1080" w:type="pct"/>
          </w:tcPr>
          <w:p w14:paraId="2F2173F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0.60 (0.22–1.62)</w:t>
            </w:r>
          </w:p>
        </w:tc>
        <w:tc>
          <w:tcPr>
            <w:tcW w:w="442" w:type="pct"/>
          </w:tcPr>
          <w:p w14:paraId="3169993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0.317</w:t>
            </w:r>
          </w:p>
        </w:tc>
        <w:tc>
          <w:tcPr>
            <w:tcW w:w="952" w:type="pct"/>
          </w:tcPr>
          <w:p w14:paraId="3B281425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0B99B3A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5B3B7FB3" w14:textId="77777777" w:rsidTr="004261F4">
        <w:trPr>
          <w:trHeight w:val="288"/>
        </w:trPr>
        <w:tc>
          <w:tcPr>
            <w:tcW w:w="2062" w:type="pct"/>
          </w:tcPr>
          <w:p w14:paraId="0A21B352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Operative time, min</w:t>
            </w:r>
          </w:p>
        </w:tc>
        <w:tc>
          <w:tcPr>
            <w:tcW w:w="1080" w:type="pct"/>
          </w:tcPr>
          <w:p w14:paraId="49E905FD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1.00 (0.99–1.00)</w:t>
            </w:r>
          </w:p>
        </w:tc>
        <w:tc>
          <w:tcPr>
            <w:tcW w:w="442" w:type="pct"/>
          </w:tcPr>
          <w:p w14:paraId="0B97936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0.984</w:t>
            </w:r>
          </w:p>
        </w:tc>
        <w:tc>
          <w:tcPr>
            <w:tcW w:w="952" w:type="pct"/>
          </w:tcPr>
          <w:p w14:paraId="50FE9DC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52F6A597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063F95F2" w14:textId="77777777" w:rsidTr="004261F4">
        <w:trPr>
          <w:trHeight w:val="288"/>
        </w:trPr>
        <w:tc>
          <w:tcPr>
            <w:tcW w:w="2062" w:type="pct"/>
          </w:tcPr>
          <w:p w14:paraId="149EDACF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Pathological stage (versus stage 0)</w:t>
            </w:r>
          </w:p>
        </w:tc>
        <w:tc>
          <w:tcPr>
            <w:tcW w:w="1080" w:type="pct"/>
          </w:tcPr>
          <w:p w14:paraId="2D3CF671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1.64 (0.45–5.94)</w:t>
            </w:r>
          </w:p>
        </w:tc>
        <w:tc>
          <w:tcPr>
            <w:tcW w:w="442" w:type="pct"/>
          </w:tcPr>
          <w:p w14:paraId="16C70C38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0.451</w:t>
            </w:r>
          </w:p>
        </w:tc>
        <w:tc>
          <w:tcPr>
            <w:tcW w:w="952" w:type="pct"/>
          </w:tcPr>
          <w:p w14:paraId="6D2C788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5E1928D0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  <w:tr w:rsidR="002D6E6B" w:rsidRPr="002D6E6B" w14:paraId="44AEF8C8" w14:textId="77777777" w:rsidTr="004261F4">
        <w:trPr>
          <w:trHeight w:val="288"/>
        </w:trPr>
        <w:tc>
          <w:tcPr>
            <w:tcW w:w="2062" w:type="pct"/>
          </w:tcPr>
          <w:p w14:paraId="50682B59" w14:textId="77777777" w:rsidR="00C60C69" w:rsidRPr="002D6E6B" w:rsidRDefault="00C60C69" w:rsidP="004261F4">
            <w:pPr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  <w:kern w:val="0"/>
              </w:rPr>
              <w:t>Operating surgeon (Surgeon 1–5)</w:t>
            </w:r>
          </w:p>
        </w:tc>
        <w:tc>
          <w:tcPr>
            <w:tcW w:w="1080" w:type="pct"/>
          </w:tcPr>
          <w:p w14:paraId="4753C548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42" w:type="pct"/>
          </w:tcPr>
          <w:p w14:paraId="73C42DB9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0.464</w:t>
            </w:r>
          </w:p>
        </w:tc>
        <w:tc>
          <w:tcPr>
            <w:tcW w:w="952" w:type="pct"/>
          </w:tcPr>
          <w:p w14:paraId="481B18DA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64" w:type="pct"/>
          </w:tcPr>
          <w:p w14:paraId="52954CC5" w14:textId="77777777" w:rsidR="00C60C69" w:rsidRPr="002D6E6B" w:rsidRDefault="00C60C69" w:rsidP="004261F4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2D6E6B">
              <w:rPr>
                <w:rFonts w:ascii="Times New Roman" w:hAnsi="Times New Roman" w:cs="Times New Roman"/>
              </w:rPr>
              <w:t>–</w:t>
            </w:r>
          </w:p>
        </w:tc>
      </w:tr>
    </w:tbl>
    <w:p w14:paraId="0E022720" w14:textId="77777777" w:rsidR="00C60C69" w:rsidRPr="002D6E6B" w:rsidRDefault="00C60C69" w:rsidP="00C60C69">
      <w:pPr>
        <w:widowControl w:val="0"/>
        <w:spacing w:line="480" w:lineRule="auto"/>
        <w:contextualSpacing/>
        <w:rPr>
          <w:rFonts w:ascii="Times New Roman" w:hAnsi="Times New Roman" w:cs="Times New Roman"/>
        </w:rPr>
      </w:pPr>
      <w:r w:rsidRPr="002D6E6B">
        <w:rPr>
          <w:rFonts w:ascii="Times New Roman" w:hAnsi="Times New Roman" w:cs="Times New Roman"/>
        </w:rPr>
        <w:t xml:space="preserve">Abbreviations: </w:t>
      </w:r>
      <w:r w:rsidRPr="002D6E6B">
        <w:rPr>
          <w:rFonts w:ascii="Times New Roman" w:hAnsi="Times New Roman" w:cs="Times New Roman"/>
          <w:kern w:val="0"/>
        </w:rPr>
        <w:t xml:space="preserve">ASA: American society of anesthesiologists; BMI: body mass index; </w:t>
      </w:r>
      <w:r w:rsidRPr="002D6E6B">
        <w:rPr>
          <w:rFonts w:ascii="Times New Roman" w:hAnsi="Times New Roman" w:cs="Times New Roman"/>
        </w:rPr>
        <w:t>DL: dentate line;</w:t>
      </w:r>
      <w:r w:rsidRPr="002D6E6B">
        <w:rPr>
          <w:rFonts w:ascii="Times New Roman" w:hAnsi="Times New Roman" w:cs="Times New Roman"/>
          <w:kern w:val="0"/>
        </w:rPr>
        <w:t xml:space="preserve"> MD: mean deviation; RISS: robotic intracorporeal single-stapled.</w:t>
      </w:r>
    </w:p>
    <w:p w14:paraId="03A3BBB7" w14:textId="77777777" w:rsidR="00C60C69" w:rsidRPr="002D6E6B" w:rsidRDefault="00C60C69" w:rsidP="00C60C69">
      <w:pPr>
        <w:spacing w:line="480" w:lineRule="auto"/>
        <w:contextualSpacing/>
        <w:rPr>
          <w:rFonts w:ascii="Times New Roman" w:hAnsi="Times New Roman" w:cs="Times New Roman"/>
        </w:rPr>
      </w:pPr>
      <w:r w:rsidRPr="002D6E6B">
        <w:rPr>
          <w:rFonts w:ascii="Times New Roman" w:hAnsi="Times New Roman" w:cs="Times New Roman"/>
        </w:rPr>
        <w:t>Notes:</w:t>
      </w:r>
    </w:p>
    <w:p w14:paraId="3B64FABA" w14:textId="0F7AAECB" w:rsidR="00C60C69" w:rsidRPr="002D6E6B" w:rsidRDefault="00C60C69" w:rsidP="00C60C69">
      <w:pPr>
        <w:spacing w:line="480" w:lineRule="auto"/>
        <w:contextualSpacing/>
        <w:rPr>
          <w:rFonts w:ascii="Times New Roman" w:hAnsi="Times New Roman" w:cs="Times New Roman"/>
        </w:rPr>
      </w:pPr>
      <w:r w:rsidRPr="002D6E6B">
        <w:rPr>
          <w:rFonts w:ascii="Times New Roman" w:hAnsi="Times New Roman" w:cs="Times New Roman"/>
        </w:rPr>
        <w:t>The statistical analysis was performed using a multivariable binary logistic regression model. The model was statistically significant (χ</w:t>
      </w:r>
      <w:proofErr w:type="gramStart"/>
      <w:r w:rsidRPr="002D6E6B">
        <w:rPr>
          <w:rFonts w:ascii="Times New Roman" w:hAnsi="Times New Roman" w:cs="Times New Roman"/>
        </w:rPr>
        <w:t>²[</w:t>
      </w:r>
      <w:proofErr w:type="gramEnd"/>
      <w:r w:rsidRPr="002D6E6B">
        <w:rPr>
          <w:rFonts w:ascii="Times New Roman" w:hAnsi="Times New Roman" w:cs="Times New Roman"/>
        </w:rPr>
        <w:t xml:space="preserve">3] = </w:t>
      </w:r>
      <w:r w:rsidR="00B315D0" w:rsidRPr="002D6E6B">
        <w:rPr>
          <w:rFonts w:ascii="Times New Roman" w:hAnsi="Times New Roman" w:cs="Times New Roman"/>
        </w:rPr>
        <w:t>11,56</w:t>
      </w:r>
      <w:r w:rsidRPr="002D6E6B">
        <w:rPr>
          <w:rFonts w:ascii="Times New Roman" w:hAnsi="Times New Roman" w:cs="Times New Roman"/>
        </w:rPr>
        <w:t>; p = 0.0</w:t>
      </w:r>
      <w:r w:rsidR="00B315D0" w:rsidRPr="002D6E6B">
        <w:rPr>
          <w:rFonts w:ascii="Times New Roman" w:hAnsi="Times New Roman" w:cs="Times New Roman"/>
        </w:rPr>
        <w:t>09</w:t>
      </w:r>
      <w:r w:rsidRPr="002D6E6B">
        <w:rPr>
          <w:rFonts w:ascii="Times New Roman" w:hAnsi="Times New Roman" w:cs="Times New Roman"/>
        </w:rPr>
        <w:t xml:space="preserve">) and explained </w:t>
      </w:r>
      <w:r w:rsidR="00B315D0" w:rsidRPr="002D6E6B">
        <w:rPr>
          <w:rFonts w:ascii="Times New Roman" w:hAnsi="Times New Roman" w:cs="Times New Roman"/>
        </w:rPr>
        <w:t>12.9</w:t>
      </w:r>
      <w:r w:rsidRPr="002D6E6B">
        <w:rPr>
          <w:rFonts w:ascii="Times New Roman" w:hAnsi="Times New Roman" w:cs="Times New Roman"/>
        </w:rPr>
        <w:t xml:space="preserve">% (Nagelkerke’s R²) of the variance </w:t>
      </w:r>
      <w:r w:rsidRPr="002D6E6B">
        <w:rPr>
          <w:rFonts w:ascii="Times New Roman" w:eastAsia="Aptos" w:hAnsi="Times New Roman" w:cs="Times New Roman"/>
        </w:rPr>
        <w:t>in</w:t>
      </w:r>
      <w:r w:rsidRPr="002D6E6B">
        <w:rPr>
          <w:rFonts w:ascii="Times New Roman" w:hAnsi="Times New Roman" w:cs="Times New Roman"/>
        </w:rPr>
        <w:t xml:space="preserve"> 90-day anastomotic leakage, correctly classifying 88% of </w:t>
      </w:r>
      <w:r w:rsidRPr="002D6E6B">
        <w:rPr>
          <w:rFonts w:ascii="Times New Roman" w:eastAsia="Aptos" w:hAnsi="Times New Roman" w:cs="Times New Roman"/>
        </w:rPr>
        <w:t xml:space="preserve">the </w:t>
      </w:r>
      <w:r w:rsidRPr="002D6E6B">
        <w:rPr>
          <w:rFonts w:ascii="Times New Roman" w:hAnsi="Times New Roman" w:cs="Times New Roman"/>
        </w:rPr>
        <w:t>cases. The Hosmer–</w:t>
      </w:r>
      <w:proofErr w:type="spellStart"/>
      <w:r w:rsidRPr="002D6E6B">
        <w:rPr>
          <w:rFonts w:ascii="Times New Roman" w:hAnsi="Times New Roman" w:cs="Times New Roman"/>
        </w:rPr>
        <w:t>Lemeshow</w:t>
      </w:r>
      <w:proofErr w:type="spellEnd"/>
      <w:r w:rsidRPr="002D6E6B">
        <w:rPr>
          <w:rFonts w:ascii="Times New Roman" w:hAnsi="Times New Roman" w:cs="Times New Roman"/>
        </w:rPr>
        <w:t xml:space="preserve"> test indicated a good model fit (χ</w:t>
      </w:r>
      <w:proofErr w:type="gramStart"/>
      <w:r w:rsidRPr="002D6E6B">
        <w:rPr>
          <w:rFonts w:ascii="Times New Roman" w:hAnsi="Times New Roman" w:cs="Times New Roman"/>
        </w:rPr>
        <w:t>²[</w:t>
      </w:r>
      <w:proofErr w:type="gramEnd"/>
      <w:r w:rsidRPr="002D6E6B">
        <w:rPr>
          <w:rFonts w:ascii="Times New Roman" w:hAnsi="Times New Roman" w:cs="Times New Roman"/>
        </w:rPr>
        <w:t xml:space="preserve">6] = </w:t>
      </w:r>
      <w:r w:rsidR="00B315D0" w:rsidRPr="002D6E6B">
        <w:rPr>
          <w:rFonts w:ascii="Times New Roman" w:hAnsi="Times New Roman" w:cs="Times New Roman"/>
        </w:rPr>
        <w:t>6.</w:t>
      </w:r>
      <w:r w:rsidR="000A57A0" w:rsidRPr="002D6E6B">
        <w:rPr>
          <w:rFonts w:ascii="Times New Roman" w:hAnsi="Times New Roman" w:cs="Times New Roman"/>
        </w:rPr>
        <w:t>17</w:t>
      </w:r>
      <w:r w:rsidRPr="002D6E6B">
        <w:rPr>
          <w:rFonts w:ascii="Times New Roman" w:hAnsi="Times New Roman" w:cs="Times New Roman"/>
        </w:rPr>
        <w:t>; p = 0.</w:t>
      </w:r>
      <w:r w:rsidR="00B82F42" w:rsidRPr="002D6E6B">
        <w:rPr>
          <w:rFonts w:ascii="Times New Roman" w:hAnsi="Times New Roman" w:cs="Times New Roman"/>
        </w:rPr>
        <w:t>6</w:t>
      </w:r>
      <w:r w:rsidR="000A57A0" w:rsidRPr="002D6E6B">
        <w:rPr>
          <w:rFonts w:ascii="Times New Roman" w:hAnsi="Times New Roman" w:cs="Times New Roman"/>
        </w:rPr>
        <w:t>3</w:t>
      </w:r>
      <w:r w:rsidRPr="002D6E6B">
        <w:rPr>
          <w:rFonts w:ascii="Times New Roman" w:hAnsi="Times New Roman" w:cs="Times New Roman"/>
        </w:rPr>
        <w:t>).</w:t>
      </w:r>
    </w:p>
    <w:p w14:paraId="65261BC3" w14:textId="77777777" w:rsidR="000427CA" w:rsidRDefault="000427CA"/>
    <w:sectPr w:rsidR="000427CA" w:rsidSect="00B315D0">
      <w:pgSz w:w="11900" w:h="16840"/>
      <w:pgMar w:top="1417" w:right="126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69"/>
    <w:rsid w:val="000427CA"/>
    <w:rsid w:val="000939A0"/>
    <w:rsid w:val="000A57A0"/>
    <w:rsid w:val="001A304F"/>
    <w:rsid w:val="002A0707"/>
    <w:rsid w:val="002D6E6B"/>
    <w:rsid w:val="005371BA"/>
    <w:rsid w:val="005A1BF5"/>
    <w:rsid w:val="00745B98"/>
    <w:rsid w:val="009520D9"/>
    <w:rsid w:val="009D180C"/>
    <w:rsid w:val="00A51B05"/>
    <w:rsid w:val="00A62172"/>
    <w:rsid w:val="00AA4F94"/>
    <w:rsid w:val="00B315D0"/>
    <w:rsid w:val="00B45D38"/>
    <w:rsid w:val="00B82F42"/>
    <w:rsid w:val="00C60C69"/>
    <w:rsid w:val="00D27C6A"/>
    <w:rsid w:val="00D440D2"/>
    <w:rsid w:val="00E85839"/>
    <w:rsid w:val="00EB6378"/>
    <w:rsid w:val="00EF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33DE"/>
  <w14:defaultImageDpi w14:val="32767"/>
  <w15:chartTrackingRefBased/>
  <w15:docId w15:val="{10CDAB1B-2624-2D44-812F-7FC06AB9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60C69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60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60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60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60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60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60C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60C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60C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60C69"/>
    <w:pPr>
      <w:keepNext/>
      <w:keepLines/>
      <w:outlineLvl w:val="8"/>
    </w:pPr>
    <w:rPr>
      <w:rFonts w:eastAsiaTheme="majorEastAsia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60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60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60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60C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60C6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60C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60C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0C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0C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60C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C60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60C6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C60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60C69"/>
    <w:pPr>
      <w:spacing w:before="160" w:after="160"/>
      <w:jc w:val="center"/>
    </w:pPr>
    <w:rPr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C60C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0C69"/>
    <w:pPr>
      <w:ind w:left="720"/>
      <w:contextualSpacing/>
    </w:pPr>
    <w:rPr>
      <w:lang w:val="pt-BR"/>
    </w:rPr>
  </w:style>
  <w:style w:type="character" w:styleId="nfaseIntensa">
    <w:name w:val="Intense Emphasis"/>
    <w:basedOn w:val="Fontepargpadro"/>
    <w:uiPriority w:val="21"/>
    <w:qFormat/>
    <w:rsid w:val="00C60C6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60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60C6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60C69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C60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C60C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Stevanato</dc:creator>
  <cp:keywords/>
  <dc:description/>
  <cp:lastModifiedBy>Paulo Stevanato</cp:lastModifiedBy>
  <cp:revision>12</cp:revision>
  <dcterms:created xsi:type="dcterms:W3CDTF">2025-10-24T03:47:00Z</dcterms:created>
  <dcterms:modified xsi:type="dcterms:W3CDTF">2025-10-25T17:43:00Z</dcterms:modified>
</cp:coreProperties>
</file>