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4"/>
        </w:rPr>
        <w:t xml:space="preserve">SUPPLEMENTARY </w:t>
      </w:r>
      <w:bookmarkStart w:id="0" w:name="_GoBack"/>
      <w:r>
        <w:rPr>
          <w:rFonts w:ascii="Arial" w:eastAsia="Arial" w:hAnsi="Arial" w:cs="Arial"/>
          <w:b/>
          <w:sz w:val="24"/>
        </w:rPr>
        <w:t>FIG</w:t>
      </w:r>
      <w:bookmarkEnd w:id="0"/>
      <w:r>
        <w:rPr>
          <w:rFonts w:ascii="Arial" w:eastAsia="Arial" w:hAnsi="Arial" w:cs="Arial"/>
          <w:b/>
          <w:sz w:val="24"/>
        </w:rPr>
        <w:t>URE LEGENDS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Figure S1. Domain organization of TUT7/4/2 and expression of TUT7 deletion mutants (related to Fig 1).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>(A) Domain organization of human TUT7, TUT4, and TUT2. Yellow, CCHH-type zinc finger; hatched red, inactive nucleotidyl transferase domain due to a sequence variation; green, PAP-associated domain; orange, CCHC-type zinc finger; red, nucleotidyl transferase domain. (B) Western blotting of immunoprecipitated TUT7 full-length (FL) and deletion mutants (ΔZF1, ΔNtr1, ΔPAP1, and NP). Each protein is indicated by red arrowheads. Dashed line indicates discontinuous lanes from the same gel.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Figure S2. In vitro uridylation of pre-let-7a-1 mutants by recombinant TUT7 951-1495, TUT4, and TUT2 (related to Fig 2).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 xml:space="preserve">(A) In vitro uridylation of unmodified pre-let-7a-1, terminal loop mutant (L4), and stem mutant (S14) by recombinant TUT7 951-1495 (rTUT7) (4 min reaction for lanes 9 - 12). rTUT7 uridylated L4 mutant less efficiently than unmodified pre-let-7a-1 but uridylated S14 mutants as efficiently as unmodified pre-let-7a-1. (B) In vitro uridylation of pre-let-7a-1 overhang variants by rTUT7. 13.4 nM of rTUT7 was used. rTUT7 showed the same substrate preference as full-length TUT7. Dashed line indicates discontinuous lanes from the same gel. (C) In vitro uridylation of unmodified pre-let-7a-1, terminal loop mutant (L4), and stem mutant (S14) by immunopurified full-length TUT4 and immunopurified full-length TUT2 (20 min reaction for TUT4 and 15 min reaction for TUT2). TUT4 and TUT2, unlike TUT7, uridylated both L4 and S14 </w:t>
      </w:r>
      <w:r>
        <w:rPr>
          <w:rFonts w:ascii="Arial" w:eastAsia="Arial" w:hAnsi="Arial" w:cs="Arial"/>
          <w:sz w:val="22"/>
        </w:rPr>
        <w:lastRenderedPageBreak/>
        <w:t xml:space="preserve">mutants efficiently. (D) In vitro uridylation of pre-let-7a-1 overhang variants by immunopurified full-length TUT4 and immunopurified full-length TUT2 (20 min reaction for TUT4 and 10 min reaction for TUT2). By and large, TUT7/4/2 showed similar substrate specificity to overhang variants. Unlike TUT7 and TUT4, TUT2 did not show enhanced uridylation to the pre-miRNAs with long 5′ overhangs (ΔCUUUC and Ac-pre). 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Figure S3. Single-molecule assay of unmodified pre-let-7a-1 and variants (related to Fig 3).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>(A) Representative dwell time distributions of unmodified pre-let-7a-1 and variants fitted with a single-exponential decay curve. As all RNA substrates followed single-exponential decay, dissociation of the RNA substrate from TUT7 is a single-step process. The first data point (grey) was not included in the fit due to limited time resolution. Δτ represents average dwell time (n=3) ± standard error. Negative control was performed with unmodified pre-let-7a-1 without recombinant TUT7 protein immobilized. (B) Table of dissociation rate (k</w:t>
      </w:r>
      <w:r>
        <w:rPr>
          <w:rFonts w:ascii="Arial" w:eastAsia="Arial" w:hAnsi="Arial" w:cs="Arial"/>
          <w:sz w:val="22"/>
          <w:vertAlign w:val="subscript"/>
        </w:rPr>
        <w:t>off</w:t>
      </w:r>
      <w:r>
        <w:rPr>
          <w:rFonts w:ascii="Arial" w:eastAsia="Arial" w:hAnsi="Arial" w:cs="Arial"/>
          <w:sz w:val="22"/>
        </w:rPr>
        <w:t>), binding rate (k</w:t>
      </w:r>
      <w:r>
        <w:rPr>
          <w:rFonts w:ascii="Arial" w:eastAsia="Arial" w:hAnsi="Arial" w:cs="Arial"/>
          <w:sz w:val="22"/>
          <w:vertAlign w:val="superscript"/>
        </w:rPr>
        <w:t>Variant</w:t>
      </w:r>
      <w:r>
        <w:rPr>
          <w:rFonts w:ascii="Arial" w:eastAsia="Arial" w:hAnsi="Arial" w:cs="Arial"/>
          <w:sz w:val="22"/>
          <w:vertAlign w:val="subscript"/>
        </w:rPr>
        <w:t>on</w:t>
      </w:r>
      <w:r>
        <w:rPr>
          <w:rFonts w:ascii="Arial" w:eastAsia="Arial" w:hAnsi="Arial" w:cs="Arial"/>
          <w:sz w:val="22"/>
        </w:rPr>
        <w:t>/k</w:t>
      </w:r>
      <w:r>
        <w:rPr>
          <w:rFonts w:ascii="Arial" w:eastAsia="Arial" w:hAnsi="Arial" w:cs="Arial"/>
          <w:sz w:val="22"/>
          <w:vertAlign w:val="superscript"/>
        </w:rPr>
        <w:t>Unmodified</w:t>
      </w:r>
      <w:r>
        <w:rPr>
          <w:rFonts w:ascii="Arial" w:eastAsia="Arial" w:hAnsi="Arial" w:cs="Arial"/>
          <w:sz w:val="22"/>
          <w:vertAlign w:val="subscript"/>
        </w:rPr>
        <w:t>on</w:t>
      </w:r>
      <w:r>
        <w:rPr>
          <w:rFonts w:ascii="Arial" w:eastAsia="Arial" w:hAnsi="Arial" w:cs="Arial"/>
          <w:sz w:val="22"/>
        </w:rPr>
        <w:t xml:space="preserve">) and estimation of ΔΔG of unmodified pre-let-7a-1 and mutants. 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Figure S4. In vitro uridylation of pre-let-7a-1 unmodified and ac-pre-let-7a-1 by rTUT4 (related to Fig 3).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>(A) Domain organization of recombinant protein of human TUT4 267-1312. Yellow, CCHH-type zinc finger; hatched red, inactive nucleotidyl transferase domain due to a sequence variation; green, PAP-associated domain; orange, CCHC-type zinc finger; red, nucleotidyl transferase domain. (B) Coomassie staining of recombinant TUT4 267-1312  resolved on NuPAGE® Bis-</w:t>
      </w:r>
      <w:r>
        <w:rPr>
          <w:rFonts w:ascii="Arial" w:eastAsia="Arial" w:hAnsi="Arial" w:cs="Arial"/>
          <w:sz w:val="22"/>
        </w:rPr>
        <w:lastRenderedPageBreak/>
        <w:t xml:space="preserve">Tris gel and silver staining of recombinant Lin28b resolved on Bolt® 4-12% Bis-Tris Plus Gel. Each protein is indicated by arrowheads. M, size marker. (C) In vitro uridylation assay of ac-pre-let-7a-1 and unmodified pre-let-7a-1 by rTUT4 267-1312 with or without rLin28b. Reaction mixture was either not diluted or diluted after 20 seconds. While processive oligo-uridylation by rTUT4 and rLin28b was not inhibited by dilution, oligo-uridylation of ac-pre-let-7a-1 and mono-uridylation of unmodified pre-let-7a-1 were repressed by dilution, indicating that TUT4 is distributive enzyme. Dashed line indicates discontinuous lanes from the same gel. For over-exposed bands, image with short exposure is presented below. 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Figure S5. TUT7/4/2 knockdown in HeLa cells for pre-miRNA deep sequencing (related to Fig 4).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 xml:space="preserve">The mRNA levels of TUT7, TUT4, and TUT2 were measured by qRT-PCR with sequencing samples. The mRNA of all the three TUTs decreased to about 20% upon TUT7/4/2 knockdown. 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Figure S6. Energy landscape of unmodified pre-let-7a-1 and variants (related to Fig 5).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 xml:space="preserve">(A,B) Energy landscape of pre-let-7a-1 +U, and L4 (A) and ΔCUUUC, and Ac-pre (B). (RNA+TUT7)* indicates transient state of interaction between TUT7 and RNA substrate. When pre-let-7a-1 is mono-uridylated or when the terminal loop is diminished, the energy barrier increased. On the contrary, when the 3′ end of pre-let-7a-1 is shortened to have 5′ overhang, the energy barrier decreased. TUT7 distinguishes its RNA substrates at transient state. 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4"/>
        </w:rPr>
        <w:lastRenderedPageBreak/>
        <w:t>SUPPLEMENTARY TABLES LEGENDS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Table S1. Pre-miRNA deep sequencing primers (related to Fig 4).</w:t>
      </w: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sz w:val="22"/>
        </w:rPr>
        <w:t>Forward PCR primers used in the 1st PCR step of pre-miRNA deep sequencing. Primer consists of 5′ adapter and miRNA specific region.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Table S2. Uridylation ratio and adenylation ratio of pre-miRNAs (related to Fig 4).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  <w:r>
        <w:rPr>
          <w:rFonts w:ascii="Arial" w:eastAsia="Arial" w:hAnsi="Arial" w:cs="Arial"/>
          <w:b/>
          <w:sz w:val="22"/>
        </w:rPr>
        <w:t>Supplementary Table S3. Trimming and uridylation of pre-miRNAs (related to Fig 4).</w:t>
      </w:r>
    </w:p>
    <w:p w:rsidR="004529AC" w:rsidRDefault="004529AC" w:rsidP="004529AC">
      <w:pPr>
        <w:spacing w:after="0"/>
      </w:pPr>
    </w:p>
    <w:p w:rsidR="004529AC" w:rsidRDefault="004529AC" w:rsidP="004529AC">
      <w:pPr>
        <w:spacing w:after="0"/>
      </w:pPr>
      <w:r>
        <w:rPr>
          <w:rFonts w:ascii="Arial" w:eastAsia="Arial" w:hAnsi="Arial" w:cs="Arial"/>
          <w:b/>
          <w:sz w:val="22"/>
        </w:rPr>
        <w:t>Supplementary Table S4. List of oligonucleotides used in this study.</w:t>
      </w:r>
    </w:p>
    <w:p w:rsidR="004529AC" w:rsidRDefault="004529AC" w:rsidP="004529AC">
      <w:pPr>
        <w:widowControl/>
        <w:spacing w:after="0" w:line="480" w:lineRule="auto"/>
        <w:jc w:val="left"/>
      </w:pPr>
    </w:p>
    <w:p w:rsidR="004529AC" w:rsidRDefault="004529AC" w:rsidP="004529AC">
      <w:pPr>
        <w:widowControl/>
        <w:spacing w:after="0" w:line="480" w:lineRule="auto"/>
        <w:jc w:val="left"/>
      </w:pPr>
    </w:p>
    <w:p w:rsidR="00EA3CA9" w:rsidRDefault="004529AC"/>
    <w:sectPr w:rsidR="00EA3CA9">
      <w:footerReference w:type="default" r:id="rId5"/>
      <w:pgSz w:w="12240" w:h="15840"/>
      <w:pgMar w:top="170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642" w:rsidRDefault="004529AC">
    <w:pPr>
      <w:tabs>
        <w:tab w:val="center" w:pos="4513"/>
        <w:tab w:val="right" w:pos="9026"/>
      </w:tabs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807642" w:rsidRDefault="004529AC">
    <w:pPr>
      <w:tabs>
        <w:tab w:val="center" w:pos="4513"/>
        <w:tab w:val="right" w:pos="9026"/>
      </w:tabs>
      <w:spacing w:after="99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9AC"/>
    <w:rsid w:val="004529AC"/>
    <w:rsid w:val="006D5C4B"/>
    <w:rsid w:val="00C4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29AC"/>
    <w:pPr>
      <w:widowControl w:val="0"/>
      <w:spacing w:after="160" w:line="259" w:lineRule="auto"/>
      <w:jc w:val="both"/>
    </w:pPr>
    <w:rPr>
      <w:rFonts w:ascii="Malgun Gothic" w:eastAsia="Malgun Gothic" w:hAnsi="Malgun Gothic" w:cs="Malgun Gothic"/>
      <w:color w:val="000000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29AC"/>
    <w:pPr>
      <w:widowControl w:val="0"/>
      <w:spacing w:after="160" w:line="259" w:lineRule="auto"/>
      <w:jc w:val="both"/>
    </w:pPr>
    <w:rPr>
      <w:rFonts w:ascii="Malgun Gothic" w:eastAsia="Malgun Gothic" w:hAnsi="Malgun Gothic" w:cs="Malgun Gothic"/>
      <w:color w:val="000000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Hristov, Georgi - Weinheim</dc:creator>
  <cp:lastModifiedBy>Hristov, Georgi - Weinheim</cp:lastModifiedBy>
  <cp:revision>1</cp:revision>
  <dcterms:created xsi:type="dcterms:W3CDTF">2015-04-22T15:07:00Z</dcterms:created>
  <dcterms:modified xsi:type="dcterms:W3CDTF">2015-04-22T15:08:00Z</dcterms:modified>
</cp:coreProperties>
</file>