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E29" w:rsidRDefault="00945E29" w:rsidP="00945E29">
      <w:pPr>
        <w:widowControl w:val="0"/>
        <w:autoSpaceDE w:val="0"/>
        <w:autoSpaceDN w:val="0"/>
        <w:adjustRightInd w:val="0"/>
        <w:spacing w:line="600" w:lineRule="auto"/>
        <w:jc w:val="both"/>
        <w:rPr>
          <w:rFonts w:ascii="Arial" w:hAnsi="Arial"/>
          <w:b/>
          <w:color w:val="000000" w:themeColor="text1"/>
          <w:sz w:val="22"/>
          <w:szCs w:val="22"/>
          <w:lang w:val="en-GB"/>
        </w:rPr>
      </w:pPr>
      <w:bookmarkStart w:id="0" w:name="_GoBack"/>
      <w:bookmarkEnd w:id="0"/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>Supplementary legends</w:t>
      </w:r>
    </w:p>
    <w:p w:rsidR="00945E29" w:rsidRPr="0000738B" w:rsidRDefault="00945E29" w:rsidP="00945E29">
      <w:pPr>
        <w:widowControl w:val="0"/>
        <w:autoSpaceDE w:val="0"/>
        <w:autoSpaceDN w:val="0"/>
        <w:adjustRightInd w:val="0"/>
        <w:spacing w:line="600" w:lineRule="auto"/>
        <w:jc w:val="both"/>
        <w:rPr>
          <w:rFonts w:ascii="Arial" w:hAnsi="Arial"/>
          <w:b/>
          <w:color w:val="000000" w:themeColor="text1"/>
          <w:sz w:val="22"/>
          <w:szCs w:val="22"/>
          <w:lang w:val="en-GB"/>
        </w:rPr>
      </w:pPr>
    </w:p>
    <w:p w:rsidR="00945E29" w:rsidRPr="0000738B" w:rsidRDefault="00945E29" w:rsidP="00945E29">
      <w:pPr>
        <w:widowControl w:val="0"/>
        <w:autoSpaceDE w:val="0"/>
        <w:autoSpaceDN w:val="0"/>
        <w:adjustRightInd w:val="0"/>
        <w:spacing w:line="600" w:lineRule="auto"/>
        <w:jc w:val="both"/>
        <w:rPr>
          <w:rFonts w:ascii="Arial" w:hAnsi="Arial"/>
          <w:color w:val="000000" w:themeColor="text1"/>
          <w:sz w:val="22"/>
          <w:szCs w:val="22"/>
          <w:lang w:val="en-GB"/>
        </w:rPr>
      </w:pPr>
      <w:proofErr w:type="gramStart"/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>Supplementary</w:t>
      </w:r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 xml:space="preserve"> Figure 1.</w:t>
      </w:r>
      <w:proofErr w:type="gramEnd"/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 xml:space="preserve"> Heat shock induces a stress response that increases significant intestinal cell turn over and stem cell mitosis.</w:t>
      </w:r>
    </w:p>
    <w:p w:rsidR="00945E29" w:rsidRPr="0000738B" w:rsidRDefault="00945E29" w:rsidP="00945E29">
      <w:pPr>
        <w:widowControl w:val="0"/>
        <w:autoSpaceDE w:val="0"/>
        <w:autoSpaceDN w:val="0"/>
        <w:adjustRightInd w:val="0"/>
        <w:spacing w:line="600" w:lineRule="auto"/>
        <w:jc w:val="both"/>
        <w:rPr>
          <w:rFonts w:ascii="Arial" w:hAnsi="Arial"/>
          <w:color w:val="000000" w:themeColor="text1"/>
          <w:sz w:val="22"/>
          <w:szCs w:val="22"/>
          <w:lang w:val="en-GB"/>
        </w:rPr>
      </w:pPr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>A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, Scheme of the heat-shock regimen induced in an adult female carrying the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esg</w:t>
      </w:r>
      <w:r w:rsidRPr="0000738B">
        <w:rPr>
          <w:rFonts w:ascii="Arial" w:hAnsi="Arial"/>
          <w:color w:val="000000" w:themeColor="text1"/>
          <w:sz w:val="22"/>
          <w:szCs w:val="22"/>
          <w:vertAlign w:val="superscript"/>
          <w:lang w:val="en-GB"/>
        </w:rPr>
        <w:t>ReDDM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transgenes. </w:t>
      </w:r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>B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, Quantification of adult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midgut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at the time point indicated without or with a heat-shock of 1 hour at 37ºC. </w:t>
      </w:r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>C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, Confocal images of adult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midguts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of synchronized ages from MARCM or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esg</w:t>
      </w:r>
      <w:r w:rsidRPr="0000738B">
        <w:rPr>
          <w:rFonts w:ascii="Arial" w:hAnsi="Arial"/>
          <w:color w:val="000000" w:themeColor="text1"/>
          <w:sz w:val="22"/>
          <w:szCs w:val="22"/>
          <w:vertAlign w:val="superscript"/>
          <w:lang w:val="en-GB"/>
        </w:rPr>
        <w:t>ReDDM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vertAlign w:val="superscript"/>
          <w:lang w:val="en-GB"/>
        </w:rPr>
        <w:t xml:space="preserve"> 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analysis, with a 1 h heat shock at 37ºC or without. </w:t>
      </w:r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>D-E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, Graphs of quantification of intestinal stem cell mitosis (assessed by labelling with PH3) and analysis of enterocyte (EC) cell density. Heat shock induces a stress response that increases cell turnover through stem cell proliferation, as assessed by measuring PH3 and intestinal cell density. </w:t>
      </w:r>
    </w:p>
    <w:p w:rsidR="00945E29" w:rsidRPr="0000738B" w:rsidRDefault="00945E29" w:rsidP="00945E29">
      <w:pPr>
        <w:widowControl w:val="0"/>
        <w:autoSpaceDE w:val="0"/>
        <w:autoSpaceDN w:val="0"/>
        <w:adjustRightInd w:val="0"/>
        <w:spacing w:before="360" w:line="600" w:lineRule="auto"/>
        <w:jc w:val="both"/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</w:pPr>
      <w:proofErr w:type="gramStart"/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>Supplementary Figure 2.</w:t>
      </w:r>
      <w:proofErr w:type="gramEnd"/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 xml:space="preserve"> Zfh1 and Escargot function in the same process, with Escargot acting downstream of Zfh1</w:t>
      </w:r>
    </w:p>
    <w:p w:rsidR="00945E29" w:rsidRDefault="00945E29" w:rsidP="00945E29">
      <w:pPr>
        <w:widowControl w:val="0"/>
        <w:autoSpaceDE w:val="0"/>
        <w:autoSpaceDN w:val="0"/>
        <w:adjustRightInd w:val="0"/>
        <w:spacing w:before="360" w:line="600" w:lineRule="auto"/>
        <w:jc w:val="both"/>
        <w:rPr>
          <w:rFonts w:ascii="Arial" w:hAnsi="Arial"/>
          <w:color w:val="000000" w:themeColor="text1"/>
          <w:sz w:val="22"/>
          <w:szCs w:val="22"/>
          <w:lang w:val="en-GB"/>
        </w:rPr>
      </w:pPr>
      <w:proofErr w:type="gramStart"/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>A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, Adult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midgut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where </w:t>
      </w:r>
      <w:r w:rsidRPr="0000738B">
        <w:rPr>
          <w:rFonts w:ascii="Arial" w:hAnsi="Arial"/>
          <w:i/>
          <w:color w:val="000000" w:themeColor="text1"/>
          <w:sz w:val="22"/>
          <w:szCs w:val="22"/>
          <w:lang w:val="en-GB"/>
        </w:rPr>
        <w:t>zfh1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was depleted during 7 days using zfh1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RNAi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transgene (</w:t>
      </w:r>
      <w:r w:rsidRPr="0000738B">
        <w:rPr>
          <w:rFonts w:ascii="Arial" w:hAnsi="Arial"/>
          <w:i/>
          <w:color w:val="000000" w:themeColor="text1"/>
          <w:sz w:val="22"/>
          <w:szCs w:val="22"/>
          <w:lang w:val="en-GB"/>
        </w:rPr>
        <w:t>UAS-zfh1-IR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)</w:t>
      </w:r>
      <w:r w:rsidRPr="0000738B">
        <w:rPr>
          <w:rFonts w:ascii="Arial" w:hAnsi="Arial"/>
          <w:i/>
          <w:color w:val="000000" w:themeColor="text1"/>
          <w:sz w:val="22"/>
          <w:szCs w:val="22"/>
          <w:lang w:val="en-GB"/>
        </w:rPr>
        <w:t xml:space="preserve"> 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and</w:t>
      </w:r>
      <w:r w:rsidRPr="0000738B">
        <w:rPr>
          <w:rFonts w:ascii="Arial" w:hAnsi="Arial"/>
          <w:i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00738B">
        <w:rPr>
          <w:rFonts w:ascii="Arial" w:hAnsi="Arial"/>
          <w:i/>
          <w:color w:val="000000" w:themeColor="text1"/>
          <w:sz w:val="22"/>
          <w:szCs w:val="22"/>
          <w:lang w:val="en-GB"/>
        </w:rPr>
        <w:t>esg</w:t>
      </w:r>
      <w:r w:rsidRPr="0000738B">
        <w:rPr>
          <w:rFonts w:ascii="Arial" w:hAnsi="Arial"/>
          <w:i/>
          <w:color w:val="000000" w:themeColor="text1"/>
          <w:sz w:val="22"/>
          <w:szCs w:val="22"/>
          <w:vertAlign w:val="superscript"/>
          <w:lang w:val="en-GB"/>
        </w:rPr>
        <w:t>ReDDM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.</w:t>
      </w:r>
      <w:proofErr w:type="gram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</w:t>
      </w:r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 xml:space="preserve">B,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Midgut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after overexpression </w:t>
      </w:r>
      <w:r w:rsidRPr="0000738B">
        <w:rPr>
          <w:rFonts w:ascii="Arial" w:hAnsi="Arial"/>
          <w:i/>
          <w:color w:val="000000" w:themeColor="text1"/>
          <w:sz w:val="22"/>
          <w:szCs w:val="22"/>
          <w:lang w:val="en-GB"/>
        </w:rPr>
        <w:t>zfh1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during 7 days using a UAS-zfh1 transgene and </w:t>
      </w:r>
      <w:proofErr w:type="spellStart"/>
      <w:r w:rsidRPr="0000738B">
        <w:rPr>
          <w:rFonts w:ascii="Arial" w:hAnsi="Arial"/>
          <w:i/>
          <w:color w:val="000000" w:themeColor="text1"/>
          <w:sz w:val="22"/>
          <w:szCs w:val="22"/>
          <w:lang w:val="en-GB"/>
        </w:rPr>
        <w:t>esg</w:t>
      </w:r>
      <w:r w:rsidRPr="0000738B">
        <w:rPr>
          <w:rFonts w:ascii="Arial" w:hAnsi="Arial"/>
          <w:i/>
          <w:color w:val="000000" w:themeColor="text1"/>
          <w:sz w:val="22"/>
          <w:szCs w:val="22"/>
          <w:vertAlign w:val="superscript"/>
          <w:lang w:val="en-GB"/>
        </w:rPr>
        <w:t>ReDDM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.</w:t>
      </w:r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 xml:space="preserve"> C, 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The defect of depleted </w:t>
      </w:r>
      <w:r w:rsidRPr="0000738B">
        <w:rPr>
          <w:rFonts w:ascii="Arial" w:hAnsi="Arial"/>
          <w:i/>
          <w:iCs/>
          <w:color w:val="000000" w:themeColor="text1"/>
          <w:sz w:val="22"/>
          <w:szCs w:val="22"/>
          <w:lang w:val="en-GB"/>
        </w:rPr>
        <w:t>zfh1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is fully rescued by the concomitant overexpression of </w:t>
      </w:r>
      <w:r w:rsidRPr="0000738B">
        <w:rPr>
          <w:rFonts w:ascii="Arial" w:hAnsi="Arial"/>
          <w:i/>
          <w:color w:val="000000" w:themeColor="text1"/>
          <w:sz w:val="22"/>
          <w:szCs w:val="22"/>
          <w:lang w:val="en-GB"/>
        </w:rPr>
        <w:t>escargot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. Shown is </w:t>
      </w:r>
      <w:r w:rsidRPr="0000738B">
        <w:rPr>
          <w:rFonts w:ascii="Arial" w:hAnsi="Arial"/>
          <w:iCs/>
          <w:color w:val="000000" w:themeColor="text1"/>
          <w:sz w:val="22"/>
          <w:szCs w:val="22"/>
          <w:lang w:val="en-GB"/>
        </w:rPr>
        <w:t>an</w:t>
      </w:r>
      <w:r w:rsidRPr="0000738B">
        <w:rPr>
          <w:rFonts w:ascii="Arial" w:hAnsi="Arial"/>
          <w:i/>
          <w:iCs/>
          <w:color w:val="000000" w:themeColor="text1"/>
          <w:sz w:val="22"/>
          <w:szCs w:val="22"/>
          <w:lang w:val="en-GB"/>
        </w:rPr>
        <w:t xml:space="preserve"> 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adult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midgut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14 days after the temperature shift that activated the Gal4 in </w:t>
      </w:r>
      <w:proofErr w:type="spellStart"/>
      <w:r w:rsidRPr="0000738B">
        <w:rPr>
          <w:rFonts w:ascii="Arial" w:hAnsi="Arial"/>
          <w:i/>
          <w:color w:val="000000" w:themeColor="text1"/>
          <w:sz w:val="22"/>
          <w:szCs w:val="22"/>
          <w:lang w:val="en-GB"/>
        </w:rPr>
        <w:t>esg</w:t>
      </w:r>
      <w:r w:rsidRPr="0000738B">
        <w:rPr>
          <w:rFonts w:ascii="Arial" w:hAnsi="Arial"/>
          <w:i/>
          <w:color w:val="000000" w:themeColor="text1"/>
          <w:sz w:val="22"/>
          <w:szCs w:val="22"/>
          <w:vertAlign w:val="superscript"/>
          <w:lang w:val="en-GB"/>
        </w:rPr>
        <w:t>ReDDM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. </w:t>
      </w:r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 xml:space="preserve">D, 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Overexpression of </w:t>
      </w:r>
      <w:r w:rsidRPr="0000738B">
        <w:rPr>
          <w:rFonts w:ascii="Arial" w:hAnsi="Arial"/>
          <w:i/>
          <w:color w:val="000000" w:themeColor="text1"/>
          <w:sz w:val="22"/>
          <w:szCs w:val="22"/>
          <w:lang w:val="en-GB"/>
        </w:rPr>
        <w:t>zfh1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combined with </w:t>
      </w:r>
      <w:r w:rsidRPr="0000738B">
        <w:rPr>
          <w:rFonts w:ascii="Arial" w:hAnsi="Arial"/>
          <w:i/>
          <w:color w:val="000000" w:themeColor="text1"/>
          <w:sz w:val="22"/>
          <w:szCs w:val="22"/>
          <w:lang w:val="en-GB"/>
        </w:rPr>
        <w:t xml:space="preserve">escargot </w:t>
      </w:r>
      <w:proofErr w:type="spellStart"/>
      <w:r w:rsidRPr="0000738B">
        <w:rPr>
          <w:rFonts w:ascii="Arial" w:hAnsi="Arial"/>
          <w:i/>
          <w:color w:val="000000" w:themeColor="text1"/>
          <w:sz w:val="22"/>
          <w:szCs w:val="22"/>
          <w:lang w:val="en-GB"/>
        </w:rPr>
        <w:t>RNAi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provoked a failure to retain the undifferentiated state as single </w:t>
      </w:r>
      <w:r w:rsidRPr="0000738B">
        <w:rPr>
          <w:rFonts w:ascii="Arial" w:hAnsi="Arial"/>
          <w:i/>
          <w:color w:val="000000" w:themeColor="text1"/>
          <w:sz w:val="22"/>
          <w:szCs w:val="22"/>
          <w:lang w:val="en-GB"/>
        </w:rPr>
        <w:t>escargot-IR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(compare with Fig </w:t>
      </w:r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>2</w:t>
      </w:r>
      <w:r w:rsidRPr="0000738B">
        <w:rPr>
          <w:rFonts w:ascii="Arial" w:hAnsi="Arial"/>
          <w:bCs/>
          <w:color w:val="000000" w:themeColor="text1"/>
          <w:sz w:val="22"/>
          <w:szCs w:val="22"/>
          <w:lang w:val="en-GB"/>
        </w:rPr>
        <w:t>B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). </w:t>
      </w:r>
    </w:p>
    <w:p w:rsidR="00945E29" w:rsidRPr="0000738B" w:rsidRDefault="00945E29" w:rsidP="00945E29">
      <w:pPr>
        <w:widowControl w:val="0"/>
        <w:autoSpaceDE w:val="0"/>
        <w:autoSpaceDN w:val="0"/>
        <w:adjustRightInd w:val="0"/>
        <w:spacing w:before="360" w:line="600" w:lineRule="auto"/>
        <w:jc w:val="both"/>
        <w:rPr>
          <w:rFonts w:ascii="Arial" w:hAnsi="Arial"/>
          <w:b/>
          <w:color w:val="000000" w:themeColor="text1"/>
          <w:sz w:val="22"/>
          <w:szCs w:val="22"/>
          <w:lang w:val="en-GB"/>
        </w:rPr>
      </w:pPr>
    </w:p>
    <w:p w:rsidR="00945E29" w:rsidRPr="0000738B" w:rsidRDefault="00945E29" w:rsidP="00945E29">
      <w:pPr>
        <w:widowControl w:val="0"/>
        <w:autoSpaceDE w:val="0"/>
        <w:autoSpaceDN w:val="0"/>
        <w:adjustRightInd w:val="0"/>
        <w:spacing w:line="600" w:lineRule="auto"/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</w:pPr>
      <w:proofErr w:type="gramStart"/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>Supplementary Figure 3.</w:t>
      </w:r>
      <w:proofErr w:type="gramEnd"/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 xml:space="preserve"> Endogenous</w:t>
      </w:r>
      <w:r w:rsidRPr="0000738B">
        <w:rPr>
          <w:rFonts w:ascii="Arial" w:hAnsi="Arial"/>
          <w:b/>
          <w:bCs/>
          <w:i/>
          <w:iCs/>
          <w:color w:val="000000" w:themeColor="text1"/>
          <w:sz w:val="22"/>
          <w:szCs w:val="22"/>
          <w:lang w:val="en-GB"/>
        </w:rPr>
        <w:t xml:space="preserve"> mir-8 </w:t>
      </w:r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>mutants show</w:t>
      </w:r>
      <w:r w:rsidRPr="0000738B">
        <w:rPr>
          <w:rFonts w:ascii="Arial" w:hAnsi="Arial"/>
          <w:b/>
          <w:bCs/>
          <w:i/>
          <w:iCs/>
          <w:color w:val="000000" w:themeColor="text1"/>
          <w:sz w:val="22"/>
          <w:szCs w:val="22"/>
          <w:lang w:val="en-GB"/>
        </w:rPr>
        <w:t xml:space="preserve"> </w:t>
      </w:r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>defective epithelial cell differentiation.</w:t>
      </w:r>
    </w:p>
    <w:p w:rsidR="00945E29" w:rsidRPr="0000738B" w:rsidRDefault="00945E29" w:rsidP="00945E29">
      <w:pPr>
        <w:widowControl w:val="0"/>
        <w:autoSpaceDE w:val="0"/>
        <w:autoSpaceDN w:val="0"/>
        <w:adjustRightInd w:val="0"/>
        <w:spacing w:line="600" w:lineRule="auto"/>
        <w:jc w:val="both"/>
        <w:rPr>
          <w:rFonts w:ascii="Arial" w:hAnsi="Arial"/>
          <w:color w:val="000000" w:themeColor="text1"/>
          <w:sz w:val="22"/>
          <w:szCs w:val="22"/>
          <w:lang w:val="en-GB"/>
        </w:rPr>
      </w:pPr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 xml:space="preserve">A, </w:t>
      </w:r>
      <w:proofErr w:type="gram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In</w:t>
      </w:r>
      <w:proofErr w:type="gram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mutant mir-8</w:t>
      </w:r>
      <w:r w:rsidRPr="0000738B">
        <w:rPr>
          <w:rFonts w:ascii="Arial" w:hAnsi="Arial"/>
          <w:color w:val="000000" w:themeColor="text1"/>
          <w:sz w:val="22"/>
          <w:szCs w:val="22"/>
          <w:vertAlign w:val="superscript"/>
          <w:lang w:val="en-GB"/>
        </w:rPr>
        <w:t>—/—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midguts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, mature epithelial cells become defective overtime and lose the epithelial marker Dlg-1 (red). </w:t>
      </w:r>
      <w:proofErr w:type="gram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DAPI (blue).</w:t>
      </w:r>
      <w:proofErr w:type="gram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</w:t>
      </w:r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>B-C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, Mature enterocytes (EC) of adult flies null for mir-8</w:t>
      </w:r>
      <w:r w:rsidRPr="0000738B">
        <w:rPr>
          <w:rFonts w:ascii="Arial" w:hAnsi="Arial"/>
          <w:color w:val="000000" w:themeColor="text1"/>
          <w:sz w:val="22"/>
          <w:szCs w:val="22"/>
          <w:vertAlign w:val="superscript"/>
          <w:lang w:val="en-GB"/>
        </w:rPr>
        <w:t>—/—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have smaller than normal EC cell (</w:t>
      </w:r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>B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) and nuclear (</w:t>
      </w:r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>C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) size both in the trans-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heteroallelic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</w:t>
      </w:r>
      <w:r w:rsidRPr="0000738B">
        <w:rPr>
          <w:rFonts w:ascii="Arial" w:hAnsi="Arial"/>
          <w:i/>
          <w:color w:val="000000" w:themeColor="text1"/>
          <w:sz w:val="22"/>
          <w:szCs w:val="22"/>
          <w:lang w:val="en-GB"/>
        </w:rPr>
        <w:t xml:space="preserve">mir-8 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(</w:t>
      </w:r>
      <w:r w:rsidRPr="0000738B">
        <w:rPr>
          <w:rFonts w:ascii="Symbol" w:hAnsi="Symbol" w:cs="Symbol"/>
          <w:color w:val="000000" w:themeColor="text1"/>
          <w:sz w:val="22"/>
          <w:szCs w:val="22"/>
          <w:lang w:val="en-GB"/>
        </w:rPr>
        <w:t>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2/</w:t>
      </w:r>
      <w:r w:rsidRPr="0000738B">
        <w:rPr>
          <w:rFonts w:ascii="Symbol" w:hAnsi="Symbol" w:cs="Symbol"/>
          <w:color w:val="000000" w:themeColor="text1"/>
          <w:sz w:val="22"/>
          <w:szCs w:val="22"/>
          <w:lang w:val="en-GB"/>
        </w:rPr>
        <w:t>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3) and the homozygote (</w:t>
      </w:r>
      <w:r w:rsidRPr="0000738B">
        <w:rPr>
          <w:rFonts w:ascii="Symbol" w:hAnsi="Symbol" w:cs="Symbol"/>
          <w:color w:val="000000" w:themeColor="text1"/>
          <w:sz w:val="22"/>
          <w:szCs w:val="22"/>
          <w:lang w:val="en-GB"/>
        </w:rPr>
        <w:t>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2/</w:t>
      </w:r>
      <w:r w:rsidRPr="0000738B">
        <w:rPr>
          <w:rFonts w:ascii="Arial" w:hAnsi="Arial" w:cs="Symbol"/>
          <w:color w:val="000000" w:themeColor="text1"/>
          <w:sz w:val="22"/>
          <w:szCs w:val="22"/>
          <w:lang w:val="en-GB"/>
        </w:rPr>
        <w:t></w:t>
      </w:r>
      <w:r w:rsidRPr="0000738B">
        <w:rPr>
          <w:rFonts w:ascii="Symbol" w:hAnsi="Symbol" w:cs="Symbol"/>
          <w:color w:val="000000" w:themeColor="text1"/>
          <w:sz w:val="22"/>
          <w:szCs w:val="22"/>
          <w:lang w:val="en-GB"/>
        </w:rPr>
        <w:t>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2) animals, reflecting defective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endoduplication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or maturation of the enterocytes. </w:t>
      </w:r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 xml:space="preserve">D, 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Adult mutant mir-8</w:t>
      </w:r>
      <w:r w:rsidRPr="0000738B">
        <w:rPr>
          <w:rFonts w:ascii="Arial" w:hAnsi="Arial"/>
          <w:color w:val="000000" w:themeColor="text1"/>
          <w:sz w:val="22"/>
          <w:szCs w:val="22"/>
          <w:vertAlign w:val="superscript"/>
          <w:lang w:val="en-GB"/>
        </w:rPr>
        <w:t>—/—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midguts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</w:t>
      </w:r>
      <w:proofErr w:type="gram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have</w:t>
      </w:r>
      <w:proofErr w:type="gram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more mitoses (assessed by the number of PH3 positive cells), suggesting defective precursor cell differentiation rather than impaired ISC proliferation. </w:t>
      </w:r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 xml:space="preserve">E, </w:t>
      </w:r>
      <w:r w:rsidRPr="0000738B">
        <w:rPr>
          <w:rFonts w:ascii="Arial" w:hAnsi="Arial"/>
          <w:bCs/>
          <w:color w:val="000000" w:themeColor="text1"/>
          <w:sz w:val="22"/>
          <w:szCs w:val="22"/>
          <w:lang w:val="en-GB"/>
        </w:rPr>
        <w:t xml:space="preserve">Survival of adult flies (as percentage of animals) in control, heterozygous and animals null for </w:t>
      </w:r>
      <w:r w:rsidRPr="0000738B">
        <w:rPr>
          <w:rFonts w:ascii="Arial" w:hAnsi="Arial"/>
          <w:bCs/>
          <w:i/>
          <w:color w:val="000000" w:themeColor="text1"/>
          <w:sz w:val="22"/>
          <w:szCs w:val="22"/>
          <w:lang w:val="en-GB"/>
        </w:rPr>
        <w:t>mir-8</w:t>
      </w:r>
      <w:r w:rsidRPr="0000738B">
        <w:rPr>
          <w:rFonts w:ascii="Arial" w:hAnsi="Arial"/>
          <w:bCs/>
          <w:color w:val="000000" w:themeColor="text1"/>
          <w:sz w:val="22"/>
          <w:szCs w:val="22"/>
          <w:lang w:val="en-GB"/>
        </w:rPr>
        <w:t xml:space="preserve"> is shown. At day 3 after </w:t>
      </w:r>
      <w:proofErr w:type="spellStart"/>
      <w:r w:rsidRPr="0000738B">
        <w:rPr>
          <w:rFonts w:ascii="Arial" w:hAnsi="Arial"/>
          <w:bCs/>
          <w:color w:val="000000" w:themeColor="text1"/>
          <w:sz w:val="22"/>
          <w:szCs w:val="22"/>
          <w:lang w:val="en-GB"/>
        </w:rPr>
        <w:t>eclosion</w:t>
      </w:r>
      <w:proofErr w:type="spellEnd"/>
      <w:r w:rsidRPr="0000738B">
        <w:rPr>
          <w:rFonts w:ascii="Arial" w:hAnsi="Arial"/>
          <w:bCs/>
          <w:color w:val="000000" w:themeColor="text1"/>
          <w:sz w:val="22"/>
          <w:szCs w:val="22"/>
          <w:lang w:val="en-GB"/>
        </w:rPr>
        <w:t xml:space="preserve"> flies were mechanically damage (arrowhead) and monitored daily for survival. Log-rank (Mantel-Cox) analysis indicated that </w:t>
      </w:r>
      <w:r w:rsidRPr="0000738B">
        <w:rPr>
          <w:rFonts w:ascii="Arial" w:hAnsi="Arial"/>
          <w:bCs/>
          <w:i/>
          <w:color w:val="000000" w:themeColor="text1"/>
          <w:sz w:val="22"/>
          <w:szCs w:val="22"/>
          <w:lang w:val="en-GB"/>
        </w:rPr>
        <w:t>mir-</w:t>
      </w:r>
      <w:r w:rsidRPr="0000738B">
        <w:rPr>
          <w:rFonts w:ascii="Arial" w:hAnsi="Arial"/>
          <w:bCs/>
          <w:color w:val="000000" w:themeColor="text1"/>
          <w:sz w:val="22"/>
          <w:szCs w:val="22"/>
          <w:lang w:val="en-GB"/>
        </w:rPr>
        <w:t>8 depletion significantly impairs survival after mechanical damage of the intestine (</w:t>
      </w:r>
      <w:r w:rsidRPr="0000738B">
        <w:rPr>
          <w:rFonts w:ascii="Arial" w:hAnsi="Arial"/>
          <w:bCs/>
          <w:i/>
          <w:color w:val="000000" w:themeColor="text1"/>
          <w:sz w:val="22"/>
          <w:szCs w:val="22"/>
          <w:lang w:val="en-GB"/>
        </w:rPr>
        <w:t>p&lt;0.</w:t>
      </w:r>
      <w:r w:rsidRPr="0000738B">
        <w:rPr>
          <w:rFonts w:ascii="Arial" w:hAnsi="Arial"/>
          <w:bCs/>
          <w:color w:val="000000" w:themeColor="text1"/>
          <w:sz w:val="22"/>
          <w:szCs w:val="22"/>
          <w:lang w:val="en-GB"/>
        </w:rPr>
        <w:t>0001).</w:t>
      </w:r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 xml:space="preserve"> F</w:t>
      </w:r>
      <w:r w:rsidRPr="0000738B">
        <w:rPr>
          <w:rFonts w:ascii="Arial" w:hAnsi="Arial"/>
          <w:bCs/>
          <w:color w:val="000000" w:themeColor="text1"/>
          <w:sz w:val="22"/>
          <w:szCs w:val="22"/>
          <w:lang w:val="en-GB"/>
        </w:rPr>
        <w:t xml:space="preserve">, Image shows illustrative examples of 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MARCM </w:t>
      </w:r>
      <w:r w:rsidRPr="0000738B">
        <w:rPr>
          <w:rFonts w:ascii="Arial" w:hAnsi="Arial"/>
          <w:i/>
          <w:iCs/>
          <w:color w:val="000000" w:themeColor="text1"/>
          <w:sz w:val="22"/>
          <w:szCs w:val="22"/>
          <w:lang w:val="en-GB"/>
        </w:rPr>
        <w:t>tub-Gal4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</w:t>
      </w:r>
      <w:r w:rsidRPr="0000738B">
        <w:rPr>
          <w:rFonts w:ascii="Arial" w:hAnsi="Arial"/>
          <w:i/>
          <w:iCs/>
          <w:color w:val="000000" w:themeColor="text1"/>
          <w:sz w:val="22"/>
          <w:szCs w:val="22"/>
          <w:lang w:val="en-GB"/>
        </w:rPr>
        <w:t>UAS-mir-8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overexpressing cells with large nuclei (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midgut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dissected 19 days ACI). DAPI is in blue. </w:t>
      </w:r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 xml:space="preserve">G </w:t>
      </w:r>
      <w:r w:rsidRPr="0000738B">
        <w:rPr>
          <w:rFonts w:ascii="Arial" w:hAnsi="Arial"/>
          <w:bCs/>
          <w:color w:val="000000" w:themeColor="text1"/>
          <w:sz w:val="22"/>
          <w:szCs w:val="22"/>
          <w:lang w:val="en-GB"/>
        </w:rPr>
        <w:t>and</w:t>
      </w:r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 xml:space="preserve"> H, 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Control wild-type cell size (Dlg-1, in red:</w:t>
      </w:r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 xml:space="preserve"> G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) and</w:t>
      </w:r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Pr="0000738B">
        <w:rPr>
          <w:rFonts w:ascii="Arial" w:hAnsi="Arial"/>
          <w:i/>
          <w:iCs/>
          <w:color w:val="000000" w:themeColor="text1"/>
          <w:sz w:val="22"/>
          <w:szCs w:val="22"/>
          <w:lang w:val="en-GB"/>
        </w:rPr>
        <w:t>mi-8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overexpressing cell size (GFP, </w:t>
      </w:r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>H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). Scale bars, 10µm.</w:t>
      </w:r>
    </w:p>
    <w:p w:rsidR="00945E29" w:rsidRPr="0000738B" w:rsidRDefault="00945E29" w:rsidP="00945E29">
      <w:pPr>
        <w:widowControl w:val="0"/>
        <w:autoSpaceDE w:val="0"/>
        <w:autoSpaceDN w:val="0"/>
        <w:adjustRightInd w:val="0"/>
        <w:spacing w:line="600" w:lineRule="auto"/>
        <w:jc w:val="both"/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</w:pPr>
      <w:r w:rsidRPr="0000738B">
        <w:rPr>
          <w:rFonts w:ascii="Arial" w:hAnsi="Arial"/>
          <w:b/>
          <w:color w:val="000000" w:themeColor="text1"/>
          <w:sz w:val="22"/>
          <w:szCs w:val="22"/>
          <w:lang w:val="en-GB"/>
        </w:rPr>
        <w:t xml:space="preserve">Statistics source data </w:t>
      </w:r>
      <w:r>
        <w:rPr>
          <w:rFonts w:ascii="Arial" w:hAnsi="Arial"/>
          <w:b/>
          <w:color w:val="000000" w:themeColor="text1"/>
          <w:sz w:val="22"/>
          <w:szCs w:val="22"/>
          <w:lang w:val="en-GB"/>
        </w:rPr>
        <w:t>1-6 and S1 and S3.</w:t>
      </w:r>
    </w:p>
    <w:p w:rsidR="00945E29" w:rsidRPr="0000738B" w:rsidRDefault="00945E29" w:rsidP="00945E29">
      <w:pPr>
        <w:rPr>
          <w:color w:val="000000" w:themeColor="text1"/>
        </w:rPr>
      </w:pPr>
    </w:p>
    <w:p w:rsidR="00945E29" w:rsidRDefault="00945E29">
      <w:pPr>
        <w:spacing w:after="200" w:line="276" w:lineRule="auto"/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</w:pPr>
      <w:r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br w:type="page"/>
      </w:r>
    </w:p>
    <w:p w:rsidR="00945E29" w:rsidRPr="0000738B" w:rsidRDefault="00945E29" w:rsidP="00945E29">
      <w:pPr>
        <w:widowControl w:val="0"/>
        <w:autoSpaceDE w:val="0"/>
        <w:autoSpaceDN w:val="0"/>
        <w:adjustRightInd w:val="0"/>
        <w:spacing w:line="600" w:lineRule="auto"/>
        <w:jc w:val="both"/>
        <w:rPr>
          <w:rFonts w:ascii="Arial" w:hAnsi="Arial"/>
          <w:color w:val="000000" w:themeColor="text1"/>
          <w:sz w:val="22"/>
          <w:szCs w:val="22"/>
          <w:lang w:val="en-GB"/>
        </w:rPr>
      </w:pPr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lastRenderedPageBreak/>
        <w:t xml:space="preserve">Supplementary Movie 1 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shows the typical migration of an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enteroblast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(arrowhead) during the normal course of homeostasis in a Drosophila posterior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midgut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. To facilitate the visualization of the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midgut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epithelium, mature intestinal cells expressed membrane </w:t>
      </w:r>
      <w:r w:rsidRPr="0000738B">
        <w:rPr>
          <w:rFonts w:ascii="Arial" w:hAnsi="Arial"/>
          <w:i/>
          <w:iCs/>
          <w:color w:val="000000" w:themeColor="text1"/>
          <w:sz w:val="22"/>
          <w:szCs w:val="22"/>
          <w:lang w:val="en-GB"/>
        </w:rPr>
        <w:t>D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E-cadherin-GFP. The movie (time-lapse mode) spans 40 min.</w:t>
      </w:r>
    </w:p>
    <w:p w:rsidR="00945E29" w:rsidRPr="0000738B" w:rsidRDefault="00945E29" w:rsidP="00945E29">
      <w:pPr>
        <w:widowControl w:val="0"/>
        <w:autoSpaceDE w:val="0"/>
        <w:autoSpaceDN w:val="0"/>
        <w:adjustRightInd w:val="0"/>
        <w:spacing w:line="600" w:lineRule="auto"/>
        <w:jc w:val="both"/>
        <w:rPr>
          <w:rFonts w:ascii="Arial" w:hAnsi="Arial"/>
          <w:color w:val="000000" w:themeColor="text1"/>
          <w:sz w:val="22"/>
          <w:szCs w:val="22"/>
          <w:lang w:val="en-GB"/>
        </w:rPr>
      </w:pPr>
      <w:r w:rsidRPr="0000738B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>Supplementary Movie 2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shows the time-lapse recording of the translocation of an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enteroblast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cell body (as pointed by the arrowhead) during a normal course of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midgut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homeostasis. Shown is whole adult </w:t>
      </w:r>
      <w:proofErr w:type="spellStart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>midgut</w:t>
      </w:r>
      <w:proofErr w:type="spellEnd"/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 in controlled homeostatic conditions. Note the stretching and relocation of the nucleus (labelled by H2B-RFP driven by </w:t>
      </w:r>
      <w:r w:rsidRPr="0000738B">
        <w:rPr>
          <w:rFonts w:ascii="Arial" w:hAnsi="Arial"/>
          <w:i/>
          <w:color w:val="000000" w:themeColor="text1"/>
          <w:sz w:val="22"/>
          <w:szCs w:val="22"/>
          <w:lang w:val="en-GB"/>
        </w:rPr>
        <w:t>esg-Gal4</w:t>
      </w:r>
      <w:r w:rsidRPr="0000738B">
        <w:rPr>
          <w:rFonts w:ascii="Arial" w:hAnsi="Arial"/>
          <w:color w:val="000000" w:themeColor="text1"/>
          <w:sz w:val="22"/>
          <w:szCs w:val="22"/>
          <w:lang w:val="en-GB"/>
        </w:rPr>
        <w:t xml:space="preserve">). The total recording spans 8 hours. </w:t>
      </w:r>
    </w:p>
    <w:p w:rsidR="00945E29" w:rsidRDefault="00945E29"/>
    <w:sectPr w:rsidR="00945E29" w:rsidSect="003201A7">
      <w:headerReference w:type="default" r:id="rId5"/>
      <w:footerReference w:type="even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CCB" w:rsidRDefault="00945E29" w:rsidP="003201A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D6CCB" w:rsidRDefault="00945E29" w:rsidP="003201A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CCB" w:rsidRPr="00BC26BB" w:rsidRDefault="00945E29" w:rsidP="003201A7">
    <w:pPr>
      <w:pStyle w:val="Footer"/>
      <w:framePr w:wrap="around" w:vAnchor="text" w:hAnchor="margin" w:xAlign="right" w:y="1"/>
      <w:rPr>
        <w:rStyle w:val="PageNumber"/>
        <w:rFonts w:ascii="Arial" w:hAnsi="Arial" w:cs="Arial"/>
      </w:rPr>
    </w:pPr>
    <w:r w:rsidRPr="00BC26BB">
      <w:rPr>
        <w:rStyle w:val="PageNumber"/>
        <w:rFonts w:ascii="Arial" w:hAnsi="Arial" w:cs="Arial"/>
      </w:rPr>
      <w:fldChar w:fldCharType="begin"/>
    </w:r>
    <w:r w:rsidRPr="00BC26BB">
      <w:rPr>
        <w:rStyle w:val="PageNumber"/>
        <w:rFonts w:ascii="Arial" w:hAnsi="Arial" w:cs="Arial"/>
      </w:rPr>
      <w:instrText xml:space="preserve">PAGE  </w:instrText>
    </w:r>
    <w:r w:rsidRPr="00BC26BB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</w:t>
    </w:r>
    <w:r w:rsidRPr="00BC26BB">
      <w:rPr>
        <w:rStyle w:val="PageNumber"/>
        <w:rFonts w:ascii="Arial" w:hAnsi="Arial" w:cs="Arial"/>
      </w:rPr>
      <w:fldChar w:fldCharType="end"/>
    </w:r>
  </w:p>
  <w:p w:rsidR="004D6CCB" w:rsidRDefault="00945E29" w:rsidP="003201A7">
    <w:pPr>
      <w:pStyle w:val="Footer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CCB" w:rsidRPr="00BC26BB" w:rsidRDefault="00945E29">
    <w:pPr>
      <w:pStyle w:val="Header"/>
      <w:rPr>
        <w:rFonts w:ascii="Arial" w:hAnsi="Arial" w:cs="Arial"/>
        <w:i/>
      </w:rPr>
    </w:pPr>
    <w:proofErr w:type="spellStart"/>
    <w:r w:rsidRPr="00BC26BB">
      <w:rPr>
        <w:rFonts w:ascii="Arial" w:hAnsi="Arial" w:cs="Arial"/>
        <w:i/>
      </w:rPr>
      <w:t>Antonello</w:t>
    </w:r>
    <w:proofErr w:type="spellEnd"/>
    <w:r w:rsidRPr="00BC26BB">
      <w:rPr>
        <w:rFonts w:ascii="Arial" w:hAnsi="Arial" w:cs="Arial"/>
        <w:i/>
      </w:rPr>
      <w:t xml:space="preserve"> </w:t>
    </w:r>
    <w:r>
      <w:rPr>
        <w:rFonts w:ascii="Arial" w:hAnsi="Arial" w:cs="Arial"/>
        <w:i/>
      </w:rPr>
      <w:t xml:space="preserve"> et al</w:t>
    </w:r>
    <w:r w:rsidRPr="00BC26BB">
      <w:rPr>
        <w:rFonts w:ascii="Arial" w:hAnsi="Arial" w:cs="Arial"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E29"/>
    <w:rsid w:val="00945E29"/>
    <w:rsid w:val="00AA01C0"/>
    <w:rsid w:val="00B4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45E2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5E2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PageNumber">
    <w:name w:val="page number"/>
    <w:basedOn w:val="DefaultParagraphFont"/>
    <w:uiPriority w:val="99"/>
    <w:semiHidden/>
    <w:unhideWhenUsed/>
    <w:rsid w:val="00945E29"/>
  </w:style>
  <w:style w:type="paragraph" w:styleId="Header">
    <w:name w:val="header"/>
    <w:basedOn w:val="Normal"/>
    <w:link w:val="HeaderChar"/>
    <w:uiPriority w:val="99"/>
    <w:unhideWhenUsed/>
    <w:rsid w:val="00945E2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E29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45E2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5E2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PageNumber">
    <w:name w:val="page number"/>
    <w:basedOn w:val="DefaultParagraphFont"/>
    <w:uiPriority w:val="99"/>
    <w:semiHidden/>
    <w:unhideWhenUsed/>
    <w:rsid w:val="00945E29"/>
  </w:style>
  <w:style w:type="paragraph" w:styleId="Header">
    <w:name w:val="header"/>
    <w:basedOn w:val="Normal"/>
    <w:link w:val="HeaderChar"/>
    <w:uiPriority w:val="99"/>
    <w:unhideWhenUsed/>
    <w:rsid w:val="00945E2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E29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Killet, Vivian - Weinheim</dc:creator>
  <cp:lastModifiedBy>Killet, Vivian - Weinheim</cp:lastModifiedBy>
  <cp:revision>1</cp:revision>
  <dcterms:created xsi:type="dcterms:W3CDTF">2015-05-20T08:54:00Z</dcterms:created>
  <dcterms:modified xsi:type="dcterms:W3CDTF">2015-05-20T08:55:00Z</dcterms:modified>
</cp:coreProperties>
</file>