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both"/>
      </w:pPr>
      <w:r>
        <w:rPr>
          <w:rFonts w:ascii="Calibri" w:hAnsi="Calibri" w:cs="Calibri"/>
          <w:sz w:val="22"/>
          <w:sz-cs w:val="22"/>
          <w:b/>
        </w:rPr>
        <w:t xml:space="preserve">Movie EV1, Movie EV2. </w:t>
      </w:r>
      <w:r>
        <w:rPr>
          <w:rFonts w:ascii="Calibri" w:hAnsi="Calibri" w:cs="Calibri"/>
          <w:sz w:val="22"/>
          <w:sz-cs w:val="22"/>
        </w:rPr>
        <w:t xml:space="preserve">Representative MRI movies showing lung primary tumours and lung cancer progression on day 30, formed by orthotopic injection of H1299 control or H1299</w:t>
      </w:r>
      <w:r>
        <w:rPr>
          <w:rFonts w:ascii="Calibri" w:hAnsi="Calibri" w:cs="Calibri"/>
          <w:sz w:val="22"/>
          <w:sz-cs w:val="22"/>
          <w:vertAlign w:val="superscript"/>
        </w:rPr>
        <w:t xml:space="preserve">RASSF1A</w:t>
      </w:r>
      <w:r>
        <w:rPr>
          <w:rFonts w:ascii="Calibri" w:hAnsi="Calibri" w:cs="Calibri"/>
          <w:sz w:val="22"/>
          <w:sz-cs w:val="22"/>
        </w:rPr>
        <w:t xml:space="preserve"> expressing cancer cells. Red-blood&amp;heart, dark blue-lungs, yellow-primary tumours, green,-metastases, cyan blue-oedema.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CocoaOOXMLWriter/1348.17</generator>
</meta>
</file>