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B95" w:rsidRPr="00227B95" w:rsidRDefault="00775454" w:rsidP="00775454">
      <w:pPr>
        <w:rPr>
          <w:rFonts w:ascii="Arial" w:hAnsi="Arial" w:cs="Arial"/>
          <w:b/>
          <w:sz w:val="24"/>
          <w:szCs w:val="24"/>
        </w:rPr>
      </w:pPr>
      <w:r>
        <w:fldChar w:fldCharType="begin"/>
      </w:r>
      <w:r>
        <w:instrText xml:space="preserve"> LINK Excel.Sheet.12 "Book1" "Sheet1!R1C1:R26C5" \a \f 5 \h  \* MERGEFORMAT </w:instrText>
      </w:r>
      <w:r>
        <w:fldChar w:fldCharType="separate"/>
      </w:r>
      <w:r w:rsidR="00E16F89" w:rsidRPr="00EC1A16">
        <w:rPr>
          <w:rFonts w:ascii="Arial" w:hAnsi="Arial" w:cs="Arial"/>
          <w:b/>
          <w:sz w:val="24"/>
          <w:szCs w:val="24"/>
        </w:rPr>
        <w:t>Table</w:t>
      </w:r>
      <w:r w:rsidR="00B33767" w:rsidRPr="00EC1A16">
        <w:rPr>
          <w:rFonts w:ascii="Arial" w:hAnsi="Arial" w:cs="Arial"/>
          <w:b/>
          <w:sz w:val="24"/>
          <w:szCs w:val="24"/>
        </w:rPr>
        <w:t xml:space="preserve"> </w:t>
      </w:r>
      <w:r w:rsidR="00554D5E">
        <w:rPr>
          <w:rFonts w:ascii="Arial" w:hAnsi="Arial" w:cs="Arial"/>
          <w:b/>
          <w:sz w:val="24"/>
          <w:szCs w:val="24"/>
        </w:rPr>
        <w:t>EV</w:t>
      </w:r>
      <w:r w:rsidR="00227B95">
        <w:rPr>
          <w:rFonts w:ascii="Arial" w:hAnsi="Arial" w:cs="Arial"/>
          <w:b/>
          <w:sz w:val="24"/>
          <w:szCs w:val="24"/>
        </w:rPr>
        <w:t>1</w:t>
      </w:r>
      <w:bookmarkStart w:id="0" w:name="_GoBack"/>
      <w:bookmarkEnd w:id="0"/>
    </w:p>
    <w:p w:rsidR="00496910" w:rsidRDefault="0030084D" w:rsidP="00775454">
      <w:pPr>
        <w:rPr>
          <w:rFonts w:ascii="Arial" w:hAnsi="Arial" w:cs="Arial"/>
          <w:sz w:val="24"/>
          <w:szCs w:val="24"/>
        </w:rPr>
      </w:pPr>
      <w:r w:rsidRPr="00B50E4C">
        <w:rPr>
          <w:rFonts w:ascii="Arial" w:hAnsi="Arial" w:cs="Arial"/>
          <w:b/>
          <w:sz w:val="24"/>
          <w:szCs w:val="24"/>
        </w:rPr>
        <w:t>Proteins significantly changed on the cell surface of SEZ6KO neurons compared to WT.</w:t>
      </w:r>
      <w:r w:rsidR="00B50E4C">
        <w:rPr>
          <w:rFonts w:ascii="Arial" w:hAnsi="Arial" w:cs="Arial"/>
          <w:sz w:val="24"/>
          <w:szCs w:val="24"/>
        </w:rPr>
        <w:t xml:space="preserve"> </w:t>
      </w:r>
      <w:r w:rsidR="00B50E4C" w:rsidRPr="00B50E4C">
        <w:rPr>
          <w:rFonts w:ascii="Arial" w:hAnsi="Arial" w:cs="Arial"/>
          <w:sz w:val="24"/>
          <w:szCs w:val="24"/>
        </w:rPr>
        <w:t>Proteins with LFQ intensity lower than log2 ratio (SEZ6KO/</w:t>
      </w:r>
      <w:proofErr w:type="gramStart"/>
      <w:r w:rsidR="00B50E4C" w:rsidRPr="00B50E4C">
        <w:rPr>
          <w:rFonts w:ascii="Arial" w:hAnsi="Arial" w:cs="Arial"/>
          <w:sz w:val="24"/>
          <w:szCs w:val="24"/>
        </w:rPr>
        <w:t>WT)=</w:t>
      </w:r>
      <w:proofErr w:type="gramEnd"/>
      <w:r w:rsidR="00B50E4C" w:rsidRPr="00B50E4C">
        <w:rPr>
          <w:rFonts w:ascii="Arial" w:hAnsi="Arial" w:cs="Arial"/>
          <w:sz w:val="24"/>
          <w:szCs w:val="24"/>
        </w:rPr>
        <w:t xml:space="preserve">-0.5 (0.71 fold change) or higher than log2 ratio(SEZ6KO/WT)=0.5 (1.4 fold change) and a p-value lower than 0.05 were considered as hits. Proteins are sorted according to their fold change (“Ratio”) and their p-values is reported (“p-value”). Membrane (“Membrane”), soluble (“Soluble”) and proteins with unknown classification (“Unknown”) were detected, according to </w:t>
      </w:r>
      <w:proofErr w:type="spellStart"/>
      <w:r w:rsidR="00B50E4C" w:rsidRPr="00B50E4C">
        <w:rPr>
          <w:rFonts w:ascii="Arial" w:hAnsi="Arial" w:cs="Arial"/>
          <w:sz w:val="24"/>
          <w:szCs w:val="24"/>
        </w:rPr>
        <w:t>Uniprot</w:t>
      </w:r>
      <w:proofErr w:type="spellEnd"/>
      <w:r w:rsidR="00B50E4C" w:rsidRPr="00B50E4C">
        <w:rPr>
          <w:rFonts w:ascii="Arial" w:hAnsi="Arial" w:cs="Arial"/>
          <w:sz w:val="24"/>
          <w:szCs w:val="24"/>
        </w:rPr>
        <w:t>.</w:t>
      </w:r>
    </w:p>
    <w:p w:rsidR="00B50E4C" w:rsidRPr="006850BF" w:rsidRDefault="00B50E4C" w:rsidP="00775454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90"/>
        <w:gridCol w:w="1078"/>
        <w:gridCol w:w="4536"/>
        <w:gridCol w:w="851"/>
        <w:gridCol w:w="992"/>
        <w:gridCol w:w="1559"/>
      </w:tblGrid>
      <w:tr w:rsidR="00EC76A6" w:rsidRPr="00775454" w:rsidTr="00EC76A6">
        <w:trPr>
          <w:trHeight w:val="288"/>
        </w:trPr>
        <w:tc>
          <w:tcPr>
            <w:tcW w:w="1190" w:type="dxa"/>
            <w:noWrap/>
            <w:vAlign w:val="center"/>
            <w:hideMark/>
          </w:tcPr>
          <w:p w:rsidR="009D40CB" w:rsidRPr="00775454" w:rsidRDefault="009D40CB" w:rsidP="009D40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75454">
              <w:rPr>
                <w:rFonts w:ascii="Arial" w:hAnsi="Arial" w:cs="Arial"/>
                <w:b/>
                <w:sz w:val="24"/>
                <w:szCs w:val="24"/>
              </w:rPr>
              <w:t>Protein IDs</w:t>
            </w:r>
          </w:p>
        </w:tc>
        <w:tc>
          <w:tcPr>
            <w:tcW w:w="1078" w:type="dxa"/>
            <w:noWrap/>
            <w:vAlign w:val="center"/>
            <w:hideMark/>
          </w:tcPr>
          <w:p w:rsidR="009D40CB" w:rsidRPr="00775454" w:rsidRDefault="009D40CB" w:rsidP="009D40CB">
            <w:pPr>
              <w:ind w:left="-22" w:right="-8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75454">
              <w:rPr>
                <w:rFonts w:ascii="Arial" w:hAnsi="Arial" w:cs="Arial"/>
                <w:b/>
                <w:sz w:val="24"/>
                <w:szCs w:val="24"/>
              </w:rPr>
              <w:t>Gene names</w:t>
            </w:r>
          </w:p>
        </w:tc>
        <w:tc>
          <w:tcPr>
            <w:tcW w:w="4536" w:type="dxa"/>
            <w:noWrap/>
            <w:vAlign w:val="center"/>
            <w:hideMark/>
          </w:tcPr>
          <w:p w:rsidR="009D40CB" w:rsidRPr="00775454" w:rsidRDefault="009D40CB" w:rsidP="009D40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75454">
              <w:rPr>
                <w:rFonts w:ascii="Arial" w:hAnsi="Arial" w:cs="Arial"/>
                <w:b/>
                <w:sz w:val="24"/>
                <w:szCs w:val="24"/>
              </w:rPr>
              <w:t>Protein names</w:t>
            </w:r>
          </w:p>
        </w:tc>
        <w:tc>
          <w:tcPr>
            <w:tcW w:w="851" w:type="dxa"/>
            <w:vAlign w:val="center"/>
          </w:tcPr>
          <w:p w:rsidR="009D40CB" w:rsidRPr="00775454" w:rsidRDefault="009D40CB" w:rsidP="009D40CB">
            <w:pPr>
              <w:ind w:left="-108" w:right="3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Ratio</w:t>
            </w:r>
          </w:p>
        </w:tc>
        <w:tc>
          <w:tcPr>
            <w:tcW w:w="992" w:type="dxa"/>
            <w:noWrap/>
            <w:vAlign w:val="center"/>
          </w:tcPr>
          <w:p w:rsidR="009D40CB" w:rsidRPr="00775454" w:rsidRDefault="009D40CB" w:rsidP="009D40CB">
            <w:pPr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p-value</w:t>
            </w:r>
          </w:p>
        </w:tc>
        <w:tc>
          <w:tcPr>
            <w:tcW w:w="1559" w:type="dxa"/>
            <w:noWrap/>
            <w:vAlign w:val="center"/>
          </w:tcPr>
          <w:p w:rsidR="009D40CB" w:rsidRDefault="00EC76A6" w:rsidP="009D40CB">
            <w:pPr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Protein</w:t>
            </w:r>
          </w:p>
          <w:p w:rsidR="00EC76A6" w:rsidRPr="00775454" w:rsidRDefault="00EC76A6" w:rsidP="009D40CB">
            <w:pPr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type</w:t>
            </w:r>
          </w:p>
        </w:tc>
      </w:tr>
      <w:tr w:rsidR="00EC76A6" w:rsidRPr="00775454" w:rsidTr="00EC76A6">
        <w:trPr>
          <w:trHeight w:val="288"/>
        </w:trPr>
        <w:tc>
          <w:tcPr>
            <w:tcW w:w="1190" w:type="dxa"/>
            <w:noWrap/>
            <w:vAlign w:val="center"/>
            <w:hideMark/>
          </w:tcPr>
          <w:p w:rsidR="009D40CB" w:rsidRPr="00775454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B1AS29</w:t>
            </w:r>
          </w:p>
        </w:tc>
        <w:tc>
          <w:tcPr>
            <w:tcW w:w="1078" w:type="dxa"/>
            <w:noWrap/>
            <w:vAlign w:val="center"/>
            <w:hideMark/>
          </w:tcPr>
          <w:p w:rsidR="00EC76A6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Grik3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9D40CB" w:rsidRPr="00775454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GluK3</w:t>
            </w:r>
          </w:p>
        </w:tc>
        <w:tc>
          <w:tcPr>
            <w:tcW w:w="4536" w:type="dxa"/>
            <w:noWrap/>
            <w:hideMark/>
          </w:tcPr>
          <w:p w:rsidR="009D40CB" w:rsidRPr="00775454" w:rsidRDefault="009D40CB" w:rsidP="009D40CB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Glutamate receptor ionotropic</w:t>
            </w:r>
            <w:r w:rsidR="00EC76A6">
              <w:rPr>
                <w:rFonts w:ascii="Arial" w:hAnsi="Arial" w:cs="Arial"/>
                <w:sz w:val="24"/>
                <w:szCs w:val="24"/>
              </w:rPr>
              <w:t>.</w:t>
            </w:r>
            <w:r w:rsidRPr="00775454">
              <w:rPr>
                <w:rFonts w:ascii="Arial" w:hAnsi="Arial" w:cs="Arial"/>
                <w:sz w:val="24"/>
                <w:szCs w:val="24"/>
              </w:rPr>
              <w:t xml:space="preserve"> kainate 3</w:t>
            </w:r>
          </w:p>
        </w:tc>
        <w:tc>
          <w:tcPr>
            <w:tcW w:w="851" w:type="dxa"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43</w:t>
            </w:r>
          </w:p>
        </w:tc>
        <w:tc>
          <w:tcPr>
            <w:tcW w:w="992" w:type="dxa"/>
            <w:noWrap/>
            <w:vAlign w:val="center"/>
            <w:hideMark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559" w:type="dxa"/>
            <w:noWrap/>
            <w:vAlign w:val="center"/>
            <w:hideMark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Membrane</w:t>
            </w:r>
          </w:p>
        </w:tc>
      </w:tr>
      <w:tr w:rsidR="00EC76A6" w:rsidRPr="00775454" w:rsidTr="00EC76A6">
        <w:trPr>
          <w:trHeight w:val="288"/>
        </w:trPr>
        <w:tc>
          <w:tcPr>
            <w:tcW w:w="1190" w:type="dxa"/>
            <w:noWrap/>
            <w:vAlign w:val="center"/>
            <w:hideMark/>
          </w:tcPr>
          <w:p w:rsidR="009D40CB" w:rsidRPr="00775454" w:rsidRDefault="009D40CB" w:rsidP="00EC76A6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D3YTM0</w:t>
            </w:r>
          </w:p>
        </w:tc>
        <w:tc>
          <w:tcPr>
            <w:tcW w:w="1078" w:type="dxa"/>
            <w:noWrap/>
            <w:vAlign w:val="center"/>
            <w:hideMark/>
          </w:tcPr>
          <w:p w:rsidR="009D40CB" w:rsidRPr="00775454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Cers2</w:t>
            </w:r>
          </w:p>
        </w:tc>
        <w:tc>
          <w:tcPr>
            <w:tcW w:w="4536" w:type="dxa"/>
            <w:noWrap/>
            <w:hideMark/>
          </w:tcPr>
          <w:p w:rsidR="009D40CB" w:rsidRPr="00775454" w:rsidRDefault="009D40CB" w:rsidP="009D40CB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Ceramide synthase 2</w:t>
            </w:r>
          </w:p>
        </w:tc>
        <w:tc>
          <w:tcPr>
            <w:tcW w:w="851" w:type="dxa"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45</w:t>
            </w:r>
          </w:p>
        </w:tc>
        <w:tc>
          <w:tcPr>
            <w:tcW w:w="992" w:type="dxa"/>
            <w:noWrap/>
            <w:vAlign w:val="center"/>
            <w:hideMark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559" w:type="dxa"/>
            <w:noWrap/>
            <w:vAlign w:val="center"/>
            <w:hideMark/>
          </w:tcPr>
          <w:p w:rsidR="009D40CB" w:rsidRPr="009D40CB" w:rsidRDefault="00B832D5" w:rsidP="00EC76A6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Membrane</w:t>
            </w:r>
          </w:p>
        </w:tc>
      </w:tr>
      <w:tr w:rsidR="00EC76A6" w:rsidRPr="00775454" w:rsidTr="00EC76A6">
        <w:trPr>
          <w:trHeight w:val="288"/>
        </w:trPr>
        <w:tc>
          <w:tcPr>
            <w:tcW w:w="1190" w:type="dxa"/>
            <w:noWrap/>
            <w:vAlign w:val="center"/>
            <w:hideMark/>
          </w:tcPr>
          <w:p w:rsidR="009D40CB" w:rsidRPr="00775454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Q9ER00</w:t>
            </w:r>
          </w:p>
        </w:tc>
        <w:tc>
          <w:tcPr>
            <w:tcW w:w="1078" w:type="dxa"/>
            <w:noWrap/>
            <w:vAlign w:val="center"/>
            <w:hideMark/>
          </w:tcPr>
          <w:p w:rsidR="009D40CB" w:rsidRPr="00775454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Stx12</w:t>
            </w:r>
          </w:p>
        </w:tc>
        <w:tc>
          <w:tcPr>
            <w:tcW w:w="4536" w:type="dxa"/>
            <w:noWrap/>
            <w:hideMark/>
          </w:tcPr>
          <w:p w:rsidR="009D40CB" w:rsidRPr="00775454" w:rsidRDefault="009D40CB" w:rsidP="009D40CB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Syntaxin-12</w:t>
            </w:r>
          </w:p>
        </w:tc>
        <w:tc>
          <w:tcPr>
            <w:tcW w:w="851" w:type="dxa"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46</w:t>
            </w:r>
          </w:p>
        </w:tc>
        <w:tc>
          <w:tcPr>
            <w:tcW w:w="992" w:type="dxa"/>
            <w:noWrap/>
            <w:vAlign w:val="center"/>
            <w:hideMark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559" w:type="dxa"/>
            <w:noWrap/>
            <w:vAlign w:val="center"/>
            <w:hideMark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Membrane</w:t>
            </w:r>
          </w:p>
        </w:tc>
      </w:tr>
      <w:tr w:rsidR="00EC76A6" w:rsidRPr="00775454" w:rsidTr="00EC76A6">
        <w:trPr>
          <w:trHeight w:val="288"/>
        </w:trPr>
        <w:tc>
          <w:tcPr>
            <w:tcW w:w="1190" w:type="dxa"/>
            <w:noWrap/>
            <w:vAlign w:val="center"/>
            <w:hideMark/>
          </w:tcPr>
          <w:p w:rsidR="009D40CB" w:rsidRPr="00775454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P39087</w:t>
            </w:r>
          </w:p>
        </w:tc>
        <w:tc>
          <w:tcPr>
            <w:tcW w:w="1078" w:type="dxa"/>
            <w:noWrap/>
            <w:vAlign w:val="center"/>
            <w:hideMark/>
          </w:tcPr>
          <w:p w:rsidR="00EC76A6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Grik2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9D40CB" w:rsidRPr="00775454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GluK2</w:t>
            </w:r>
          </w:p>
        </w:tc>
        <w:tc>
          <w:tcPr>
            <w:tcW w:w="4536" w:type="dxa"/>
            <w:noWrap/>
            <w:hideMark/>
          </w:tcPr>
          <w:p w:rsidR="009D40CB" w:rsidRPr="00775454" w:rsidRDefault="009D40CB" w:rsidP="009D40CB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Glutamate receptor ionotropic</w:t>
            </w:r>
            <w:r w:rsidR="00EC76A6">
              <w:rPr>
                <w:rFonts w:ascii="Arial" w:hAnsi="Arial" w:cs="Arial"/>
                <w:sz w:val="24"/>
                <w:szCs w:val="24"/>
              </w:rPr>
              <w:t>.</w:t>
            </w:r>
            <w:r w:rsidRPr="00775454">
              <w:rPr>
                <w:rFonts w:ascii="Arial" w:hAnsi="Arial" w:cs="Arial"/>
                <w:sz w:val="24"/>
                <w:szCs w:val="24"/>
              </w:rPr>
              <w:t xml:space="preserve"> kainate 2</w:t>
            </w:r>
          </w:p>
        </w:tc>
        <w:tc>
          <w:tcPr>
            <w:tcW w:w="851" w:type="dxa"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52</w:t>
            </w:r>
          </w:p>
        </w:tc>
        <w:tc>
          <w:tcPr>
            <w:tcW w:w="992" w:type="dxa"/>
            <w:noWrap/>
            <w:vAlign w:val="center"/>
            <w:hideMark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559" w:type="dxa"/>
            <w:noWrap/>
            <w:vAlign w:val="center"/>
            <w:hideMark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Membrane</w:t>
            </w:r>
          </w:p>
        </w:tc>
      </w:tr>
      <w:tr w:rsidR="00EC76A6" w:rsidRPr="00775454" w:rsidTr="00EC76A6">
        <w:trPr>
          <w:trHeight w:val="288"/>
        </w:trPr>
        <w:tc>
          <w:tcPr>
            <w:tcW w:w="1190" w:type="dxa"/>
            <w:noWrap/>
            <w:vAlign w:val="center"/>
            <w:hideMark/>
          </w:tcPr>
          <w:p w:rsidR="009D40CB" w:rsidRPr="00775454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P61089</w:t>
            </w:r>
          </w:p>
        </w:tc>
        <w:tc>
          <w:tcPr>
            <w:tcW w:w="1078" w:type="dxa"/>
            <w:noWrap/>
            <w:vAlign w:val="center"/>
            <w:hideMark/>
          </w:tcPr>
          <w:p w:rsidR="009D40CB" w:rsidRPr="00775454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Ube2n</w:t>
            </w:r>
          </w:p>
        </w:tc>
        <w:tc>
          <w:tcPr>
            <w:tcW w:w="4536" w:type="dxa"/>
            <w:noWrap/>
            <w:hideMark/>
          </w:tcPr>
          <w:p w:rsidR="009D40CB" w:rsidRPr="00775454" w:rsidRDefault="009D40CB" w:rsidP="009D40CB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Ubiquitin-conjugating enzyme E2 N</w:t>
            </w:r>
          </w:p>
        </w:tc>
        <w:tc>
          <w:tcPr>
            <w:tcW w:w="851" w:type="dxa"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54</w:t>
            </w:r>
          </w:p>
        </w:tc>
        <w:tc>
          <w:tcPr>
            <w:tcW w:w="992" w:type="dxa"/>
            <w:noWrap/>
            <w:vAlign w:val="center"/>
            <w:hideMark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559" w:type="dxa"/>
            <w:noWrap/>
            <w:vAlign w:val="center"/>
            <w:hideMark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Soluble</w:t>
            </w:r>
          </w:p>
        </w:tc>
      </w:tr>
      <w:tr w:rsidR="00EC76A6" w:rsidRPr="00775454" w:rsidTr="00EC76A6">
        <w:trPr>
          <w:trHeight w:val="288"/>
        </w:trPr>
        <w:tc>
          <w:tcPr>
            <w:tcW w:w="1190" w:type="dxa"/>
            <w:noWrap/>
            <w:vAlign w:val="center"/>
            <w:hideMark/>
          </w:tcPr>
          <w:p w:rsidR="009D40CB" w:rsidRPr="00775454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O54865</w:t>
            </w:r>
          </w:p>
        </w:tc>
        <w:tc>
          <w:tcPr>
            <w:tcW w:w="1078" w:type="dxa"/>
            <w:noWrap/>
            <w:vAlign w:val="center"/>
            <w:hideMark/>
          </w:tcPr>
          <w:p w:rsidR="009D40CB" w:rsidRPr="00775454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Gucy1b3</w:t>
            </w:r>
          </w:p>
        </w:tc>
        <w:tc>
          <w:tcPr>
            <w:tcW w:w="4536" w:type="dxa"/>
            <w:noWrap/>
            <w:hideMark/>
          </w:tcPr>
          <w:p w:rsidR="009D40CB" w:rsidRPr="00775454" w:rsidRDefault="009D40CB" w:rsidP="009D40CB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Guanylate cyclase soluble subunit beta-1</w:t>
            </w:r>
          </w:p>
        </w:tc>
        <w:tc>
          <w:tcPr>
            <w:tcW w:w="851" w:type="dxa"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57</w:t>
            </w:r>
          </w:p>
        </w:tc>
        <w:tc>
          <w:tcPr>
            <w:tcW w:w="992" w:type="dxa"/>
            <w:noWrap/>
            <w:vAlign w:val="center"/>
            <w:hideMark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559" w:type="dxa"/>
            <w:noWrap/>
            <w:vAlign w:val="center"/>
            <w:hideMark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Soluble</w:t>
            </w:r>
          </w:p>
        </w:tc>
      </w:tr>
      <w:tr w:rsidR="00EC76A6" w:rsidRPr="00775454" w:rsidTr="00EC76A6">
        <w:trPr>
          <w:trHeight w:val="288"/>
        </w:trPr>
        <w:tc>
          <w:tcPr>
            <w:tcW w:w="1190" w:type="dxa"/>
            <w:noWrap/>
            <w:vAlign w:val="center"/>
            <w:hideMark/>
          </w:tcPr>
          <w:p w:rsidR="009D40CB" w:rsidRPr="00775454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Q8BTX9</w:t>
            </w:r>
          </w:p>
        </w:tc>
        <w:tc>
          <w:tcPr>
            <w:tcW w:w="1078" w:type="dxa"/>
            <w:noWrap/>
            <w:vAlign w:val="center"/>
            <w:hideMark/>
          </w:tcPr>
          <w:p w:rsidR="009D40CB" w:rsidRPr="00775454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Hsdl1</w:t>
            </w:r>
          </w:p>
        </w:tc>
        <w:tc>
          <w:tcPr>
            <w:tcW w:w="4536" w:type="dxa"/>
            <w:noWrap/>
            <w:hideMark/>
          </w:tcPr>
          <w:p w:rsidR="009D40CB" w:rsidRPr="00775454" w:rsidRDefault="009D40CB" w:rsidP="009D40CB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Inactive hydroxysteroid dehydrogenase-like protein 1</w:t>
            </w:r>
          </w:p>
        </w:tc>
        <w:tc>
          <w:tcPr>
            <w:tcW w:w="851" w:type="dxa"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58</w:t>
            </w:r>
          </w:p>
        </w:tc>
        <w:tc>
          <w:tcPr>
            <w:tcW w:w="992" w:type="dxa"/>
            <w:noWrap/>
            <w:vAlign w:val="center"/>
            <w:hideMark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559" w:type="dxa"/>
            <w:noWrap/>
            <w:vAlign w:val="center"/>
            <w:hideMark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Soluble</w:t>
            </w:r>
          </w:p>
        </w:tc>
      </w:tr>
      <w:tr w:rsidR="00EC76A6" w:rsidRPr="00775454" w:rsidTr="00EC76A6">
        <w:trPr>
          <w:trHeight w:val="288"/>
        </w:trPr>
        <w:tc>
          <w:tcPr>
            <w:tcW w:w="1190" w:type="dxa"/>
            <w:noWrap/>
            <w:vAlign w:val="center"/>
            <w:hideMark/>
          </w:tcPr>
          <w:p w:rsidR="009D40CB" w:rsidRPr="00775454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O08915</w:t>
            </w:r>
          </w:p>
        </w:tc>
        <w:tc>
          <w:tcPr>
            <w:tcW w:w="1078" w:type="dxa"/>
            <w:noWrap/>
            <w:vAlign w:val="center"/>
            <w:hideMark/>
          </w:tcPr>
          <w:p w:rsidR="009D40CB" w:rsidRPr="00775454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75454">
              <w:rPr>
                <w:rFonts w:ascii="Arial" w:hAnsi="Arial" w:cs="Arial"/>
                <w:sz w:val="24"/>
                <w:szCs w:val="24"/>
              </w:rPr>
              <w:t>Aip</w:t>
            </w:r>
            <w:proofErr w:type="spellEnd"/>
          </w:p>
        </w:tc>
        <w:tc>
          <w:tcPr>
            <w:tcW w:w="4536" w:type="dxa"/>
            <w:noWrap/>
            <w:hideMark/>
          </w:tcPr>
          <w:p w:rsidR="009D40CB" w:rsidRPr="00775454" w:rsidRDefault="009D40CB" w:rsidP="009D40CB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AH receptor-interacting protein</w:t>
            </w:r>
          </w:p>
        </w:tc>
        <w:tc>
          <w:tcPr>
            <w:tcW w:w="851" w:type="dxa"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59</w:t>
            </w:r>
          </w:p>
        </w:tc>
        <w:tc>
          <w:tcPr>
            <w:tcW w:w="992" w:type="dxa"/>
            <w:noWrap/>
            <w:vAlign w:val="center"/>
            <w:hideMark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559" w:type="dxa"/>
            <w:noWrap/>
            <w:vAlign w:val="center"/>
            <w:hideMark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Soluble</w:t>
            </w:r>
          </w:p>
        </w:tc>
      </w:tr>
      <w:tr w:rsidR="00EC76A6" w:rsidRPr="00775454" w:rsidTr="00EC76A6">
        <w:trPr>
          <w:trHeight w:val="288"/>
        </w:trPr>
        <w:tc>
          <w:tcPr>
            <w:tcW w:w="1190" w:type="dxa"/>
            <w:noWrap/>
            <w:vAlign w:val="center"/>
            <w:hideMark/>
          </w:tcPr>
          <w:p w:rsidR="009D40CB" w:rsidRPr="00775454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P11627</w:t>
            </w:r>
          </w:p>
        </w:tc>
        <w:tc>
          <w:tcPr>
            <w:tcW w:w="1078" w:type="dxa"/>
            <w:noWrap/>
            <w:vAlign w:val="center"/>
            <w:hideMark/>
          </w:tcPr>
          <w:p w:rsidR="009D40CB" w:rsidRPr="00775454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L1cam</w:t>
            </w:r>
          </w:p>
        </w:tc>
        <w:tc>
          <w:tcPr>
            <w:tcW w:w="4536" w:type="dxa"/>
            <w:noWrap/>
            <w:hideMark/>
          </w:tcPr>
          <w:p w:rsidR="009D40CB" w:rsidRPr="00775454" w:rsidRDefault="009D40CB" w:rsidP="009D40CB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Neural cell adhesion molecule L1</w:t>
            </w:r>
          </w:p>
        </w:tc>
        <w:tc>
          <w:tcPr>
            <w:tcW w:w="851" w:type="dxa"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62</w:t>
            </w:r>
          </w:p>
        </w:tc>
        <w:tc>
          <w:tcPr>
            <w:tcW w:w="992" w:type="dxa"/>
            <w:noWrap/>
            <w:vAlign w:val="center"/>
            <w:hideMark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559" w:type="dxa"/>
            <w:noWrap/>
            <w:vAlign w:val="center"/>
            <w:hideMark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Membrane</w:t>
            </w:r>
          </w:p>
        </w:tc>
      </w:tr>
      <w:tr w:rsidR="00EC76A6" w:rsidRPr="00775454" w:rsidTr="00EC76A6">
        <w:trPr>
          <w:trHeight w:val="288"/>
        </w:trPr>
        <w:tc>
          <w:tcPr>
            <w:tcW w:w="1190" w:type="dxa"/>
            <w:noWrap/>
            <w:vAlign w:val="center"/>
            <w:hideMark/>
          </w:tcPr>
          <w:p w:rsidR="009D40CB" w:rsidRPr="00775454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Q9Z0P4-2</w:t>
            </w:r>
          </w:p>
        </w:tc>
        <w:tc>
          <w:tcPr>
            <w:tcW w:w="1078" w:type="dxa"/>
            <w:noWrap/>
            <w:vAlign w:val="center"/>
            <w:hideMark/>
          </w:tcPr>
          <w:p w:rsidR="009D40CB" w:rsidRPr="00775454" w:rsidRDefault="009D40CB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Palm</w:t>
            </w:r>
          </w:p>
        </w:tc>
        <w:tc>
          <w:tcPr>
            <w:tcW w:w="4536" w:type="dxa"/>
            <w:noWrap/>
            <w:hideMark/>
          </w:tcPr>
          <w:p w:rsidR="009D40CB" w:rsidRPr="00775454" w:rsidRDefault="009D40CB" w:rsidP="009D40CB">
            <w:pPr>
              <w:rPr>
                <w:rFonts w:ascii="Arial" w:hAnsi="Arial" w:cs="Arial"/>
                <w:sz w:val="24"/>
                <w:szCs w:val="24"/>
              </w:rPr>
            </w:pPr>
            <w:r w:rsidRPr="00775454">
              <w:rPr>
                <w:rFonts w:ascii="Arial" w:hAnsi="Arial" w:cs="Arial"/>
                <w:sz w:val="24"/>
                <w:szCs w:val="24"/>
              </w:rPr>
              <w:t>Paralemmin-1</w:t>
            </w:r>
          </w:p>
        </w:tc>
        <w:tc>
          <w:tcPr>
            <w:tcW w:w="851" w:type="dxa"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63</w:t>
            </w:r>
          </w:p>
        </w:tc>
        <w:tc>
          <w:tcPr>
            <w:tcW w:w="992" w:type="dxa"/>
            <w:noWrap/>
            <w:vAlign w:val="center"/>
            <w:hideMark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559" w:type="dxa"/>
            <w:noWrap/>
            <w:vAlign w:val="center"/>
            <w:hideMark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Membrane</w:t>
            </w:r>
          </w:p>
        </w:tc>
      </w:tr>
      <w:tr w:rsidR="00EC76A6" w:rsidRPr="00775454" w:rsidTr="00EC76A6">
        <w:trPr>
          <w:trHeight w:val="288"/>
        </w:trPr>
        <w:tc>
          <w:tcPr>
            <w:tcW w:w="1190" w:type="dxa"/>
            <w:noWrap/>
            <w:vAlign w:val="center"/>
          </w:tcPr>
          <w:p w:rsidR="009D40CB" w:rsidRPr="00C16E0D" w:rsidRDefault="009D40CB" w:rsidP="00EC76A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P97785-2</w:t>
            </w:r>
          </w:p>
        </w:tc>
        <w:tc>
          <w:tcPr>
            <w:tcW w:w="1078" w:type="dxa"/>
            <w:noWrap/>
            <w:vAlign w:val="center"/>
          </w:tcPr>
          <w:p w:rsidR="009D40CB" w:rsidRPr="00C16E0D" w:rsidRDefault="009D40CB" w:rsidP="00EC76A6">
            <w:pPr>
              <w:rPr>
                <w:rFonts w:ascii="Arial" w:hAnsi="Arial" w:cs="Arial"/>
                <w:sz w:val="24"/>
              </w:rPr>
            </w:pPr>
            <w:r w:rsidRPr="00C16E0D">
              <w:rPr>
                <w:rFonts w:ascii="Arial" w:hAnsi="Arial" w:cs="Arial"/>
                <w:sz w:val="24"/>
              </w:rPr>
              <w:t>Gfra1</w:t>
            </w:r>
          </w:p>
        </w:tc>
        <w:tc>
          <w:tcPr>
            <w:tcW w:w="4536" w:type="dxa"/>
            <w:noWrap/>
          </w:tcPr>
          <w:p w:rsidR="009D40CB" w:rsidRPr="00C16E0D" w:rsidRDefault="009D40CB" w:rsidP="009D40CB">
            <w:pPr>
              <w:rPr>
                <w:rFonts w:ascii="Arial" w:hAnsi="Arial" w:cs="Arial"/>
                <w:sz w:val="24"/>
              </w:rPr>
            </w:pPr>
            <w:r w:rsidRPr="00C16E0D">
              <w:rPr>
                <w:rFonts w:ascii="Arial" w:hAnsi="Arial" w:cs="Arial"/>
                <w:sz w:val="24"/>
              </w:rPr>
              <w:t>GDNF family receptor alpha-1</w:t>
            </w:r>
          </w:p>
        </w:tc>
        <w:tc>
          <w:tcPr>
            <w:tcW w:w="851" w:type="dxa"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68</w:t>
            </w:r>
          </w:p>
        </w:tc>
        <w:tc>
          <w:tcPr>
            <w:tcW w:w="992" w:type="dxa"/>
            <w:noWrap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559" w:type="dxa"/>
            <w:noWrap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Membrane</w:t>
            </w:r>
          </w:p>
        </w:tc>
      </w:tr>
      <w:tr w:rsidR="00EC76A6" w:rsidRPr="00775454" w:rsidTr="00EC76A6">
        <w:trPr>
          <w:trHeight w:val="288"/>
        </w:trPr>
        <w:tc>
          <w:tcPr>
            <w:tcW w:w="1190" w:type="dxa"/>
            <w:noWrap/>
            <w:vAlign w:val="center"/>
          </w:tcPr>
          <w:p w:rsidR="009D40CB" w:rsidRPr="00C16E0D" w:rsidRDefault="009D40CB" w:rsidP="00EC76A6">
            <w:pPr>
              <w:rPr>
                <w:rFonts w:ascii="Arial" w:hAnsi="Arial" w:cs="Arial"/>
                <w:sz w:val="24"/>
              </w:rPr>
            </w:pPr>
            <w:r w:rsidRPr="00C16E0D">
              <w:rPr>
                <w:rFonts w:ascii="Arial" w:hAnsi="Arial" w:cs="Arial"/>
                <w:sz w:val="24"/>
              </w:rPr>
              <w:t>Q8BYI8</w:t>
            </w:r>
          </w:p>
        </w:tc>
        <w:tc>
          <w:tcPr>
            <w:tcW w:w="1078" w:type="dxa"/>
            <w:noWrap/>
            <w:vAlign w:val="center"/>
          </w:tcPr>
          <w:p w:rsidR="009D40CB" w:rsidRPr="00C16E0D" w:rsidRDefault="009D40CB" w:rsidP="00EC76A6">
            <w:pPr>
              <w:rPr>
                <w:rFonts w:ascii="Arial" w:hAnsi="Arial" w:cs="Arial"/>
                <w:sz w:val="24"/>
              </w:rPr>
            </w:pPr>
            <w:r w:rsidRPr="00C16E0D">
              <w:rPr>
                <w:rFonts w:ascii="Arial" w:hAnsi="Arial" w:cs="Arial"/>
                <w:sz w:val="24"/>
              </w:rPr>
              <w:t>Kiaa1467</w:t>
            </w:r>
          </w:p>
        </w:tc>
        <w:tc>
          <w:tcPr>
            <w:tcW w:w="4536" w:type="dxa"/>
            <w:noWrap/>
          </w:tcPr>
          <w:p w:rsidR="009D40CB" w:rsidRPr="00C16E0D" w:rsidRDefault="009D40CB" w:rsidP="009D40CB">
            <w:pPr>
              <w:rPr>
                <w:rFonts w:ascii="Arial" w:hAnsi="Arial" w:cs="Arial"/>
                <w:sz w:val="24"/>
              </w:rPr>
            </w:pPr>
            <w:r w:rsidRPr="00C16E0D">
              <w:rPr>
                <w:rFonts w:ascii="Arial" w:hAnsi="Arial" w:cs="Arial"/>
                <w:sz w:val="24"/>
              </w:rPr>
              <w:t>Uncharacterized protein KIAA1467</w:t>
            </w:r>
          </w:p>
        </w:tc>
        <w:tc>
          <w:tcPr>
            <w:tcW w:w="851" w:type="dxa"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992" w:type="dxa"/>
            <w:noWrap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559" w:type="dxa"/>
            <w:noWrap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Membrane</w:t>
            </w:r>
          </w:p>
        </w:tc>
      </w:tr>
      <w:tr w:rsidR="00EC76A6" w:rsidRPr="00775454" w:rsidTr="00EC76A6">
        <w:trPr>
          <w:trHeight w:val="288"/>
        </w:trPr>
        <w:tc>
          <w:tcPr>
            <w:tcW w:w="1190" w:type="dxa"/>
            <w:noWrap/>
            <w:vAlign w:val="center"/>
          </w:tcPr>
          <w:p w:rsidR="009D40CB" w:rsidRPr="00C16E0D" w:rsidRDefault="009D40CB" w:rsidP="00EC76A6">
            <w:pPr>
              <w:rPr>
                <w:rFonts w:ascii="Arial" w:hAnsi="Arial" w:cs="Arial"/>
                <w:sz w:val="24"/>
              </w:rPr>
            </w:pPr>
            <w:r w:rsidRPr="00C16E0D">
              <w:rPr>
                <w:rFonts w:ascii="Arial" w:hAnsi="Arial" w:cs="Arial"/>
                <w:sz w:val="24"/>
              </w:rPr>
              <w:t>O08912</w:t>
            </w:r>
          </w:p>
        </w:tc>
        <w:tc>
          <w:tcPr>
            <w:tcW w:w="1078" w:type="dxa"/>
            <w:noWrap/>
            <w:vAlign w:val="center"/>
          </w:tcPr>
          <w:p w:rsidR="009D40CB" w:rsidRPr="00C16E0D" w:rsidRDefault="009D40CB" w:rsidP="00EC76A6">
            <w:pPr>
              <w:rPr>
                <w:rFonts w:ascii="Arial" w:hAnsi="Arial" w:cs="Arial"/>
                <w:sz w:val="24"/>
              </w:rPr>
            </w:pPr>
            <w:r w:rsidRPr="00C16E0D">
              <w:rPr>
                <w:rFonts w:ascii="Arial" w:hAnsi="Arial" w:cs="Arial"/>
                <w:sz w:val="24"/>
              </w:rPr>
              <w:t>Galnt1</w:t>
            </w:r>
          </w:p>
        </w:tc>
        <w:tc>
          <w:tcPr>
            <w:tcW w:w="4536" w:type="dxa"/>
            <w:noWrap/>
          </w:tcPr>
          <w:p w:rsidR="009D40CB" w:rsidRPr="00C16E0D" w:rsidRDefault="009D40CB" w:rsidP="009D40CB">
            <w:pPr>
              <w:rPr>
                <w:rFonts w:ascii="Arial" w:hAnsi="Arial" w:cs="Arial"/>
                <w:sz w:val="24"/>
              </w:rPr>
            </w:pPr>
            <w:r w:rsidRPr="00C16E0D">
              <w:rPr>
                <w:rFonts w:ascii="Arial" w:hAnsi="Arial" w:cs="Arial"/>
                <w:sz w:val="24"/>
              </w:rPr>
              <w:t>Polypeptide N-</w:t>
            </w:r>
            <w:proofErr w:type="spellStart"/>
            <w:r w:rsidRPr="00C16E0D">
              <w:rPr>
                <w:rFonts w:ascii="Arial" w:hAnsi="Arial" w:cs="Arial"/>
                <w:sz w:val="24"/>
              </w:rPr>
              <w:t>acetylgalactosaminyltransferase</w:t>
            </w:r>
            <w:proofErr w:type="spellEnd"/>
            <w:r w:rsidRPr="00C16E0D">
              <w:rPr>
                <w:rFonts w:ascii="Arial" w:hAnsi="Arial" w:cs="Arial"/>
                <w:sz w:val="24"/>
              </w:rPr>
              <w:t xml:space="preserve"> 1</w:t>
            </w:r>
          </w:p>
        </w:tc>
        <w:tc>
          <w:tcPr>
            <w:tcW w:w="851" w:type="dxa"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70</w:t>
            </w:r>
          </w:p>
        </w:tc>
        <w:tc>
          <w:tcPr>
            <w:tcW w:w="992" w:type="dxa"/>
            <w:noWrap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559" w:type="dxa"/>
            <w:noWrap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Membrane</w:t>
            </w:r>
          </w:p>
        </w:tc>
      </w:tr>
      <w:tr w:rsidR="00EC76A6" w:rsidRPr="00775454" w:rsidTr="00EC76A6">
        <w:trPr>
          <w:trHeight w:val="288"/>
        </w:trPr>
        <w:tc>
          <w:tcPr>
            <w:tcW w:w="1190" w:type="dxa"/>
            <w:noWrap/>
            <w:vAlign w:val="center"/>
          </w:tcPr>
          <w:p w:rsidR="009D40CB" w:rsidRPr="00C16E0D" w:rsidRDefault="009D40CB" w:rsidP="00EC76A6">
            <w:pPr>
              <w:rPr>
                <w:rFonts w:ascii="Arial" w:hAnsi="Arial" w:cs="Arial"/>
                <w:sz w:val="24"/>
              </w:rPr>
            </w:pPr>
            <w:r w:rsidRPr="00C16E0D">
              <w:rPr>
                <w:rFonts w:ascii="Arial" w:hAnsi="Arial" w:cs="Arial"/>
                <w:sz w:val="24"/>
              </w:rPr>
              <w:t>Q9R1R8</w:t>
            </w:r>
          </w:p>
        </w:tc>
        <w:tc>
          <w:tcPr>
            <w:tcW w:w="1078" w:type="dxa"/>
            <w:noWrap/>
            <w:vAlign w:val="center"/>
          </w:tcPr>
          <w:p w:rsidR="009D40CB" w:rsidRPr="00C16E0D" w:rsidRDefault="009D40CB" w:rsidP="00EC76A6">
            <w:pPr>
              <w:rPr>
                <w:rFonts w:ascii="Arial" w:hAnsi="Arial" w:cs="Arial"/>
                <w:sz w:val="24"/>
              </w:rPr>
            </w:pPr>
            <w:r w:rsidRPr="00C16E0D">
              <w:rPr>
                <w:rFonts w:ascii="Arial" w:hAnsi="Arial" w:cs="Arial"/>
                <w:sz w:val="24"/>
              </w:rPr>
              <w:t>Rdh11</w:t>
            </w:r>
          </w:p>
        </w:tc>
        <w:tc>
          <w:tcPr>
            <w:tcW w:w="4536" w:type="dxa"/>
            <w:noWrap/>
          </w:tcPr>
          <w:p w:rsidR="009D40CB" w:rsidRPr="00C16E0D" w:rsidRDefault="009D40CB" w:rsidP="009D40CB">
            <w:pPr>
              <w:rPr>
                <w:rFonts w:ascii="Arial" w:hAnsi="Arial" w:cs="Arial"/>
                <w:sz w:val="24"/>
              </w:rPr>
            </w:pPr>
            <w:r w:rsidRPr="00C16E0D">
              <w:rPr>
                <w:rFonts w:ascii="Arial" w:hAnsi="Arial" w:cs="Arial"/>
                <w:sz w:val="24"/>
              </w:rPr>
              <w:t>Retinol dehydrogenase 11</w:t>
            </w:r>
          </w:p>
        </w:tc>
        <w:tc>
          <w:tcPr>
            <w:tcW w:w="851" w:type="dxa"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71</w:t>
            </w:r>
          </w:p>
        </w:tc>
        <w:tc>
          <w:tcPr>
            <w:tcW w:w="992" w:type="dxa"/>
            <w:noWrap/>
            <w:vAlign w:val="center"/>
          </w:tcPr>
          <w:p w:rsidR="009D40CB" w:rsidRPr="009D40CB" w:rsidRDefault="009D40CB" w:rsidP="00EC76A6">
            <w:pPr>
              <w:jc w:val="center"/>
              <w:rPr>
                <w:rFonts w:ascii="Arial" w:hAnsi="Arial" w:cs="Arial"/>
                <w:sz w:val="24"/>
              </w:rPr>
            </w:pPr>
            <w:r w:rsidRPr="009D40CB">
              <w:rPr>
                <w:rFonts w:ascii="Arial" w:hAnsi="Arial" w:cs="Arial"/>
                <w:sz w:val="24"/>
              </w:rPr>
              <w:t>0</w:t>
            </w:r>
            <w:r w:rsidR="00EC76A6">
              <w:rPr>
                <w:rFonts w:ascii="Arial" w:hAnsi="Arial" w:cs="Arial"/>
                <w:sz w:val="24"/>
              </w:rPr>
              <w:t>.</w:t>
            </w:r>
            <w:r w:rsidRPr="009D40CB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559" w:type="dxa"/>
            <w:noWrap/>
            <w:vAlign w:val="center"/>
          </w:tcPr>
          <w:p w:rsidR="009D40CB" w:rsidRPr="009D40CB" w:rsidRDefault="00CD358E" w:rsidP="00EC76A6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Unknown</w:t>
            </w:r>
          </w:p>
        </w:tc>
      </w:tr>
    </w:tbl>
    <w:p w:rsidR="00DA0688" w:rsidRDefault="00775454" w:rsidP="00775454">
      <w:r>
        <w:fldChar w:fldCharType="end"/>
      </w:r>
    </w:p>
    <w:tbl>
      <w:tblPr>
        <w:tblStyle w:val="Tabellenraster"/>
        <w:tblW w:w="10206" w:type="dxa"/>
        <w:tblInd w:w="-459" w:type="dxa"/>
        <w:tblLook w:val="04A0" w:firstRow="1" w:lastRow="0" w:firstColumn="1" w:lastColumn="0" w:noHBand="0" w:noVBand="1"/>
      </w:tblPr>
      <w:tblGrid>
        <w:gridCol w:w="1244"/>
        <w:gridCol w:w="1017"/>
        <w:gridCol w:w="4543"/>
        <w:gridCol w:w="851"/>
        <w:gridCol w:w="991"/>
        <w:gridCol w:w="1560"/>
      </w:tblGrid>
      <w:tr w:rsidR="00EC76A6" w:rsidRPr="00775454" w:rsidTr="00EC76A6">
        <w:trPr>
          <w:trHeight w:val="288"/>
        </w:trPr>
        <w:tc>
          <w:tcPr>
            <w:tcW w:w="1244" w:type="dxa"/>
            <w:noWrap/>
            <w:vAlign w:val="center"/>
          </w:tcPr>
          <w:p w:rsidR="00EC76A6" w:rsidRPr="00775454" w:rsidRDefault="00EC76A6" w:rsidP="00EC76A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75454">
              <w:rPr>
                <w:rFonts w:ascii="Arial" w:hAnsi="Arial" w:cs="Arial"/>
                <w:b/>
                <w:sz w:val="24"/>
                <w:szCs w:val="24"/>
              </w:rPr>
              <w:t>Protein IDs</w:t>
            </w:r>
          </w:p>
        </w:tc>
        <w:tc>
          <w:tcPr>
            <w:tcW w:w="1017" w:type="dxa"/>
            <w:noWrap/>
            <w:vAlign w:val="center"/>
          </w:tcPr>
          <w:p w:rsidR="00EC76A6" w:rsidRPr="00775454" w:rsidRDefault="00EC76A6" w:rsidP="00EC76A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75454">
              <w:rPr>
                <w:rFonts w:ascii="Arial" w:hAnsi="Arial" w:cs="Arial"/>
                <w:b/>
                <w:sz w:val="24"/>
                <w:szCs w:val="24"/>
              </w:rPr>
              <w:t>Gene names</w:t>
            </w:r>
          </w:p>
        </w:tc>
        <w:tc>
          <w:tcPr>
            <w:tcW w:w="4543" w:type="dxa"/>
            <w:noWrap/>
            <w:vAlign w:val="center"/>
          </w:tcPr>
          <w:p w:rsidR="00EC76A6" w:rsidRPr="00775454" w:rsidRDefault="00EC76A6" w:rsidP="00EC76A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75454">
              <w:rPr>
                <w:rFonts w:ascii="Arial" w:hAnsi="Arial" w:cs="Arial"/>
                <w:b/>
                <w:sz w:val="24"/>
                <w:szCs w:val="24"/>
              </w:rPr>
              <w:t>Protein names</w:t>
            </w:r>
          </w:p>
        </w:tc>
        <w:tc>
          <w:tcPr>
            <w:tcW w:w="851" w:type="dxa"/>
            <w:noWrap/>
            <w:vAlign w:val="center"/>
          </w:tcPr>
          <w:p w:rsidR="00EC76A6" w:rsidRPr="00775454" w:rsidRDefault="00EC76A6" w:rsidP="00EC76A6">
            <w:pPr>
              <w:ind w:left="-108" w:right="3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Ratio</w:t>
            </w:r>
          </w:p>
        </w:tc>
        <w:tc>
          <w:tcPr>
            <w:tcW w:w="991" w:type="dxa"/>
            <w:vAlign w:val="center"/>
          </w:tcPr>
          <w:p w:rsidR="00EC76A6" w:rsidRDefault="00EC76A6" w:rsidP="00EC76A6">
            <w:pPr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p-value</w:t>
            </w:r>
          </w:p>
        </w:tc>
        <w:tc>
          <w:tcPr>
            <w:tcW w:w="1560" w:type="dxa"/>
            <w:noWrap/>
            <w:vAlign w:val="center"/>
          </w:tcPr>
          <w:p w:rsidR="00EC76A6" w:rsidRDefault="00EC76A6" w:rsidP="00EC76A6">
            <w:pPr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Protein</w:t>
            </w:r>
          </w:p>
          <w:p w:rsidR="00EC76A6" w:rsidRPr="00775454" w:rsidRDefault="00EC76A6" w:rsidP="00EC76A6">
            <w:pPr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Type</w:t>
            </w:r>
          </w:p>
        </w:tc>
      </w:tr>
      <w:tr w:rsidR="00EC76A6" w:rsidRPr="00EC76A6" w:rsidTr="00EC76A6">
        <w:trPr>
          <w:trHeight w:val="288"/>
        </w:trPr>
        <w:tc>
          <w:tcPr>
            <w:tcW w:w="1244" w:type="dxa"/>
            <w:noWrap/>
            <w:vAlign w:val="center"/>
            <w:hideMark/>
          </w:tcPr>
          <w:p w:rsidR="00EC76A6" w:rsidRPr="00EC76A6" w:rsidRDefault="00EC76A6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Q99LD9</w:t>
            </w:r>
          </w:p>
        </w:tc>
        <w:tc>
          <w:tcPr>
            <w:tcW w:w="1017" w:type="dxa"/>
            <w:noWrap/>
            <w:vAlign w:val="center"/>
            <w:hideMark/>
          </w:tcPr>
          <w:p w:rsidR="00EC76A6" w:rsidRPr="00EC76A6" w:rsidRDefault="00EC76A6" w:rsidP="00EC76A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76A6">
              <w:rPr>
                <w:rFonts w:ascii="Arial" w:hAnsi="Arial" w:cs="Arial"/>
                <w:color w:val="000000"/>
                <w:sz w:val="24"/>
                <w:szCs w:val="24"/>
              </w:rPr>
              <w:t>Eif2b2</w:t>
            </w:r>
          </w:p>
        </w:tc>
        <w:tc>
          <w:tcPr>
            <w:tcW w:w="4543" w:type="dxa"/>
            <w:noWrap/>
            <w:vAlign w:val="bottom"/>
            <w:hideMark/>
          </w:tcPr>
          <w:p w:rsidR="00EC76A6" w:rsidRPr="00EC76A6" w:rsidRDefault="00EC76A6" w:rsidP="00DA068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76A6">
              <w:rPr>
                <w:rFonts w:ascii="Arial" w:hAnsi="Arial" w:cs="Arial"/>
                <w:color w:val="000000"/>
                <w:sz w:val="24"/>
                <w:szCs w:val="24"/>
              </w:rPr>
              <w:t>Translation initiation factor eIF-2B subunit beta</w:t>
            </w:r>
          </w:p>
        </w:tc>
        <w:tc>
          <w:tcPr>
            <w:tcW w:w="851" w:type="dxa"/>
            <w:noWrap/>
            <w:vAlign w:val="center"/>
            <w:hideMark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C76A6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C76A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  <w:vAlign w:val="center"/>
            <w:hideMark/>
          </w:tcPr>
          <w:p w:rsidR="00EC76A6" w:rsidRPr="00EC76A6" w:rsidRDefault="00CD358E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Unknown</w:t>
            </w:r>
          </w:p>
        </w:tc>
      </w:tr>
      <w:tr w:rsidR="00EC76A6" w:rsidRPr="00EC76A6" w:rsidTr="00EC76A6">
        <w:trPr>
          <w:trHeight w:val="288"/>
        </w:trPr>
        <w:tc>
          <w:tcPr>
            <w:tcW w:w="1244" w:type="dxa"/>
            <w:noWrap/>
            <w:vAlign w:val="center"/>
            <w:hideMark/>
          </w:tcPr>
          <w:p w:rsidR="00EC76A6" w:rsidRPr="00EC76A6" w:rsidRDefault="00EC76A6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Q9CWR2</w:t>
            </w:r>
          </w:p>
        </w:tc>
        <w:tc>
          <w:tcPr>
            <w:tcW w:w="1017" w:type="dxa"/>
            <w:noWrap/>
            <w:vAlign w:val="center"/>
            <w:hideMark/>
          </w:tcPr>
          <w:p w:rsidR="00EC76A6" w:rsidRPr="00EC76A6" w:rsidRDefault="00EC76A6" w:rsidP="00EC76A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76A6">
              <w:rPr>
                <w:rFonts w:ascii="Arial" w:hAnsi="Arial" w:cs="Arial"/>
                <w:color w:val="000000"/>
                <w:sz w:val="24"/>
                <w:szCs w:val="24"/>
              </w:rPr>
              <w:t>Smyd3</w:t>
            </w:r>
          </w:p>
        </w:tc>
        <w:tc>
          <w:tcPr>
            <w:tcW w:w="4543" w:type="dxa"/>
            <w:noWrap/>
            <w:vAlign w:val="bottom"/>
            <w:hideMark/>
          </w:tcPr>
          <w:p w:rsidR="00EC76A6" w:rsidRPr="00EC76A6" w:rsidRDefault="00EC76A6" w:rsidP="00DA068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76A6">
              <w:rPr>
                <w:rFonts w:ascii="Arial" w:hAnsi="Arial" w:cs="Arial"/>
                <w:color w:val="000000"/>
                <w:sz w:val="24"/>
                <w:szCs w:val="24"/>
              </w:rPr>
              <w:t>Histone-lysine N-methyltransferase SMYD3</w:t>
            </w:r>
          </w:p>
        </w:tc>
        <w:tc>
          <w:tcPr>
            <w:tcW w:w="851" w:type="dxa"/>
            <w:noWrap/>
            <w:vAlign w:val="center"/>
            <w:hideMark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C76A6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991" w:type="dxa"/>
            <w:vAlign w:val="center"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C76A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  <w:vAlign w:val="center"/>
            <w:hideMark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Soluble</w:t>
            </w:r>
          </w:p>
        </w:tc>
      </w:tr>
      <w:tr w:rsidR="00EC76A6" w:rsidRPr="00EC76A6" w:rsidTr="00EC76A6">
        <w:trPr>
          <w:trHeight w:val="288"/>
        </w:trPr>
        <w:tc>
          <w:tcPr>
            <w:tcW w:w="1244" w:type="dxa"/>
            <w:noWrap/>
            <w:vAlign w:val="center"/>
            <w:hideMark/>
          </w:tcPr>
          <w:p w:rsidR="00EC76A6" w:rsidRPr="00EC76A6" w:rsidRDefault="00EC76A6" w:rsidP="00EC76A6">
            <w:pPr>
              <w:ind w:right="-58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Q9D6R2</w:t>
            </w:r>
          </w:p>
        </w:tc>
        <w:tc>
          <w:tcPr>
            <w:tcW w:w="1017" w:type="dxa"/>
            <w:noWrap/>
            <w:vAlign w:val="center"/>
            <w:hideMark/>
          </w:tcPr>
          <w:p w:rsidR="00EC76A6" w:rsidRPr="00EC76A6" w:rsidRDefault="00EC76A6" w:rsidP="00EC76A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76A6">
              <w:rPr>
                <w:rFonts w:ascii="Arial" w:hAnsi="Arial" w:cs="Arial"/>
                <w:color w:val="000000"/>
                <w:sz w:val="24"/>
                <w:szCs w:val="24"/>
              </w:rPr>
              <w:t>Idh3a</w:t>
            </w:r>
          </w:p>
        </w:tc>
        <w:tc>
          <w:tcPr>
            <w:tcW w:w="4543" w:type="dxa"/>
            <w:noWrap/>
            <w:vAlign w:val="bottom"/>
            <w:hideMark/>
          </w:tcPr>
          <w:p w:rsidR="00EC76A6" w:rsidRPr="00EC76A6" w:rsidRDefault="00EC76A6" w:rsidP="00DA068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76A6">
              <w:rPr>
                <w:rFonts w:ascii="Arial" w:hAnsi="Arial" w:cs="Arial"/>
                <w:color w:val="000000"/>
                <w:sz w:val="24"/>
                <w:szCs w:val="24"/>
              </w:rPr>
              <w:t>Isocitrate dehydrogenase [NAD] subunit alpha. mitochondrial</w:t>
            </w:r>
          </w:p>
        </w:tc>
        <w:tc>
          <w:tcPr>
            <w:tcW w:w="851" w:type="dxa"/>
            <w:noWrap/>
            <w:vAlign w:val="center"/>
            <w:hideMark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C76A6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991" w:type="dxa"/>
            <w:vAlign w:val="center"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C76A6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  <w:vAlign w:val="center"/>
            <w:hideMark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Soluble</w:t>
            </w:r>
          </w:p>
        </w:tc>
      </w:tr>
      <w:tr w:rsidR="00EC76A6" w:rsidRPr="00EC76A6" w:rsidTr="00EC76A6">
        <w:trPr>
          <w:trHeight w:val="288"/>
        </w:trPr>
        <w:tc>
          <w:tcPr>
            <w:tcW w:w="1244" w:type="dxa"/>
            <w:noWrap/>
            <w:vAlign w:val="center"/>
            <w:hideMark/>
          </w:tcPr>
          <w:p w:rsidR="00EC76A6" w:rsidRPr="00EC76A6" w:rsidRDefault="00EC76A6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Q8BUY9</w:t>
            </w:r>
          </w:p>
        </w:tc>
        <w:tc>
          <w:tcPr>
            <w:tcW w:w="1017" w:type="dxa"/>
            <w:noWrap/>
            <w:vAlign w:val="center"/>
            <w:hideMark/>
          </w:tcPr>
          <w:p w:rsidR="00EC76A6" w:rsidRPr="00EC76A6" w:rsidRDefault="00EC76A6" w:rsidP="00EC76A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76A6">
              <w:rPr>
                <w:rFonts w:ascii="Arial" w:hAnsi="Arial" w:cs="Arial"/>
                <w:color w:val="000000"/>
                <w:sz w:val="24"/>
                <w:szCs w:val="24"/>
              </w:rPr>
              <w:t>Pggt1b</w:t>
            </w:r>
          </w:p>
        </w:tc>
        <w:tc>
          <w:tcPr>
            <w:tcW w:w="4543" w:type="dxa"/>
            <w:noWrap/>
            <w:vAlign w:val="bottom"/>
            <w:hideMark/>
          </w:tcPr>
          <w:p w:rsidR="00EC76A6" w:rsidRPr="00EC76A6" w:rsidRDefault="00EC76A6" w:rsidP="00DA068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76A6">
              <w:rPr>
                <w:rFonts w:ascii="Arial" w:hAnsi="Arial" w:cs="Arial"/>
                <w:color w:val="000000"/>
                <w:sz w:val="24"/>
                <w:szCs w:val="24"/>
              </w:rPr>
              <w:t>Geranylgeranyl transferase type-1 subunit beta</w:t>
            </w:r>
          </w:p>
        </w:tc>
        <w:tc>
          <w:tcPr>
            <w:tcW w:w="851" w:type="dxa"/>
            <w:noWrap/>
            <w:vAlign w:val="center"/>
            <w:hideMark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C76A6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991" w:type="dxa"/>
            <w:vAlign w:val="center"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C76A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  <w:vAlign w:val="center"/>
            <w:hideMark/>
          </w:tcPr>
          <w:p w:rsidR="00EC76A6" w:rsidRPr="00EC76A6" w:rsidRDefault="00CD358E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Unknown</w:t>
            </w:r>
          </w:p>
        </w:tc>
      </w:tr>
      <w:tr w:rsidR="00EC76A6" w:rsidRPr="00EC76A6" w:rsidTr="00EC76A6">
        <w:trPr>
          <w:trHeight w:val="288"/>
        </w:trPr>
        <w:tc>
          <w:tcPr>
            <w:tcW w:w="1244" w:type="dxa"/>
            <w:noWrap/>
            <w:vAlign w:val="center"/>
            <w:hideMark/>
          </w:tcPr>
          <w:p w:rsidR="00EC76A6" w:rsidRPr="00EC76A6" w:rsidRDefault="00EC76A6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Q8R3I2-3</w:t>
            </w:r>
          </w:p>
        </w:tc>
        <w:tc>
          <w:tcPr>
            <w:tcW w:w="1017" w:type="dxa"/>
            <w:noWrap/>
            <w:vAlign w:val="center"/>
            <w:hideMark/>
          </w:tcPr>
          <w:p w:rsidR="00EC76A6" w:rsidRPr="00EC76A6" w:rsidRDefault="00EC76A6" w:rsidP="00EC76A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76A6">
              <w:rPr>
                <w:rFonts w:ascii="Arial" w:hAnsi="Arial" w:cs="Arial"/>
                <w:color w:val="000000"/>
                <w:sz w:val="24"/>
                <w:szCs w:val="24"/>
              </w:rPr>
              <w:t>Mboat2</w:t>
            </w:r>
          </w:p>
        </w:tc>
        <w:tc>
          <w:tcPr>
            <w:tcW w:w="4543" w:type="dxa"/>
            <w:noWrap/>
            <w:vAlign w:val="bottom"/>
            <w:hideMark/>
          </w:tcPr>
          <w:p w:rsidR="00EC76A6" w:rsidRPr="00EC76A6" w:rsidRDefault="00EC76A6" w:rsidP="00DA068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C76A6">
              <w:rPr>
                <w:rFonts w:ascii="Arial" w:hAnsi="Arial" w:cs="Arial"/>
                <w:color w:val="000000"/>
                <w:sz w:val="24"/>
                <w:szCs w:val="24"/>
              </w:rPr>
              <w:t>Lysophospholipid</w:t>
            </w:r>
            <w:proofErr w:type="spellEnd"/>
            <w:r w:rsidRPr="00EC76A6">
              <w:rPr>
                <w:rFonts w:ascii="Arial" w:hAnsi="Arial" w:cs="Arial"/>
                <w:color w:val="000000"/>
                <w:sz w:val="24"/>
                <w:szCs w:val="24"/>
              </w:rPr>
              <w:t xml:space="preserve"> acyltransferase 2</w:t>
            </w:r>
          </w:p>
        </w:tc>
        <w:tc>
          <w:tcPr>
            <w:tcW w:w="851" w:type="dxa"/>
            <w:noWrap/>
            <w:vAlign w:val="center"/>
            <w:hideMark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C76A6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991" w:type="dxa"/>
            <w:vAlign w:val="center"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C76A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60" w:type="dxa"/>
            <w:noWrap/>
            <w:vAlign w:val="center"/>
            <w:hideMark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Membrane</w:t>
            </w:r>
          </w:p>
        </w:tc>
      </w:tr>
      <w:tr w:rsidR="00EC76A6" w:rsidRPr="00EC76A6" w:rsidTr="00EC76A6">
        <w:trPr>
          <w:trHeight w:val="288"/>
        </w:trPr>
        <w:tc>
          <w:tcPr>
            <w:tcW w:w="1244" w:type="dxa"/>
            <w:noWrap/>
            <w:vAlign w:val="center"/>
            <w:hideMark/>
          </w:tcPr>
          <w:p w:rsidR="00EC76A6" w:rsidRPr="00EC76A6" w:rsidRDefault="00EC76A6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lastRenderedPageBreak/>
              <w:t>O88986</w:t>
            </w:r>
          </w:p>
        </w:tc>
        <w:tc>
          <w:tcPr>
            <w:tcW w:w="1017" w:type="dxa"/>
            <w:noWrap/>
            <w:vAlign w:val="center"/>
            <w:hideMark/>
          </w:tcPr>
          <w:p w:rsidR="00EC76A6" w:rsidRPr="00EC76A6" w:rsidRDefault="00EC76A6" w:rsidP="00EC76A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C76A6">
              <w:rPr>
                <w:rFonts w:ascii="Arial" w:hAnsi="Arial" w:cs="Arial"/>
                <w:color w:val="000000"/>
                <w:sz w:val="24"/>
                <w:szCs w:val="24"/>
              </w:rPr>
              <w:t>Gcat</w:t>
            </w:r>
            <w:proofErr w:type="spellEnd"/>
          </w:p>
        </w:tc>
        <w:tc>
          <w:tcPr>
            <w:tcW w:w="4543" w:type="dxa"/>
            <w:noWrap/>
            <w:vAlign w:val="bottom"/>
            <w:hideMark/>
          </w:tcPr>
          <w:p w:rsidR="00EC76A6" w:rsidRPr="00EC76A6" w:rsidRDefault="00EC76A6" w:rsidP="00DA0688">
            <w:pPr>
              <w:rPr>
                <w:rFonts w:ascii="Arial" w:hAnsi="Arial" w:cs="Arial"/>
                <w:color w:val="000000"/>
                <w:sz w:val="24"/>
                <w:szCs w:val="24"/>
                <w:lang w:val="it-IT"/>
              </w:rPr>
            </w:pPr>
            <w:r w:rsidRPr="00EC76A6">
              <w:rPr>
                <w:rFonts w:ascii="Arial" w:hAnsi="Arial" w:cs="Arial"/>
                <w:color w:val="000000"/>
                <w:sz w:val="24"/>
                <w:szCs w:val="24"/>
                <w:lang w:val="it-IT"/>
              </w:rPr>
              <w:t>2-amino-3-ketobutyrate coenzyme A ligase. mitochondrial</w:t>
            </w:r>
          </w:p>
        </w:tc>
        <w:tc>
          <w:tcPr>
            <w:tcW w:w="851" w:type="dxa"/>
            <w:noWrap/>
            <w:vAlign w:val="center"/>
            <w:hideMark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C76A6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991" w:type="dxa"/>
            <w:vAlign w:val="center"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C76A6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  <w:vAlign w:val="center"/>
            <w:hideMark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Soluble</w:t>
            </w:r>
          </w:p>
        </w:tc>
      </w:tr>
      <w:tr w:rsidR="00EC76A6" w:rsidRPr="00EC76A6" w:rsidTr="00EC76A6">
        <w:trPr>
          <w:trHeight w:val="288"/>
        </w:trPr>
        <w:tc>
          <w:tcPr>
            <w:tcW w:w="1244" w:type="dxa"/>
            <w:noWrap/>
            <w:vAlign w:val="center"/>
            <w:hideMark/>
          </w:tcPr>
          <w:p w:rsidR="00EC76A6" w:rsidRPr="00EC76A6" w:rsidRDefault="00EC76A6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F6S1R2</w:t>
            </w:r>
          </w:p>
        </w:tc>
        <w:tc>
          <w:tcPr>
            <w:tcW w:w="1017" w:type="dxa"/>
            <w:noWrap/>
            <w:vAlign w:val="center"/>
            <w:hideMark/>
          </w:tcPr>
          <w:p w:rsidR="00EC76A6" w:rsidRPr="00EC76A6" w:rsidRDefault="00EC76A6" w:rsidP="00EC76A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76A6">
              <w:rPr>
                <w:rFonts w:ascii="Arial" w:hAnsi="Arial" w:cs="Arial"/>
                <w:color w:val="000000"/>
                <w:sz w:val="24"/>
                <w:szCs w:val="24"/>
              </w:rPr>
              <w:t>Ahsa2</w:t>
            </w:r>
          </w:p>
        </w:tc>
        <w:tc>
          <w:tcPr>
            <w:tcW w:w="4543" w:type="dxa"/>
            <w:noWrap/>
            <w:vAlign w:val="bottom"/>
            <w:hideMark/>
          </w:tcPr>
          <w:p w:rsidR="00EC76A6" w:rsidRPr="00EC76A6" w:rsidRDefault="00EC76A6" w:rsidP="00DA068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76A6">
              <w:rPr>
                <w:rFonts w:ascii="Arial" w:hAnsi="Arial" w:cs="Arial"/>
                <w:color w:val="000000"/>
                <w:sz w:val="24"/>
                <w:szCs w:val="24"/>
              </w:rPr>
              <w:t xml:space="preserve">Activator of 90 </w:t>
            </w:r>
            <w:proofErr w:type="spellStart"/>
            <w:r w:rsidRPr="00EC76A6">
              <w:rPr>
                <w:rFonts w:ascii="Arial" w:hAnsi="Arial" w:cs="Arial"/>
                <w:color w:val="000000"/>
                <w:sz w:val="24"/>
                <w:szCs w:val="24"/>
              </w:rPr>
              <w:t>kDa</w:t>
            </w:r>
            <w:proofErr w:type="spellEnd"/>
            <w:r w:rsidRPr="00EC76A6">
              <w:rPr>
                <w:rFonts w:ascii="Arial" w:hAnsi="Arial" w:cs="Arial"/>
                <w:color w:val="000000"/>
                <w:sz w:val="24"/>
                <w:szCs w:val="24"/>
              </w:rPr>
              <w:t xml:space="preserve"> heat shock protein ATPase homolog 2</w:t>
            </w:r>
          </w:p>
        </w:tc>
        <w:tc>
          <w:tcPr>
            <w:tcW w:w="851" w:type="dxa"/>
            <w:noWrap/>
            <w:vAlign w:val="center"/>
            <w:hideMark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C76A6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991" w:type="dxa"/>
            <w:vAlign w:val="center"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C76A6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60" w:type="dxa"/>
            <w:noWrap/>
            <w:vAlign w:val="center"/>
            <w:hideMark/>
          </w:tcPr>
          <w:p w:rsidR="00EC76A6" w:rsidRPr="00EC76A6" w:rsidRDefault="00CD358E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Unknown</w:t>
            </w:r>
          </w:p>
        </w:tc>
      </w:tr>
      <w:tr w:rsidR="00EC76A6" w:rsidRPr="00EC76A6" w:rsidTr="00EC76A6">
        <w:trPr>
          <w:trHeight w:val="288"/>
        </w:trPr>
        <w:tc>
          <w:tcPr>
            <w:tcW w:w="1244" w:type="dxa"/>
            <w:noWrap/>
            <w:vAlign w:val="center"/>
            <w:hideMark/>
          </w:tcPr>
          <w:p w:rsidR="00EC76A6" w:rsidRPr="00EC76A6" w:rsidRDefault="00EC76A6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Q8R323</w:t>
            </w:r>
          </w:p>
        </w:tc>
        <w:tc>
          <w:tcPr>
            <w:tcW w:w="1017" w:type="dxa"/>
            <w:noWrap/>
            <w:vAlign w:val="center"/>
            <w:hideMark/>
          </w:tcPr>
          <w:p w:rsidR="00EC76A6" w:rsidRPr="00EC76A6" w:rsidRDefault="00EC76A6" w:rsidP="00EC76A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76A6">
              <w:rPr>
                <w:rFonts w:ascii="Arial" w:hAnsi="Arial" w:cs="Arial"/>
                <w:color w:val="000000"/>
                <w:sz w:val="24"/>
                <w:szCs w:val="24"/>
              </w:rPr>
              <w:t>Rfc3</w:t>
            </w:r>
          </w:p>
        </w:tc>
        <w:tc>
          <w:tcPr>
            <w:tcW w:w="4543" w:type="dxa"/>
            <w:noWrap/>
            <w:vAlign w:val="bottom"/>
            <w:hideMark/>
          </w:tcPr>
          <w:p w:rsidR="00EC76A6" w:rsidRPr="00EC76A6" w:rsidRDefault="00EC76A6" w:rsidP="00DA068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76A6">
              <w:rPr>
                <w:rFonts w:ascii="Arial" w:hAnsi="Arial" w:cs="Arial"/>
                <w:color w:val="000000"/>
                <w:sz w:val="24"/>
                <w:szCs w:val="24"/>
              </w:rPr>
              <w:t>Replication factor C subunit 3</w:t>
            </w:r>
          </w:p>
        </w:tc>
        <w:tc>
          <w:tcPr>
            <w:tcW w:w="851" w:type="dxa"/>
            <w:noWrap/>
            <w:vAlign w:val="center"/>
            <w:hideMark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C76A6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991" w:type="dxa"/>
            <w:vAlign w:val="center"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C76A6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  <w:vAlign w:val="center"/>
            <w:hideMark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Soluble</w:t>
            </w:r>
          </w:p>
        </w:tc>
      </w:tr>
      <w:tr w:rsidR="00EC76A6" w:rsidRPr="00EC76A6" w:rsidTr="00EC76A6">
        <w:trPr>
          <w:trHeight w:val="288"/>
        </w:trPr>
        <w:tc>
          <w:tcPr>
            <w:tcW w:w="1244" w:type="dxa"/>
            <w:noWrap/>
            <w:vAlign w:val="center"/>
            <w:hideMark/>
          </w:tcPr>
          <w:p w:rsidR="00EC76A6" w:rsidRPr="00EC76A6" w:rsidRDefault="00EC76A6" w:rsidP="00EC76A6">
            <w:pPr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Q8K2M0-2</w:t>
            </w:r>
          </w:p>
        </w:tc>
        <w:tc>
          <w:tcPr>
            <w:tcW w:w="1017" w:type="dxa"/>
            <w:noWrap/>
            <w:vAlign w:val="center"/>
            <w:hideMark/>
          </w:tcPr>
          <w:p w:rsidR="00EC76A6" w:rsidRPr="00EC76A6" w:rsidRDefault="00EC76A6" w:rsidP="00EC76A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76A6">
              <w:rPr>
                <w:rFonts w:ascii="Arial" w:hAnsi="Arial" w:cs="Arial"/>
                <w:color w:val="000000"/>
                <w:sz w:val="24"/>
                <w:szCs w:val="24"/>
              </w:rPr>
              <w:t>Mrpl38</w:t>
            </w:r>
          </w:p>
        </w:tc>
        <w:tc>
          <w:tcPr>
            <w:tcW w:w="4543" w:type="dxa"/>
            <w:noWrap/>
            <w:vAlign w:val="bottom"/>
            <w:hideMark/>
          </w:tcPr>
          <w:p w:rsidR="00EC76A6" w:rsidRPr="00EC76A6" w:rsidRDefault="00EC76A6" w:rsidP="00DA068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C76A6">
              <w:rPr>
                <w:rFonts w:ascii="Arial" w:hAnsi="Arial" w:cs="Arial"/>
                <w:color w:val="000000"/>
                <w:sz w:val="24"/>
                <w:szCs w:val="24"/>
              </w:rPr>
              <w:t>39S ribosomal protein L38. mitochondrial</w:t>
            </w:r>
          </w:p>
        </w:tc>
        <w:tc>
          <w:tcPr>
            <w:tcW w:w="851" w:type="dxa"/>
            <w:noWrap/>
            <w:vAlign w:val="center"/>
            <w:hideMark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C76A6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991" w:type="dxa"/>
            <w:vAlign w:val="center"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C76A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560" w:type="dxa"/>
            <w:noWrap/>
            <w:vAlign w:val="center"/>
            <w:hideMark/>
          </w:tcPr>
          <w:p w:rsidR="00EC76A6" w:rsidRPr="00EC76A6" w:rsidRDefault="00EC76A6" w:rsidP="00EC76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76A6">
              <w:rPr>
                <w:rFonts w:ascii="Arial" w:hAnsi="Arial" w:cs="Arial"/>
                <w:sz w:val="24"/>
                <w:szCs w:val="24"/>
              </w:rPr>
              <w:t>Soluble</w:t>
            </w:r>
          </w:p>
        </w:tc>
      </w:tr>
    </w:tbl>
    <w:p w:rsidR="0043754A" w:rsidRPr="00EC76A6" w:rsidRDefault="0043754A" w:rsidP="00CA60F0">
      <w:pPr>
        <w:rPr>
          <w:rFonts w:ascii="Arial" w:hAnsi="Arial" w:cs="Arial"/>
          <w:sz w:val="24"/>
          <w:szCs w:val="24"/>
        </w:rPr>
      </w:pPr>
    </w:p>
    <w:sectPr w:rsidR="0043754A" w:rsidRPr="00EC76A6" w:rsidSect="00CA60F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454"/>
    <w:rsid w:val="000D3C61"/>
    <w:rsid w:val="00227B95"/>
    <w:rsid w:val="00275603"/>
    <w:rsid w:val="002C3CFF"/>
    <w:rsid w:val="0030084D"/>
    <w:rsid w:val="00397AAE"/>
    <w:rsid w:val="003B0292"/>
    <w:rsid w:val="0043754A"/>
    <w:rsid w:val="00496910"/>
    <w:rsid w:val="00554D5E"/>
    <w:rsid w:val="005A63CE"/>
    <w:rsid w:val="006671C0"/>
    <w:rsid w:val="006850BF"/>
    <w:rsid w:val="00775454"/>
    <w:rsid w:val="007B1C80"/>
    <w:rsid w:val="009A5AD6"/>
    <w:rsid w:val="009D40CB"/>
    <w:rsid w:val="00B33767"/>
    <w:rsid w:val="00B50E4C"/>
    <w:rsid w:val="00B832D5"/>
    <w:rsid w:val="00C16E0D"/>
    <w:rsid w:val="00CA60F0"/>
    <w:rsid w:val="00CD358E"/>
    <w:rsid w:val="00DA0688"/>
    <w:rsid w:val="00DE4C37"/>
    <w:rsid w:val="00DE552B"/>
    <w:rsid w:val="00E16F89"/>
    <w:rsid w:val="00EC1A16"/>
    <w:rsid w:val="00EC76A6"/>
    <w:rsid w:val="00FE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2B2C"/>
  <w15:docId w15:val="{6F71F480-41BA-A44E-9599-EBB0F97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75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1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1A1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1A277-D7C3-1741-9AC4-E946D787D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Microsoft Office User</cp:lastModifiedBy>
  <cp:revision>23</cp:revision>
  <cp:lastPrinted>2020-05-15T02:41:00Z</cp:lastPrinted>
  <dcterms:created xsi:type="dcterms:W3CDTF">2018-11-13T17:29:00Z</dcterms:created>
  <dcterms:modified xsi:type="dcterms:W3CDTF">2020-05-18T14:27:00Z</dcterms:modified>
</cp:coreProperties>
</file>