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5CEB7" w14:textId="0C619B93" w:rsidR="00247779" w:rsidRDefault="003A61FC" w:rsidP="00247779">
      <w:pPr>
        <w:rPr>
          <w:rFonts w:cstheme="minorHAnsi"/>
          <w:b/>
          <w:color w:val="000000" w:themeColor="text1"/>
          <w:sz w:val="30"/>
          <w:szCs w:val="30"/>
        </w:rPr>
      </w:pPr>
      <w:r>
        <w:rPr>
          <w:rFonts w:cstheme="minorHAnsi"/>
          <w:b/>
          <w:color w:val="000000" w:themeColor="text1"/>
          <w:sz w:val="30"/>
          <w:szCs w:val="30"/>
        </w:rPr>
        <w:t>Appendix</w:t>
      </w:r>
    </w:p>
    <w:p w14:paraId="2E13A7E1" w14:textId="77777777" w:rsidR="00525D4E" w:rsidRPr="00525D4E" w:rsidRDefault="00525D4E" w:rsidP="00247779">
      <w:pPr>
        <w:rPr>
          <w:rFonts w:cstheme="minorHAnsi"/>
          <w:b/>
          <w:color w:val="000000" w:themeColor="text1"/>
          <w:sz w:val="30"/>
          <w:szCs w:val="30"/>
        </w:rPr>
      </w:pPr>
    </w:p>
    <w:p w14:paraId="70D15B9D" w14:textId="0CD1408B" w:rsidR="00247779" w:rsidRPr="00525D4E" w:rsidRDefault="00247779" w:rsidP="00247779">
      <w:pPr>
        <w:rPr>
          <w:rFonts w:cstheme="minorHAnsi"/>
          <w:b/>
          <w:color w:val="000000" w:themeColor="text1"/>
          <w:sz w:val="30"/>
          <w:szCs w:val="30"/>
        </w:rPr>
      </w:pPr>
      <w:r w:rsidRPr="00525D4E">
        <w:rPr>
          <w:rFonts w:cstheme="minorHAnsi"/>
          <w:b/>
          <w:color w:val="000000" w:themeColor="text1"/>
          <w:sz w:val="30"/>
          <w:szCs w:val="30"/>
        </w:rPr>
        <w:t>The E3 ubiquitin ligase RNF115 regulates phagosome maturation and host response to bacterial infection</w:t>
      </w:r>
    </w:p>
    <w:p w14:paraId="2AB48E39" w14:textId="77777777" w:rsidR="00247779" w:rsidRPr="00615236" w:rsidRDefault="00247779" w:rsidP="00247779">
      <w:pPr>
        <w:rPr>
          <w:rFonts w:cstheme="minorHAnsi"/>
          <w:b/>
        </w:rPr>
      </w:pPr>
    </w:p>
    <w:p w14:paraId="6BC0E1AB" w14:textId="77777777" w:rsidR="00247779" w:rsidRPr="00F46905" w:rsidRDefault="00247779" w:rsidP="00247779">
      <w:pPr>
        <w:rPr>
          <w:rFonts w:cstheme="minorHAnsi"/>
          <w:b/>
          <w:sz w:val="24"/>
          <w:szCs w:val="24"/>
        </w:rPr>
      </w:pPr>
      <w:r w:rsidRPr="00F46905">
        <w:rPr>
          <w:rFonts w:cstheme="minorHAnsi"/>
          <w:b/>
          <w:sz w:val="24"/>
          <w:szCs w:val="24"/>
        </w:rPr>
        <w:t>Orsolya Bilkei-Gorzo</w:t>
      </w:r>
      <w:r w:rsidRPr="00F46905">
        <w:rPr>
          <w:rFonts w:cstheme="minorHAnsi"/>
          <w:b/>
          <w:sz w:val="24"/>
          <w:szCs w:val="24"/>
          <w:vertAlign w:val="superscript"/>
        </w:rPr>
        <w:t>2,3</w:t>
      </w:r>
      <w:r w:rsidRPr="00F46905">
        <w:rPr>
          <w:rFonts w:cstheme="minorHAnsi"/>
          <w:b/>
          <w:sz w:val="24"/>
          <w:szCs w:val="24"/>
        </w:rPr>
        <w:t>, Tiaan Heunis</w:t>
      </w:r>
      <w:r w:rsidRPr="00F46905">
        <w:rPr>
          <w:rFonts w:cstheme="minorHAnsi"/>
          <w:b/>
          <w:sz w:val="24"/>
          <w:szCs w:val="24"/>
          <w:vertAlign w:val="superscript"/>
        </w:rPr>
        <w:t>1</w:t>
      </w:r>
      <w:r w:rsidRPr="00F46905">
        <w:rPr>
          <w:rFonts w:cstheme="minorHAnsi"/>
          <w:b/>
          <w:sz w:val="24"/>
          <w:szCs w:val="24"/>
        </w:rPr>
        <w:t>, José Luis Marín-Rubio</w:t>
      </w:r>
      <w:r w:rsidRPr="00F46905">
        <w:rPr>
          <w:rFonts w:cstheme="minorHAnsi"/>
          <w:b/>
          <w:sz w:val="24"/>
          <w:szCs w:val="24"/>
          <w:vertAlign w:val="superscript"/>
        </w:rPr>
        <w:t>1</w:t>
      </w:r>
      <w:r w:rsidRPr="00F46905">
        <w:rPr>
          <w:rFonts w:cstheme="minorHAnsi"/>
          <w:b/>
          <w:sz w:val="24"/>
          <w:szCs w:val="24"/>
        </w:rPr>
        <w:t>, Francesca Romana Cianfanelli</w:t>
      </w:r>
      <w:r w:rsidRPr="00F46905">
        <w:rPr>
          <w:rFonts w:cstheme="minorHAnsi"/>
          <w:b/>
          <w:sz w:val="24"/>
          <w:szCs w:val="24"/>
          <w:vertAlign w:val="superscript"/>
        </w:rPr>
        <w:t>1</w:t>
      </w:r>
      <w:r w:rsidRPr="00F46905">
        <w:rPr>
          <w:rFonts w:cstheme="minorHAnsi"/>
          <w:b/>
          <w:sz w:val="24"/>
          <w:szCs w:val="24"/>
        </w:rPr>
        <w:t xml:space="preserve">, </w:t>
      </w:r>
      <w:r w:rsidRPr="004E708D">
        <w:rPr>
          <w:rFonts w:cstheme="minorHAnsi"/>
          <w:b/>
          <w:sz w:val="24"/>
          <w:szCs w:val="24"/>
          <w:lang w:val="sv-SE"/>
        </w:rPr>
        <w:t>Benjamin</w:t>
      </w:r>
      <w:r>
        <w:rPr>
          <w:rFonts w:cstheme="minorHAnsi"/>
          <w:b/>
          <w:sz w:val="24"/>
          <w:szCs w:val="24"/>
          <w:lang w:val="sv-SE"/>
        </w:rPr>
        <w:t xml:space="preserve"> Bernard Armando</w:t>
      </w:r>
      <w:r w:rsidRPr="004E708D">
        <w:rPr>
          <w:rFonts w:cstheme="minorHAnsi"/>
          <w:b/>
          <w:sz w:val="24"/>
          <w:szCs w:val="24"/>
          <w:lang w:val="sv-SE"/>
        </w:rPr>
        <w:t xml:space="preserve"> Raymond</w:t>
      </w:r>
      <w:r w:rsidRPr="004E708D">
        <w:rPr>
          <w:rFonts w:cstheme="minorHAnsi"/>
          <w:b/>
          <w:sz w:val="24"/>
          <w:szCs w:val="24"/>
          <w:vertAlign w:val="superscript"/>
          <w:lang w:val="sv-SE"/>
        </w:rPr>
        <w:t>1</w:t>
      </w:r>
      <w:r w:rsidRPr="00F46905">
        <w:rPr>
          <w:rFonts w:cstheme="minorHAnsi"/>
          <w:b/>
          <w:sz w:val="24"/>
          <w:szCs w:val="24"/>
        </w:rPr>
        <w:t>, Joseph Inns</w:t>
      </w:r>
      <w:r w:rsidRPr="00F46905">
        <w:rPr>
          <w:rFonts w:cstheme="minorHAnsi"/>
          <w:b/>
          <w:sz w:val="24"/>
          <w:szCs w:val="24"/>
          <w:vertAlign w:val="superscript"/>
        </w:rPr>
        <w:t>1</w:t>
      </w:r>
      <w:r w:rsidRPr="00F46905">
        <w:rPr>
          <w:rFonts w:cstheme="minorHAnsi"/>
          <w:b/>
          <w:sz w:val="24"/>
          <w:szCs w:val="24"/>
        </w:rPr>
        <w:t>, Daniela Fabrikova</w:t>
      </w:r>
      <w:r w:rsidRPr="00F46905">
        <w:rPr>
          <w:rFonts w:cstheme="minorHAnsi"/>
          <w:b/>
          <w:sz w:val="24"/>
          <w:szCs w:val="24"/>
          <w:vertAlign w:val="superscript"/>
        </w:rPr>
        <w:t>2</w:t>
      </w:r>
      <w:r w:rsidRPr="00F46905">
        <w:rPr>
          <w:rFonts w:cstheme="minorHAnsi"/>
          <w:b/>
          <w:sz w:val="24"/>
          <w:szCs w:val="24"/>
        </w:rPr>
        <w:t>, Julien Peltier</w:t>
      </w:r>
      <w:r w:rsidRPr="00F46905">
        <w:rPr>
          <w:rFonts w:cstheme="minorHAnsi"/>
          <w:b/>
          <w:sz w:val="24"/>
          <w:szCs w:val="24"/>
          <w:vertAlign w:val="superscript"/>
        </w:rPr>
        <w:t>1,3</w:t>
      </w:r>
      <w:r w:rsidRPr="00F46905">
        <w:rPr>
          <w:rFonts w:cstheme="minorHAnsi"/>
          <w:b/>
          <w:sz w:val="24"/>
          <w:szCs w:val="24"/>
        </w:rPr>
        <w:t>, Fiona Oakley</w:t>
      </w:r>
      <w:r w:rsidRPr="00E52B58">
        <w:rPr>
          <w:rFonts w:cstheme="minorHAnsi"/>
          <w:b/>
          <w:sz w:val="24"/>
          <w:szCs w:val="24"/>
          <w:vertAlign w:val="superscript"/>
        </w:rPr>
        <w:t>1,</w:t>
      </w:r>
      <w:r w:rsidRPr="00F46905">
        <w:rPr>
          <w:rFonts w:cstheme="minorHAnsi"/>
          <w:b/>
          <w:sz w:val="24"/>
          <w:szCs w:val="24"/>
          <w:vertAlign w:val="superscript"/>
        </w:rPr>
        <w:t>4</w:t>
      </w:r>
      <w:r w:rsidRPr="00F46905">
        <w:rPr>
          <w:rFonts w:cstheme="minorHAnsi"/>
          <w:b/>
          <w:sz w:val="24"/>
          <w:szCs w:val="24"/>
        </w:rPr>
        <w:t>, Ralf Schmid</w:t>
      </w:r>
      <w:r w:rsidRPr="00F46905">
        <w:rPr>
          <w:rFonts w:cstheme="minorHAnsi"/>
          <w:b/>
          <w:sz w:val="24"/>
          <w:szCs w:val="24"/>
          <w:vertAlign w:val="superscript"/>
        </w:rPr>
        <w:t>5</w:t>
      </w:r>
      <w:r>
        <w:rPr>
          <w:rFonts w:cstheme="minorHAnsi"/>
          <w:b/>
          <w:sz w:val="24"/>
          <w:szCs w:val="24"/>
          <w:vertAlign w:val="superscript"/>
        </w:rPr>
        <w:t>,6</w:t>
      </w:r>
      <w:r w:rsidRPr="00F46905">
        <w:rPr>
          <w:rFonts w:cstheme="minorHAnsi"/>
          <w:b/>
          <w:sz w:val="24"/>
          <w:szCs w:val="24"/>
        </w:rPr>
        <w:t>, Anetta Härtlova</w:t>
      </w:r>
      <w:r w:rsidRPr="00F46905">
        <w:rPr>
          <w:rFonts w:cstheme="minorHAnsi"/>
          <w:b/>
          <w:sz w:val="24"/>
          <w:szCs w:val="24"/>
          <w:vertAlign w:val="superscript"/>
        </w:rPr>
        <w:t>1,2,3*</w:t>
      </w:r>
      <w:r w:rsidRPr="00F46905">
        <w:rPr>
          <w:rFonts w:cstheme="minorHAnsi"/>
          <w:b/>
          <w:sz w:val="24"/>
          <w:szCs w:val="24"/>
        </w:rPr>
        <w:t>, Matthias Trost</w:t>
      </w:r>
      <w:r w:rsidRPr="00F46905">
        <w:rPr>
          <w:rFonts w:cstheme="minorHAnsi"/>
          <w:b/>
          <w:sz w:val="24"/>
          <w:szCs w:val="24"/>
          <w:vertAlign w:val="superscript"/>
        </w:rPr>
        <w:t>1,3*</w:t>
      </w:r>
    </w:p>
    <w:p w14:paraId="619E4977" w14:textId="77777777" w:rsidR="00247779" w:rsidRPr="00615236" w:rsidRDefault="00247779" w:rsidP="00247779">
      <w:pPr>
        <w:rPr>
          <w:rFonts w:cstheme="minorHAnsi"/>
          <w:bCs/>
          <w:sz w:val="24"/>
          <w:szCs w:val="24"/>
        </w:rPr>
      </w:pPr>
      <w:r w:rsidRPr="00615236">
        <w:rPr>
          <w:rFonts w:cstheme="minorHAnsi"/>
          <w:bCs/>
          <w:sz w:val="24"/>
          <w:szCs w:val="24"/>
          <w:vertAlign w:val="superscript"/>
        </w:rPr>
        <w:t>1</w:t>
      </w:r>
      <w:r w:rsidRPr="00615236">
        <w:rPr>
          <w:rFonts w:cstheme="minorHAnsi"/>
          <w:bCs/>
          <w:sz w:val="24"/>
          <w:szCs w:val="24"/>
        </w:rPr>
        <w:t>Biosciences Institute, Newcastle University, Newcastle upon Tyne, UK.</w:t>
      </w:r>
    </w:p>
    <w:p w14:paraId="10754D40" w14:textId="77777777" w:rsidR="00247779" w:rsidRPr="00615236" w:rsidRDefault="00247779" w:rsidP="00247779">
      <w:pPr>
        <w:rPr>
          <w:rFonts w:cstheme="minorHAnsi"/>
          <w:bCs/>
          <w:sz w:val="24"/>
          <w:szCs w:val="24"/>
        </w:rPr>
      </w:pPr>
      <w:r w:rsidRPr="00615236">
        <w:rPr>
          <w:rFonts w:cstheme="minorHAnsi"/>
          <w:bCs/>
          <w:sz w:val="24"/>
          <w:szCs w:val="24"/>
          <w:vertAlign w:val="superscript"/>
        </w:rPr>
        <w:t>2</w:t>
      </w:r>
      <w:r w:rsidRPr="00615236">
        <w:rPr>
          <w:rFonts w:cstheme="minorHAnsi"/>
          <w:bCs/>
          <w:sz w:val="24"/>
          <w:szCs w:val="24"/>
        </w:rPr>
        <w:t>Wallenberg Centre for Molecular and Translational Medicine, Department of Microbiology and Immunology at Institute of Biomedicine, University of Gothenburg, Gothenburg, Sweden.</w:t>
      </w:r>
    </w:p>
    <w:p w14:paraId="7F213CC1" w14:textId="77777777" w:rsidR="00247779" w:rsidRPr="00615236" w:rsidRDefault="00247779" w:rsidP="00247779">
      <w:pPr>
        <w:rPr>
          <w:rFonts w:cstheme="minorHAnsi"/>
          <w:bCs/>
          <w:sz w:val="24"/>
          <w:szCs w:val="24"/>
        </w:rPr>
      </w:pPr>
      <w:r w:rsidRPr="00615236">
        <w:rPr>
          <w:rFonts w:cstheme="minorHAnsi"/>
          <w:bCs/>
          <w:sz w:val="24"/>
          <w:szCs w:val="24"/>
          <w:vertAlign w:val="superscript"/>
        </w:rPr>
        <w:t>3</w:t>
      </w:r>
      <w:r w:rsidRPr="00615236">
        <w:rPr>
          <w:rFonts w:cstheme="minorHAnsi"/>
          <w:bCs/>
          <w:sz w:val="24"/>
          <w:szCs w:val="24"/>
        </w:rPr>
        <w:t>MRC Protein Phosphorylation and Ubiquitylation Unit, University of Dundee, Dundee, Scotland, UK</w:t>
      </w:r>
    </w:p>
    <w:p w14:paraId="3924B445" w14:textId="77777777" w:rsidR="00247779" w:rsidRPr="00615236" w:rsidRDefault="00247779" w:rsidP="00247779">
      <w:pPr>
        <w:rPr>
          <w:rFonts w:cstheme="minorHAnsi"/>
          <w:bCs/>
          <w:sz w:val="24"/>
          <w:szCs w:val="24"/>
        </w:rPr>
      </w:pPr>
      <w:r w:rsidRPr="00615236">
        <w:rPr>
          <w:rFonts w:cstheme="minorHAnsi"/>
          <w:bCs/>
          <w:sz w:val="24"/>
          <w:szCs w:val="24"/>
          <w:vertAlign w:val="superscript"/>
        </w:rPr>
        <w:t>4</w:t>
      </w:r>
      <w:r w:rsidRPr="00615236">
        <w:rPr>
          <w:rFonts w:cstheme="minorHAnsi"/>
          <w:bCs/>
          <w:sz w:val="24"/>
          <w:szCs w:val="24"/>
        </w:rPr>
        <w:t>Newcastle Fibrosis Research Group, Newcastle University, Newcastle upon Tyne, UK.</w:t>
      </w:r>
    </w:p>
    <w:p w14:paraId="50249428" w14:textId="77777777" w:rsidR="00247779" w:rsidRDefault="00247779" w:rsidP="00247779">
      <w:pPr>
        <w:rPr>
          <w:rFonts w:cstheme="minorHAnsi"/>
          <w:sz w:val="24"/>
          <w:szCs w:val="24"/>
        </w:rPr>
      </w:pPr>
      <w:r w:rsidRPr="00615236">
        <w:rPr>
          <w:rFonts w:cstheme="minorHAnsi"/>
          <w:sz w:val="24"/>
          <w:szCs w:val="24"/>
          <w:vertAlign w:val="superscript"/>
        </w:rPr>
        <w:t>5</w:t>
      </w:r>
      <w:r w:rsidRPr="00615236">
        <w:rPr>
          <w:rFonts w:cstheme="minorHAnsi"/>
          <w:sz w:val="24"/>
          <w:szCs w:val="24"/>
        </w:rPr>
        <w:t>Leicester Institute of Structural and Chemical Biology, University of Leicester, Leicester, United Kingdom</w:t>
      </w:r>
    </w:p>
    <w:p w14:paraId="26549B40" w14:textId="77777777" w:rsidR="00247779" w:rsidRPr="003B15FB" w:rsidRDefault="00247779" w:rsidP="00247779">
      <w:pPr>
        <w:rPr>
          <w:rFonts w:cstheme="minorHAnsi"/>
          <w:bCs/>
          <w:sz w:val="24"/>
          <w:szCs w:val="24"/>
        </w:rPr>
      </w:pPr>
      <w:r w:rsidRPr="003B15FB">
        <w:rPr>
          <w:rFonts w:cstheme="minorHAnsi"/>
          <w:bCs/>
          <w:sz w:val="24"/>
          <w:szCs w:val="24"/>
          <w:vertAlign w:val="superscript"/>
        </w:rPr>
        <w:t>6</w:t>
      </w:r>
      <w:r w:rsidRPr="003B15FB">
        <w:rPr>
          <w:rFonts w:cstheme="minorHAnsi"/>
          <w:bCs/>
          <w:sz w:val="24"/>
          <w:szCs w:val="24"/>
        </w:rPr>
        <w:t>Department of Molecular and Cell Biology, University of Leicester, Leicester, United Kingdom</w:t>
      </w:r>
    </w:p>
    <w:p w14:paraId="16D49C20" w14:textId="77777777" w:rsidR="00247779" w:rsidRPr="00615236" w:rsidRDefault="00247779" w:rsidP="00247779">
      <w:pPr>
        <w:rPr>
          <w:rFonts w:cstheme="minorHAnsi"/>
          <w:bCs/>
          <w:sz w:val="24"/>
          <w:szCs w:val="24"/>
        </w:rPr>
      </w:pPr>
    </w:p>
    <w:p w14:paraId="7576421A" w14:textId="77777777" w:rsidR="00247779" w:rsidRPr="00615236" w:rsidRDefault="00247779" w:rsidP="00247779">
      <w:pPr>
        <w:rPr>
          <w:rFonts w:cstheme="minorHAnsi"/>
          <w:bCs/>
          <w:sz w:val="24"/>
          <w:szCs w:val="24"/>
        </w:rPr>
      </w:pPr>
      <w:r w:rsidRPr="00615236">
        <w:rPr>
          <w:rFonts w:cstheme="minorHAnsi"/>
          <w:bCs/>
          <w:sz w:val="24"/>
          <w:szCs w:val="24"/>
        </w:rPr>
        <w:t xml:space="preserve">*Correspondence to: </w:t>
      </w:r>
    </w:p>
    <w:p w14:paraId="54D2CE6A" w14:textId="77777777" w:rsidR="00247779" w:rsidRPr="00615236" w:rsidRDefault="00247779" w:rsidP="00247779">
      <w:pPr>
        <w:rPr>
          <w:rFonts w:cstheme="minorHAnsi"/>
          <w:bCs/>
          <w:sz w:val="24"/>
          <w:szCs w:val="24"/>
        </w:rPr>
      </w:pPr>
      <w:r w:rsidRPr="00615236">
        <w:rPr>
          <w:rFonts w:cstheme="minorHAnsi"/>
          <w:bCs/>
          <w:sz w:val="24"/>
          <w:szCs w:val="24"/>
        </w:rPr>
        <w:t xml:space="preserve">Matthias Trost, Biosciences Institute, Newcastle University, Newcastle upon Tyne, UK. </w:t>
      </w:r>
      <w:hyperlink r:id="rId6" w:history="1">
        <w:r w:rsidRPr="00615236">
          <w:rPr>
            <w:rStyle w:val="Hyperlink"/>
            <w:rFonts w:cstheme="minorHAnsi"/>
            <w:bCs/>
            <w:sz w:val="24"/>
            <w:szCs w:val="24"/>
          </w:rPr>
          <w:t>matthias.trost@ncl.ac.uk</w:t>
        </w:r>
      </w:hyperlink>
    </w:p>
    <w:p w14:paraId="364592CC" w14:textId="77777777" w:rsidR="00247779" w:rsidRPr="00615236" w:rsidRDefault="00247779" w:rsidP="00247779">
      <w:pPr>
        <w:rPr>
          <w:rFonts w:cstheme="minorHAnsi"/>
          <w:bCs/>
          <w:sz w:val="24"/>
          <w:szCs w:val="24"/>
        </w:rPr>
      </w:pPr>
      <w:r w:rsidRPr="00615236">
        <w:rPr>
          <w:rFonts w:cstheme="minorHAnsi"/>
          <w:bCs/>
          <w:sz w:val="24"/>
          <w:szCs w:val="24"/>
        </w:rPr>
        <w:t xml:space="preserve">Anetta Härtlova, Wallenberg Centre for Molecular and Translational Medicine, University of Gothenburg, Gothenburg, Sweden.  </w:t>
      </w:r>
      <w:hyperlink r:id="rId7" w:history="1">
        <w:r w:rsidRPr="00615236">
          <w:rPr>
            <w:rStyle w:val="Hyperlink"/>
            <w:rFonts w:cstheme="minorHAnsi"/>
            <w:bCs/>
            <w:sz w:val="24"/>
            <w:szCs w:val="24"/>
          </w:rPr>
          <w:t>anetta.hartlova@gu.se</w:t>
        </w:r>
      </w:hyperlink>
    </w:p>
    <w:p w14:paraId="7FDEB3FA" w14:textId="7BDC6C98" w:rsidR="00247779" w:rsidRDefault="00247779">
      <w:r>
        <w:br w:type="page"/>
      </w:r>
    </w:p>
    <w:p w14:paraId="138A280F" w14:textId="77777777" w:rsidR="003A61FC" w:rsidRPr="0046257C" w:rsidRDefault="003A61FC" w:rsidP="003A61FC">
      <w:pPr>
        <w:rPr>
          <w:rFonts w:cstheme="minorHAnsi"/>
          <w:b/>
          <w:bCs/>
          <w:noProof/>
          <w:u w:val="single"/>
          <w:lang w:eastAsia="en-GB"/>
        </w:rPr>
      </w:pPr>
      <w:r w:rsidRPr="0046257C">
        <w:rPr>
          <w:rFonts w:cstheme="minorHAnsi"/>
          <w:b/>
          <w:bCs/>
          <w:noProof/>
          <w:u w:val="single"/>
          <w:lang w:eastAsia="en-GB"/>
        </w:rPr>
        <w:lastRenderedPageBreak/>
        <w:t>Contents:</w:t>
      </w:r>
    </w:p>
    <w:tbl>
      <w:tblPr>
        <w:tblStyle w:val="TableGrid"/>
        <w:tblW w:w="0" w:type="auto"/>
        <w:tblLook w:val="04A0" w:firstRow="1" w:lastRow="0" w:firstColumn="1" w:lastColumn="0" w:noHBand="0" w:noVBand="1"/>
      </w:tblPr>
      <w:tblGrid>
        <w:gridCol w:w="2405"/>
        <w:gridCol w:w="6611"/>
      </w:tblGrid>
      <w:tr w:rsidR="003A61FC" w14:paraId="685B6F37" w14:textId="77777777" w:rsidTr="005C7FD0">
        <w:tc>
          <w:tcPr>
            <w:tcW w:w="2405" w:type="dxa"/>
          </w:tcPr>
          <w:p w14:paraId="362F7335" w14:textId="77777777" w:rsidR="003A61FC" w:rsidRPr="0046257C" w:rsidRDefault="003A61FC" w:rsidP="005C7FD0">
            <w:pPr>
              <w:rPr>
                <w:rFonts w:cstheme="minorHAnsi"/>
                <w:b/>
                <w:bCs/>
                <w:noProof/>
                <w:lang w:eastAsia="en-GB"/>
              </w:rPr>
            </w:pPr>
            <w:r w:rsidRPr="0046257C">
              <w:rPr>
                <w:rFonts w:cstheme="minorHAnsi"/>
                <w:b/>
                <w:bCs/>
                <w:noProof/>
                <w:lang w:eastAsia="en-GB"/>
              </w:rPr>
              <w:t>Figure Number</w:t>
            </w:r>
          </w:p>
        </w:tc>
        <w:tc>
          <w:tcPr>
            <w:tcW w:w="6611" w:type="dxa"/>
          </w:tcPr>
          <w:p w14:paraId="55639517" w14:textId="77777777" w:rsidR="003A61FC" w:rsidRPr="0046257C" w:rsidRDefault="003A61FC" w:rsidP="005C7FD0">
            <w:pPr>
              <w:rPr>
                <w:rFonts w:cstheme="minorHAnsi"/>
                <w:b/>
                <w:bCs/>
              </w:rPr>
            </w:pPr>
            <w:r>
              <w:rPr>
                <w:rFonts w:cstheme="minorHAnsi"/>
                <w:b/>
                <w:bCs/>
              </w:rPr>
              <w:t xml:space="preserve">Figure </w:t>
            </w:r>
            <w:r w:rsidRPr="0046257C">
              <w:rPr>
                <w:rFonts w:cstheme="minorHAnsi"/>
                <w:b/>
                <w:bCs/>
              </w:rPr>
              <w:t>Title</w:t>
            </w:r>
          </w:p>
        </w:tc>
      </w:tr>
      <w:tr w:rsidR="003A61FC" w14:paraId="7E87E30C" w14:textId="77777777" w:rsidTr="005C7FD0">
        <w:tc>
          <w:tcPr>
            <w:tcW w:w="2405" w:type="dxa"/>
          </w:tcPr>
          <w:p w14:paraId="16C68559" w14:textId="5BDCCF78" w:rsidR="003A61FC" w:rsidRDefault="003A61FC" w:rsidP="005C7FD0">
            <w:pPr>
              <w:rPr>
                <w:rFonts w:cstheme="minorHAnsi"/>
                <w:noProof/>
                <w:lang w:eastAsia="en-GB"/>
              </w:rPr>
            </w:pPr>
            <w:r>
              <w:rPr>
                <w:rFonts w:cstheme="minorHAnsi"/>
                <w:noProof/>
                <w:lang w:eastAsia="en-GB"/>
              </w:rPr>
              <w:t xml:space="preserve">Appendix Figure </w:t>
            </w:r>
            <w:r w:rsidR="0046603F">
              <w:rPr>
                <w:rFonts w:cstheme="minorHAnsi"/>
                <w:noProof/>
                <w:lang w:eastAsia="en-GB"/>
              </w:rPr>
              <w:t>S</w:t>
            </w:r>
            <w:r>
              <w:rPr>
                <w:rFonts w:cstheme="minorHAnsi"/>
                <w:noProof/>
                <w:lang w:eastAsia="en-GB"/>
              </w:rPr>
              <w:t>1</w:t>
            </w:r>
          </w:p>
        </w:tc>
        <w:tc>
          <w:tcPr>
            <w:tcW w:w="6611" w:type="dxa"/>
          </w:tcPr>
          <w:p w14:paraId="58F65E2E" w14:textId="77777777" w:rsidR="003A61FC" w:rsidRPr="0046257C" w:rsidRDefault="003A61FC" w:rsidP="005C7FD0">
            <w:pPr>
              <w:rPr>
                <w:rFonts w:cstheme="minorHAnsi"/>
                <w:noProof/>
                <w:lang w:eastAsia="en-GB"/>
              </w:rPr>
            </w:pPr>
            <w:r w:rsidRPr="0046257C">
              <w:rPr>
                <w:rFonts w:cstheme="minorHAnsi"/>
              </w:rPr>
              <w:t>Phagosomal ubiquitylation is almost entirely cytoplasmic.</w:t>
            </w:r>
          </w:p>
        </w:tc>
      </w:tr>
      <w:tr w:rsidR="003A61FC" w14:paraId="33A9560B" w14:textId="77777777" w:rsidTr="005C7FD0">
        <w:tc>
          <w:tcPr>
            <w:tcW w:w="2405" w:type="dxa"/>
          </w:tcPr>
          <w:p w14:paraId="3E1E497B" w14:textId="0434779A" w:rsidR="003A61FC" w:rsidRDefault="003A61FC" w:rsidP="005C7FD0">
            <w:pPr>
              <w:rPr>
                <w:rFonts w:cstheme="minorHAnsi"/>
                <w:noProof/>
                <w:lang w:eastAsia="en-GB"/>
              </w:rPr>
            </w:pPr>
            <w:r>
              <w:rPr>
                <w:rFonts w:cstheme="minorHAnsi"/>
                <w:noProof/>
                <w:lang w:eastAsia="en-GB"/>
              </w:rPr>
              <w:t xml:space="preserve">Appendix Figure </w:t>
            </w:r>
            <w:r w:rsidR="0046603F">
              <w:rPr>
                <w:rFonts w:cstheme="minorHAnsi"/>
                <w:noProof/>
                <w:lang w:eastAsia="en-GB"/>
              </w:rPr>
              <w:t>S</w:t>
            </w:r>
            <w:r>
              <w:rPr>
                <w:rFonts w:cstheme="minorHAnsi"/>
                <w:noProof/>
                <w:lang w:eastAsia="en-GB"/>
              </w:rPr>
              <w:t>2</w:t>
            </w:r>
          </w:p>
        </w:tc>
        <w:tc>
          <w:tcPr>
            <w:tcW w:w="6611" w:type="dxa"/>
          </w:tcPr>
          <w:p w14:paraId="2AF5D2EB" w14:textId="77777777" w:rsidR="003A61FC" w:rsidRPr="0046257C" w:rsidRDefault="003A61FC" w:rsidP="005C7FD0">
            <w:pPr>
              <w:rPr>
                <w:rFonts w:cstheme="minorHAnsi"/>
                <w:noProof/>
                <w:lang w:eastAsia="en-GB"/>
              </w:rPr>
            </w:pPr>
            <w:r w:rsidRPr="0046257C">
              <w:rPr>
                <w:rFonts w:cstheme="minorHAnsi"/>
              </w:rPr>
              <w:t>To account for people with red-green colour-blindness, we have represented Figure 1I in a magenta/cyan/yellow version.</w:t>
            </w:r>
          </w:p>
        </w:tc>
      </w:tr>
      <w:tr w:rsidR="003A61FC" w14:paraId="79AE95AA" w14:textId="77777777" w:rsidTr="005C7FD0">
        <w:tc>
          <w:tcPr>
            <w:tcW w:w="2405" w:type="dxa"/>
          </w:tcPr>
          <w:p w14:paraId="0256A137" w14:textId="7B041A91" w:rsidR="003A61FC" w:rsidRDefault="003A61FC" w:rsidP="005C7FD0">
            <w:pPr>
              <w:rPr>
                <w:rFonts w:cstheme="minorHAnsi"/>
                <w:noProof/>
                <w:lang w:eastAsia="en-GB"/>
              </w:rPr>
            </w:pPr>
            <w:r>
              <w:rPr>
                <w:rFonts w:cstheme="minorHAnsi"/>
                <w:noProof/>
                <w:lang w:eastAsia="en-GB"/>
              </w:rPr>
              <w:t xml:space="preserve">Appendix Figure </w:t>
            </w:r>
            <w:r w:rsidR="0046603F">
              <w:rPr>
                <w:rFonts w:cstheme="minorHAnsi"/>
                <w:noProof/>
                <w:lang w:eastAsia="en-GB"/>
              </w:rPr>
              <w:t>S</w:t>
            </w:r>
            <w:r>
              <w:rPr>
                <w:rFonts w:cstheme="minorHAnsi"/>
                <w:noProof/>
                <w:lang w:eastAsia="en-GB"/>
              </w:rPr>
              <w:t>3</w:t>
            </w:r>
          </w:p>
        </w:tc>
        <w:tc>
          <w:tcPr>
            <w:tcW w:w="6611" w:type="dxa"/>
          </w:tcPr>
          <w:p w14:paraId="50737DD1" w14:textId="77777777" w:rsidR="003A61FC" w:rsidRPr="0046257C" w:rsidRDefault="003A61FC" w:rsidP="005C7FD0">
            <w:pPr>
              <w:rPr>
                <w:rFonts w:cstheme="minorHAnsi"/>
                <w:noProof/>
                <w:lang w:eastAsia="en-GB"/>
              </w:rPr>
            </w:pPr>
            <w:r w:rsidRPr="0046257C">
              <w:rPr>
                <w:rFonts w:cstheme="minorHAnsi"/>
              </w:rPr>
              <w:t xml:space="preserve">Ubiquitylation of vesicle trafficking proteins and TAB2-TUBE pulldown of ubiquitylated phagosomal proteins. </w:t>
            </w:r>
          </w:p>
        </w:tc>
      </w:tr>
      <w:tr w:rsidR="003A61FC" w14:paraId="4E62E22A" w14:textId="77777777" w:rsidTr="005C7FD0">
        <w:tc>
          <w:tcPr>
            <w:tcW w:w="2405" w:type="dxa"/>
          </w:tcPr>
          <w:p w14:paraId="39B08A54" w14:textId="06CEB017" w:rsidR="003A61FC" w:rsidRDefault="003A61FC" w:rsidP="005C7FD0">
            <w:pPr>
              <w:rPr>
                <w:rFonts w:cstheme="minorHAnsi"/>
                <w:noProof/>
                <w:lang w:eastAsia="en-GB"/>
              </w:rPr>
            </w:pPr>
            <w:r>
              <w:rPr>
                <w:rFonts w:cstheme="minorHAnsi"/>
                <w:noProof/>
                <w:lang w:eastAsia="en-GB"/>
              </w:rPr>
              <w:t xml:space="preserve">Appendix Figure </w:t>
            </w:r>
            <w:r w:rsidR="0046603F">
              <w:rPr>
                <w:rFonts w:cstheme="minorHAnsi"/>
                <w:noProof/>
                <w:lang w:eastAsia="en-GB"/>
              </w:rPr>
              <w:t>S</w:t>
            </w:r>
            <w:r>
              <w:rPr>
                <w:rFonts w:cstheme="minorHAnsi"/>
                <w:noProof/>
                <w:lang w:eastAsia="en-GB"/>
              </w:rPr>
              <w:t>4</w:t>
            </w:r>
          </w:p>
        </w:tc>
        <w:tc>
          <w:tcPr>
            <w:tcW w:w="6611" w:type="dxa"/>
          </w:tcPr>
          <w:p w14:paraId="44B77DD3" w14:textId="77777777" w:rsidR="003A61FC" w:rsidRPr="0046257C" w:rsidRDefault="003A61FC" w:rsidP="005C7FD0">
            <w:pPr>
              <w:rPr>
                <w:rFonts w:cstheme="minorHAnsi"/>
                <w:noProof/>
                <w:lang w:eastAsia="en-GB"/>
              </w:rPr>
            </w:pPr>
            <w:r w:rsidRPr="0046257C">
              <w:rPr>
                <w:rFonts w:cstheme="minorHAnsi"/>
              </w:rPr>
              <w:t>Phagosomal RNF115.</w:t>
            </w:r>
          </w:p>
        </w:tc>
      </w:tr>
      <w:tr w:rsidR="003A61FC" w14:paraId="7ECEE4E2" w14:textId="77777777" w:rsidTr="005C7FD0">
        <w:tc>
          <w:tcPr>
            <w:tcW w:w="2405" w:type="dxa"/>
          </w:tcPr>
          <w:p w14:paraId="428B4F48" w14:textId="731372D5" w:rsidR="003A61FC" w:rsidRDefault="003A61FC" w:rsidP="005C7FD0">
            <w:pPr>
              <w:rPr>
                <w:rFonts w:cstheme="minorHAnsi"/>
                <w:noProof/>
                <w:lang w:eastAsia="en-GB"/>
              </w:rPr>
            </w:pPr>
            <w:r>
              <w:rPr>
                <w:rFonts w:cstheme="minorHAnsi"/>
                <w:noProof/>
                <w:lang w:eastAsia="en-GB"/>
              </w:rPr>
              <w:t xml:space="preserve">Appendix Figure </w:t>
            </w:r>
            <w:r w:rsidR="0046603F">
              <w:rPr>
                <w:rFonts w:cstheme="minorHAnsi"/>
                <w:noProof/>
                <w:lang w:eastAsia="en-GB"/>
              </w:rPr>
              <w:t>S</w:t>
            </w:r>
            <w:r>
              <w:rPr>
                <w:rFonts w:cstheme="minorHAnsi"/>
                <w:noProof/>
                <w:lang w:eastAsia="en-GB"/>
              </w:rPr>
              <w:t>5</w:t>
            </w:r>
          </w:p>
        </w:tc>
        <w:tc>
          <w:tcPr>
            <w:tcW w:w="6611" w:type="dxa"/>
          </w:tcPr>
          <w:p w14:paraId="756D57D1" w14:textId="77777777" w:rsidR="003A61FC" w:rsidRPr="0046257C" w:rsidRDefault="003A61FC" w:rsidP="005C7FD0">
            <w:pPr>
              <w:rPr>
                <w:rFonts w:cstheme="minorHAnsi"/>
                <w:noProof/>
                <w:lang w:eastAsia="en-GB"/>
              </w:rPr>
            </w:pPr>
            <w:r w:rsidRPr="0046257C">
              <w:rPr>
                <w:rFonts w:cstheme="minorHAnsi"/>
              </w:rPr>
              <w:t>To account for people with red-green colour-blindness, we have represented Figure 5C in a magenta/cyan/yellow version.</w:t>
            </w:r>
          </w:p>
        </w:tc>
      </w:tr>
      <w:tr w:rsidR="003A61FC" w14:paraId="7B2B78B3" w14:textId="77777777" w:rsidTr="005C7FD0">
        <w:tc>
          <w:tcPr>
            <w:tcW w:w="2405" w:type="dxa"/>
          </w:tcPr>
          <w:p w14:paraId="622FAAF6" w14:textId="4670C457" w:rsidR="003A61FC" w:rsidRDefault="003A61FC" w:rsidP="005C7FD0">
            <w:pPr>
              <w:rPr>
                <w:rFonts w:cstheme="minorHAnsi"/>
                <w:noProof/>
                <w:lang w:eastAsia="en-GB"/>
              </w:rPr>
            </w:pPr>
            <w:r>
              <w:rPr>
                <w:rFonts w:cstheme="minorHAnsi"/>
                <w:noProof/>
                <w:lang w:eastAsia="en-GB"/>
              </w:rPr>
              <w:t xml:space="preserve">Appendix Figure </w:t>
            </w:r>
            <w:r w:rsidR="0046603F">
              <w:rPr>
                <w:rFonts w:cstheme="minorHAnsi"/>
                <w:noProof/>
                <w:lang w:eastAsia="en-GB"/>
              </w:rPr>
              <w:t>S</w:t>
            </w:r>
            <w:r>
              <w:rPr>
                <w:rFonts w:cstheme="minorHAnsi"/>
                <w:noProof/>
                <w:lang w:eastAsia="en-GB"/>
              </w:rPr>
              <w:t>6</w:t>
            </w:r>
          </w:p>
        </w:tc>
        <w:tc>
          <w:tcPr>
            <w:tcW w:w="6611" w:type="dxa"/>
          </w:tcPr>
          <w:p w14:paraId="59BE78C1" w14:textId="77777777" w:rsidR="003A61FC" w:rsidRPr="0046257C" w:rsidRDefault="003A61FC" w:rsidP="005C7FD0">
            <w:pPr>
              <w:rPr>
                <w:rFonts w:cstheme="minorHAnsi"/>
                <w:noProof/>
                <w:lang w:eastAsia="en-GB"/>
              </w:rPr>
            </w:pPr>
            <w:r w:rsidRPr="0046257C">
              <w:rPr>
                <w:rFonts w:cstheme="minorHAnsi"/>
              </w:rPr>
              <w:t>Loss of RNF115 does not affect phagocytosis.</w:t>
            </w:r>
          </w:p>
        </w:tc>
      </w:tr>
      <w:tr w:rsidR="003A61FC" w14:paraId="18F769A0" w14:textId="77777777" w:rsidTr="005C7FD0">
        <w:tc>
          <w:tcPr>
            <w:tcW w:w="2405" w:type="dxa"/>
          </w:tcPr>
          <w:p w14:paraId="4DC25D25" w14:textId="329C3BD6" w:rsidR="003A61FC" w:rsidRDefault="003A61FC" w:rsidP="005C7FD0">
            <w:pPr>
              <w:rPr>
                <w:rFonts w:cstheme="minorHAnsi"/>
                <w:noProof/>
                <w:lang w:eastAsia="en-GB"/>
              </w:rPr>
            </w:pPr>
            <w:r>
              <w:rPr>
                <w:rFonts w:cstheme="minorHAnsi"/>
                <w:noProof/>
                <w:lang w:eastAsia="en-GB"/>
              </w:rPr>
              <w:t xml:space="preserve">Appendix Figure </w:t>
            </w:r>
            <w:r w:rsidR="0046603F">
              <w:rPr>
                <w:rFonts w:cstheme="minorHAnsi"/>
                <w:noProof/>
                <w:lang w:eastAsia="en-GB"/>
              </w:rPr>
              <w:t>S</w:t>
            </w:r>
            <w:r>
              <w:rPr>
                <w:rFonts w:cstheme="minorHAnsi"/>
                <w:noProof/>
                <w:lang w:eastAsia="en-GB"/>
              </w:rPr>
              <w:t>7</w:t>
            </w:r>
          </w:p>
        </w:tc>
        <w:tc>
          <w:tcPr>
            <w:tcW w:w="6611" w:type="dxa"/>
          </w:tcPr>
          <w:p w14:paraId="347C207F" w14:textId="77777777" w:rsidR="003A61FC" w:rsidRPr="0046257C" w:rsidRDefault="003A61FC" w:rsidP="005C7FD0">
            <w:pPr>
              <w:rPr>
                <w:rFonts w:cstheme="minorHAnsi"/>
                <w:noProof/>
                <w:lang w:eastAsia="en-GB"/>
              </w:rPr>
            </w:pPr>
            <w:r w:rsidRPr="0046257C">
              <w:rPr>
                <w:rFonts w:cstheme="minorHAnsi"/>
              </w:rPr>
              <w:t>Proteomics intensity data of MAVS and STING proteins in BMDMs.</w:t>
            </w:r>
          </w:p>
        </w:tc>
      </w:tr>
    </w:tbl>
    <w:p w14:paraId="669BEF85" w14:textId="77777777" w:rsidR="003A61FC" w:rsidRDefault="003A61FC" w:rsidP="003A61FC">
      <w:pPr>
        <w:rPr>
          <w:rFonts w:cstheme="minorHAnsi"/>
          <w:noProof/>
          <w:lang w:eastAsia="en-GB"/>
        </w:rPr>
      </w:pPr>
    </w:p>
    <w:p w14:paraId="0740BDB3" w14:textId="77777777" w:rsidR="003A61FC" w:rsidRDefault="003A61FC" w:rsidP="003A61FC">
      <w:pPr>
        <w:rPr>
          <w:rFonts w:cstheme="minorHAnsi"/>
          <w:noProof/>
          <w:lang w:eastAsia="en-GB"/>
        </w:rPr>
      </w:pPr>
    </w:p>
    <w:p w14:paraId="3E3110A7" w14:textId="77777777" w:rsidR="003A61FC" w:rsidRDefault="003A61FC">
      <w:pPr>
        <w:rPr>
          <w:rFonts w:cstheme="minorHAnsi"/>
        </w:rPr>
      </w:pPr>
      <w:r>
        <w:rPr>
          <w:rFonts w:cstheme="minorHAnsi"/>
        </w:rPr>
        <w:br w:type="page"/>
      </w:r>
    </w:p>
    <w:p w14:paraId="54D52A9A" w14:textId="34691400" w:rsidR="00247779" w:rsidRPr="00615236" w:rsidRDefault="008872A1" w:rsidP="00247779">
      <w:pPr>
        <w:rPr>
          <w:rFonts w:cstheme="minorHAnsi"/>
        </w:rPr>
      </w:pPr>
      <w:r>
        <w:rPr>
          <w:rFonts w:cstheme="minorHAnsi"/>
          <w:noProof/>
          <w:lang w:eastAsia="en-GB"/>
        </w:rPr>
        <w:drawing>
          <wp:inline distT="0" distB="0" distL="0" distR="0" wp14:anchorId="7FA5F591" wp14:editId="5430A530">
            <wp:extent cx="5731510" cy="541845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EV1 100922.tif"/>
                    <pic:cNvPicPr/>
                  </pic:nvPicPr>
                  <pic:blipFill rotWithShape="1">
                    <a:blip r:embed="rId8" cstate="print">
                      <a:extLst>
                        <a:ext uri="{28A0092B-C50C-407E-A947-70E740481C1C}">
                          <a14:useLocalDpi xmlns:a14="http://schemas.microsoft.com/office/drawing/2010/main" val="0"/>
                        </a:ext>
                      </a:extLst>
                    </a:blip>
                    <a:srcRect t="4209"/>
                    <a:stretch/>
                  </pic:blipFill>
                  <pic:spPr bwMode="auto">
                    <a:xfrm>
                      <a:off x="0" y="0"/>
                      <a:ext cx="5731510" cy="5418455"/>
                    </a:xfrm>
                    <a:prstGeom prst="rect">
                      <a:avLst/>
                    </a:prstGeom>
                    <a:ln>
                      <a:noFill/>
                    </a:ln>
                    <a:extLst>
                      <a:ext uri="{53640926-AAD7-44D8-BBD7-CCE9431645EC}">
                        <a14:shadowObscured xmlns:a14="http://schemas.microsoft.com/office/drawing/2010/main"/>
                      </a:ext>
                    </a:extLst>
                  </pic:spPr>
                </pic:pic>
              </a:graphicData>
            </a:graphic>
          </wp:inline>
        </w:drawing>
      </w:r>
    </w:p>
    <w:p w14:paraId="10D0484A" w14:textId="2B5E3128" w:rsidR="00247779" w:rsidRPr="00615236" w:rsidRDefault="003A61FC" w:rsidP="00247779">
      <w:pPr>
        <w:spacing w:line="276" w:lineRule="auto"/>
        <w:jc w:val="both"/>
        <w:rPr>
          <w:rFonts w:cstheme="minorHAnsi"/>
        </w:rPr>
      </w:pPr>
      <w:r>
        <w:rPr>
          <w:rFonts w:cstheme="minorHAnsi"/>
          <w:b/>
          <w:bCs/>
        </w:rPr>
        <w:t>Appendix Figure</w:t>
      </w:r>
      <w:r w:rsidR="00247779" w:rsidRPr="00615236">
        <w:rPr>
          <w:rFonts w:cstheme="minorHAnsi"/>
          <w:b/>
          <w:bCs/>
        </w:rPr>
        <w:t xml:space="preserve"> </w:t>
      </w:r>
      <w:r w:rsidR="0046603F">
        <w:rPr>
          <w:rFonts w:cstheme="minorHAnsi"/>
          <w:b/>
          <w:bCs/>
        </w:rPr>
        <w:t>S</w:t>
      </w:r>
      <w:r w:rsidR="008872A1">
        <w:rPr>
          <w:rFonts w:cstheme="minorHAnsi"/>
          <w:b/>
          <w:bCs/>
        </w:rPr>
        <w:t>1.</w:t>
      </w:r>
      <w:r w:rsidR="00247779" w:rsidRPr="00615236">
        <w:rPr>
          <w:rFonts w:cstheme="minorHAnsi"/>
          <w:b/>
          <w:bCs/>
        </w:rPr>
        <w:t xml:space="preserve"> Phagosomal ubiquitylation is almost entirely cytoplasmic.</w:t>
      </w:r>
      <w:r w:rsidR="00247779" w:rsidRPr="00615236">
        <w:rPr>
          <w:rFonts w:cstheme="minorHAnsi"/>
        </w:rPr>
        <w:t xml:space="preserve"> (A) Workflow: phagosomes were isolated and then either lysed using a detergent containing buffer or treated with increasing concentrations of (chain unspecific) USP2 to cleave off cytoplasmic ubiquitin chains. Phagosomes were then pelleted and the supernatant or the lysed pellet was analysed by Western Blot against ubiquitin</w:t>
      </w:r>
      <w:r w:rsidR="00D045C2">
        <w:rPr>
          <w:rFonts w:cstheme="minorHAnsi"/>
        </w:rPr>
        <w:t>.</w:t>
      </w:r>
      <w:r w:rsidR="00247779" w:rsidRPr="00615236">
        <w:rPr>
          <w:rFonts w:cstheme="minorHAnsi"/>
        </w:rPr>
        <w:t xml:space="preserve"> (B)</w:t>
      </w:r>
      <w:r w:rsidR="00D045C2">
        <w:rPr>
          <w:rFonts w:cstheme="minorHAnsi"/>
        </w:rPr>
        <w:t xml:space="preserve"> </w:t>
      </w:r>
      <w:r w:rsidR="004C10C4">
        <w:rPr>
          <w:rFonts w:cstheme="minorHAnsi"/>
        </w:rPr>
        <w:t xml:space="preserve">Western blot of </w:t>
      </w:r>
      <w:r w:rsidR="002849FA">
        <w:rPr>
          <w:rFonts w:cstheme="minorHAnsi"/>
        </w:rPr>
        <w:t xml:space="preserve">phagosomes treated as described in A). </w:t>
      </w:r>
      <w:r w:rsidR="00AF4328">
        <w:rPr>
          <w:rFonts w:cstheme="minorHAnsi"/>
        </w:rPr>
        <w:t>T</w:t>
      </w:r>
      <w:r w:rsidR="002849FA">
        <w:rPr>
          <w:rFonts w:cstheme="minorHAnsi"/>
        </w:rPr>
        <w:t xml:space="preserve">he data show that </w:t>
      </w:r>
      <w:r w:rsidR="0003512C">
        <w:rPr>
          <w:rFonts w:cstheme="minorHAnsi"/>
        </w:rPr>
        <w:t xml:space="preserve">increasing amounts of USP2 can remove ubiquitin chains from </w:t>
      </w:r>
      <w:r w:rsidR="00927CA1">
        <w:rPr>
          <w:rFonts w:cstheme="minorHAnsi"/>
        </w:rPr>
        <w:t>the cytoplasmic side, leaving mono ubiquitin in the supernatant</w:t>
      </w:r>
      <w:r w:rsidR="00376E40">
        <w:rPr>
          <w:rFonts w:cstheme="minorHAnsi"/>
        </w:rPr>
        <w:t xml:space="preserve"> (sup)</w:t>
      </w:r>
      <w:r w:rsidR="00927CA1">
        <w:rPr>
          <w:rFonts w:cstheme="minorHAnsi"/>
        </w:rPr>
        <w:t>. Intact phagosomes</w:t>
      </w:r>
      <w:r w:rsidR="00376E40">
        <w:rPr>
          <w:rFonts w:cstheme="minorHAnsi"/>
        </w:rPr>
        <w:t xml:space="preserve"> (in) show reducing </w:t>
      </w:r>
      <w:r w:rsidR="0047335E">
        <w:rPr>
          <w:rFonts w:cstheme="minorHAnsi"/>
        </w:rPr>
        <w:t>amounts of polyubiquitin at the same time. Lysates (</w:t>
      </w:r>
      <w:proofErr w:type="spellStart"/>
      <w:r w:rsidR="0047335E">
        <w:rPr>
          <w:rFonts w:cstheme="minorHAnsi"/>
        </w:rPr>
        <w:t>ly</w:t>
      </w:r>
      <w:proofErr w:type="spellEnd"/>
      <w:r w:rsidR="0047335E">
        <w:rPr>
          <w:rFonts w:cstheme="minorHAnsi"/>
        </w:rPr>
        <w:t xml:space="preserve">) serve as a control. </w:t>
      </w:r>
      <w:proofErr w:type="spellStart"/>
      <w:r w:rsidR="00247779" w:rsidRPr="00615236">
        <w:rPr>
          <w:rFonts w:cstheme="minorHAnsi"/>
        </w:rPr>
        <w:t>iNOS</w:t>
      </w:r>
      <w:proofErr w:type="spellEnd"/>
      <w:r w:rsidR="00247779" w:rsidRPr="00615236">
        <w:rPr>
          <w:rFonts w:cstheme="minorHAnsi"/>
        </w:rPr>
        <w:t xml:space="preserve"> serves as a control for IFN-activation. Vimentin serves as an attempt to control loading. (C) </w:t>
      </w:r>
      <w:r w:rsidR="00AF4328">
        <w:rPr>
          <w:rFonts w:cstheme="minorHAnsi"/>
        </w:rPr>
        <w:t>T</w:t>
      </w:r>
      <w:r w:rsidR="00247779" w:rsidRPr="00615236">
        <w:rPr>
          <w:rFonts w:cstheme="minorHAnsi"/>
        </w:rPr>
        <w:t xml:space="preserve">he same treatment of phagosomes with the K63-specific AMSH-LP shows that K63 chains are highly abundant on the cytoplasmic side of phagosomes. Western blots representative of two replicates. </w:t>
      </w:r>
      <w:r w:rsidR="00525D4E" w:rsidRPr="00037FEE">
        <w:rPr>
          <w:lang w:val="en-US"/>
        </w:rPr>
        <w:t xml:space="preserve">Relative mobilities of reference proteins (masses in </w:t>
      </w:r>
      <w:proofErr w:type="spellStart"/>
      <w:r w:rsidR="00525D4E" w:rsidRPr="00037FEE">
        <w:rPr>
          <w:lang w:val="en-US"/>
        </w:rPr>
        <w:t>kDa</w:t>
      </w:r>
      <w:proofErr w:type="spellEnd"/>
      <w:r w:rsidR="00525D4E" w:rsidRPr="00037FEE">
        <w:rPr>
          <w:lang w:val="en-US"/>
        </w:rPr>
        <w:t xml:space="preserve">) are shown on the </w:t>
      </w:r>
      <w:r w:rsidR="00525D4E">
        <w:rPr>
          <w:lang w:val="en-US"/>
        </w:rPr>
        <w:t>right</w:t>
      </w:r>
      <w:r w:rsidR="00525D4E" w:rsidRPr="00037FEE">
        <w:rPr>
          <w:lang w:val="en-US"/>
        </w:rPr>
        <w:t xml:space="preserve"> of each blot.</w:t>
      </w:r>
    </w:p>
    <w:p w14:paraId="2171F967" w14:textId="77777777" w:rsidR="00247779" w:rsidRPr="00615236" w:rsidRDefault="00247779" w:rsidP="00247779">
      <w:pPr>
        <w:rPr>
          <w:rFonts w:cstheme="minorHAnsi"/>
        </w:rPr>
      </w:pPr>
    </w:p>
    <w:p w14:paraId="2C79B8F0" w14:textId="77777777" w:rsidR="00247779" w:rsidRPr="00615236" w:rsidRDefault="00247779" w:rsidP="00247779">
      <w:pPr>
        <w:rPr>
          <w:rFonts w:cstheme="minorHAnsi"/>
        </w:rPr>
      </w:pPr>
    </w:p>
    <w:p w14:paraId="4F789F43" w14:textId="6E7C488D" w:rsidR="00F70E7C" w:rsidRDefault="00F70E7C" w:rsidP="00F70E7C">
      <w:pPr>
        <w:spacing w:line="276" w:lineRule="auto"/>
        <w:jc w:val="both"/>
        <w:rPr>
          <w:rFonts w:cstheme="minorHAnsi"/>
          <w:b/>
          <w:bCs/>
        </w:rPr>
      </w:pPr>
      <w:r>
        <w:rPr>
          <w:rFonts w:cstheme="minorHAnsi"/>
          <w:b/>
          <w:bCs/>
          <w:noProof/>
          <w:lang w:eastAsia="en-GB"/>
        </w:rPr>
        <w:drawing>
          <wp:inline distT="0" distB="0" distL="0" distR="0" wp14:anchorId="30F83100" wp14:editId="6098D742">
            <wp:extent cx="5731510" cy="1435735"/>
            <wp:effectExtent l="0" t="0" r="254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EV2 100922.tif"/>
                    <pic:cNvPicPr/>
                  </pic:nvPicPr>
                  <pic:blipFill rotWithShape="1">
                    <a:blip r:embed="rId9" cstate="print">
                      <a:extLst>
                        <a:ext uri="{28A0092B-C50C-407E-A947-70E740481C1C}">
                          <a14:useLocalDpi xmlns:a14="http://schemas.microsoft.com/office/drawing/2010/main" val="0"/>
                        </a:ext>
                      </a:extLst>
                    </a:blip>
                    <a:srcRect t="13238"/>
                    <a:stretch/>
                  </pic:blipFill>
                  <pic:spPr bwMode="auto">
                    <a:xfrm>
                      <a:off x="0" y="0"/>
                      <a:ext cx="5731510" cy="1435735"/>
                    </a:xfrm>
                    <a:prstGeom prst="rect">
                      <a:avLst/>
                    </a:prstGeom>
                    <a:ln>
                      <a:noFill/>
                    </a:ln>
                    <a:extLst>
                      <a:ext uri="{53640926-AAD7-44D8-BBD7-CCE9431645EC}">
                        <a14:shadowObscured xmlns:a14="http://schemas.microsoft.com/office/drawing/2010/main"/>
                      </a:ext>
                    </a:extLst>
                  </pic:spPr>
                </pic:pic>
              </a:graphicData>
            </a:graphic>
          </wp:inline>
        </w:drawing>
      </w:r>
    </w:p>
    <w:p w14:paraId="1DEBC35D" w14:textId="1FBCF2D5" w:rsidR="00F70E7C" w:rsidRDefault="003A61FC" w:rsidP="00F70E7C">
      <w:pPr>
        <w:spacing w:line="276" w:lineRule="auto"/>
        <w:jc w:val="both"/>
        <w:rPr>
          <w:rFonts w:cstheme="minorHAnsi"/>
        </w:rPr>
      </w:pPr>
      <w:r>
        <w:rPr>
          <w:rFonts w:cstheme="minorHAnsi"/>
          <w:b/>
          <w:bCs/>
        </w:rPr>
        <w:t>Appendix Figure</w:t>
      </w:r>
      <w:r w:rsidR="00F70E7C" w:rsidRPr="00615236">
        <w:rPr>
          <w:rFonts w:cstheme="minorHAnsi"/>
          <w:b/>
          <w:bCs/>
        </w:rPr>
        <w:t xml:space="preserve"> </w:t>
      </w:r>
      <w:r w:rsidR="0046603F">
        <w:rPr>
          <w:rFonts w:cstheme="minorHAnsi"/>
          <w:b/>
          <w:bCs/>
        </w:rPr>
        <w:t>S</w:t>
      </w:r>
      <w:r w:rsidR="00F70E7C">
        <w:rPr>
          <w:rFonts w:cstheme="minorHAnsi"/>
          <w:b/>
          <w:bCs/>
        </w:rPr>
        <w:t>2.</w:t>
      </w:r>
      <w:r w:rsidR="00F70E7C" w:rsidRPr="00615236">
        <w:rPr>
          <w:rFonts w:cstheme="minorHAnsi"/>
          <w:b/>
          <w:bCs/>
        </w:rPr>
        <w:t xml:space="preserve"> </w:t>
      </w:r>
      <w:r w:rsidR="00F70E7C" w:rsidRPr="00F70E7C">
        <w:rPr>
          <w:rFonts w:cstheme="minorHAnsi"/>
          <w:b/>
          <w:bCs/>
        </w:rPr>
        <w:t xml:space="preserve">To account for people with red-green colour-blindness, we have </w:t>
      </w:r>
      <w:r w:rsidR="00F70E7C">
        <w:rPr>
          <w:rFonts w:cstheme="minorHAnsi"/>
          <w:b/>
          <w:bCs/>
        </w:rPr>
        <w:t>represented Figure 1I in</w:t>
      </w:r>
      <w:r w:rsidR="00F70E7C" w:rsidRPr="00F70E7C">
        <w:rPr>
          <w:rFonts w:cstheme="minorHAnsi"/>
          <w:b/>
          <w:bCs/>
        </w:rPr>
        <w:t xml:space="preserve"> a magenta/cyan/yellow version</w:t>
      </w:r>
      <w:r w:rsidR="00F70E7C" w:rsidRPr="00615236">
        <w:rPr>
          <w:rFonts w:cstheme="minorHAnsi"/>
          <w:b/>
          <w:bCs/>
        </w:rPr>
        <w:t>.</w:t>
      </w:r>
      <w:r w:rsidR="00F70E7C">
        <w:rPr>
          <w:rFonts w:cstheme="minorHAnsi"/>
          <w:b/>
          <w:bCs/>
        </w:rPr>
        <w:t xml:space="preserve"> </w:t>
      </w:r>
      <w:r w:rsidR="00F70E7C" w:rsidRPr="00944EC3">
        <w:rPr>
          <w:rFonts w:cstheme="minorHAnsi"/>
        </w:rPr>
        <w:t>Representative immunofluorescence micrograph showing that K63 polyubiquitin</w:t>
      </w:r>
      <w:r w:rsidR="00F70E7C">
        <w:rPr>
          <w:rFonts w:cstheme="minorHAnsi"/>
        </w:rPr>
        <w:t xml:space="preserve"> (in yellow)</w:t>
      </w:r>
      <w:r w:rsidR="00F70E7C" w:rsidRPr="00944EC3">
        <w:rPr>
          <w:rFonts w:cstheme="minorHAnsi"/>
        </w:rPr>
        <w:t xml:space="preserve"> localises around the phagosome</w:t>
      </w:r>
      <w:r w:rsidR="00F70E7C">
        <w:rPr>
          <w:rFonts w:cstheme="minorHAnsi"/>
        </w:rPr>
        <w:t xml:space="preserve"> defined by Rab7 staining (in magenta), and the nuclei (in cyan).</w:t>
      </w:r>
      <w:r w:rsidR="00F70E7C" w:rsidRPr="00944EC3">
        <w:rPr>
          <w:rFonts w:cstheme="minorHAnsi"/>
        </w:rPr>
        <w:t xml:space="preserve"> Bead size</w:t>
      </w:r>
      <w:r w:rsidR="00F70E7C">
        <w:rPr>
          <w:rFonts w:cstheme="minorHAnsi"/>
        </w:rPr>
        <w:t xml:space="preserve"> (in white)</w:t>
      </w:r>
      <w:r w:rsidR="00F70E7C" w:rsidRPr="00944EC3">
        <w:rPr>
          <w:rFonts w:cstheme="minorHAnsi"/>
        </w:rPr>
        <w:t xml:space="preserve">: </w:t>
      </w:r>
      <w:r w:rsidR="00962656">
        <w:rPr>
          <w:rFonts w:cstheme="minorHAnsi"/>
        </w:rPr>
        <w:t>3</w:t>
      </w:r>
      <w:r w:rsidR="00F70E7C" w:rsidRPr="00944EC3">
        <w:rPr>
          <w:rFonts w:cstheme="minorHAnsi"/>
        </w:rPr>
        <w:t xml:space="preserve"> μm</w:t>
      </w:r>
      <w:r w:rsidR="00F70E7C">
        <w:rPr>
          <w:rFonts w:cstheme="minorHAnsi"/>
        </w:rPr>
        <w:t>.</w:t>
      </w:r>
      <w:r w:rsidR="00962656">
        <w:rPr>
          <w:rFonts w:cstheme="minorHAnsi"/>
        </w:rPr>
        <w:t xml:space="preserve"> </w:t>
      </w:r>
      <w:r w:rsidR="00962656" w:rsidRPr="00F122D0">
        <w:rPr>
          <w:rFonts w:cstheme="minorHAnsi"/>
          <w:bCs/>
        </w:rPr>
        <w:t xml:space="preserve">Scale bar is </w:t>
      </w:r>
      <w:r w:rsidR="00962656">
        <w:rPr>
          <w:rFonts w:cstheme="minorHAnsi"/>
          <w:bCs/>
        </w:rPr>
        <w:t>2</w:t>
      </w:r>
      <w:r w:rsidR="00962656" w:rsidRPr="00F122D0">
        <w:rPr>
          <w:rFonts w:cstheme="minorHAnsi"/>
          <w:bCs/>
        </w:rPr>
        <w:t xml:space="preserve"> µm.</w:t>
      </w:r>
    </w:p>
    <w:p w14:paraId="4EE40DA1" w14:textId="14E6BB06" w:rsidR="004E6519" w:rsidRDefault="004E6519">
      <w:pPr>
        <w:rPr>
          <w:rFonts w:cstheme="minorHAnsi"/>
        </w:rPr>
      </w:pPr>
      <w:r>
        <w:rPr>
          <w:rFonts w:cstheme="minorHAnsi"/>
        </w:rPr>
        <w:br w:type="page"/>
      </w:r>
    </w:p>
    <w:p w14:paraId="4A984A75" w14:textId="451EEFD8" w:rsidR="00247779" w:rsidRPr="00615236" w:rsidRDefault="00C56595" w:rsidP="00247779">
      <w:pPr>
        <w:rPr>
          <w:rFonts w:cstheme="minorHAnsi"/>
        </w:rPr>
      </w:pPr>
      <w:r>
        <w:rPr>
          <w:rFonts w:cstheme="minorHAnsi"/>
          <w:noProof/>
          <w:lang w:eastAsia="en-GB"/>
        </w:rPr>
        <w:drawing>
          <wp:inline distT="0" distB="0" distL="0" distR="0" wp14:anchorId="7FD43896" wp14:editId="1246BB24">
            <wp:extent cx="5731510" cy="2122170"/>
            <wp:effectExtent l="0" t="0" r="254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EV3 100922.tif"/>
                    <pic:cNvPicPr/>
                  </pic:nvPicPr>
                  <pic:blipFill rotWithShape="1">
                    <a:blip r:embed="rId10" cstate="print">
                      <a:extLst>
                        <a:ext uri="{28A0092B-C50C-407E-A947-70E740481C1C}">
                          <a14:useLocalDpi xmlns:a14="http://schemas.microsoft.com/office/drawing/2010/main" val="0"/>
                        </a:ext>
                      </a:extLst>
                    </a:blip>
                    <a:srcRect t="9724"/>
                    <a:stretch/>
                  </pic:blipFill>
                  <pic:spPr bwMode="auto">
                    <a:xfrm>
                      <a:off x="0" y="0"/>
                      <a:ext cx="5731510" cy="2122170"/>
                    </a:xfrm>
                    <a:prstGeom prst="rect">
                      <a:avLst/>
                    </a:prstGeom>
                    <a:ln>
                      <a:noFill/>
                    </a:ln>
                    <a:extLst>
                      <a:ext uri="{53640926-AAD7-44D8-BBD7-CCE9431645EC}">
                        <a14:shadowObscured xmlns:a14="http://schemas.microsoft.com/office/drawing/2010/main"/>
                      </a:ext>
                    </a:extLst>
                  </pic:spPr>
                </pic:pic>
              </a:graphicData>
            </a:graphic>
          </wp:inline>
        </w:drawing>
      </w:r>
    </w:p>
    <w:p w14:paraId="4F6D447E" w14:textId="36E80B9E" w:rsidR="00247779" w:rsidRDefault="003A61FC" w:rsidP="00247779">
      <w:pPr>
        <w:spacing w:line="276" w:lineRule="auto"/>
        <w:jc w:val="both"/>
        <w:rPr>
          <w:lang w:val="en-US"/>
        </w:rPr>
      </w:pPr>
      <w:r>
        <w:rPr>
          <w:rFonts w:cstheme="minorHAnsi"/>
          <w:b/>
          <w:bCs/>
        </w:rPr>
        <w:t>Appendix Figure</w:t>
      </w:r>
      <w:r w:rsidR="00525D4E" w:rsidRPr="00615236">
        <w:rPr>
          <w:rFonts w:cstheme="minorHAnsi"/>
          <w:b/>
          <w:bCs/>
        </w:rPr>
        <w:t xml:space="preserve"> </w:t>
      </w:r>
      <w:r w:rsidR="0046603F">
        <w:rPr>
          <w:rFonts w:cstheme="minorHAnsi"/>
          <w:b/>
          <w:bCs/>
        </w:rPr>
        <w:t>S</w:t>
      </w:r>
      <w:r w:rsidR="0073102C">
        <w:rPr>
          <w:rFonts w:cstheme="minorHAnsi"/>
          <w:b/>
          <w:bCs/>
        </w:rPr>
        <w:t>3</w:t>
      </w:r>
      <w:r w:rsidR="00525D4E">
        <w:rPr>
          <w:rFonts w:cstheme="minorHAnsi"/>
          <w:b/>
          <w:bCs/>
        </w:rPr>
        <w:t>.</w:t>
      </w:r>
      <w:r w:rsidR="00525D4E" w:rsidRPr="00615236">
        <w:rPr>
          <w:rFonts w:cstheme="minorHAnsi"/>
          <w:b/>
          <w:bCs/>
        </w:rPr>
        <w:t xml:space="preserve"> </w:t>
      </w:r>
      <w:r w:rsidR="00247779" w:rsidRPr="00615236">
        <w:rPr>
          <w:rFonts w:cstheme="minorHAnsi"/>
          <w:b/>
          <w:bCs/>
        </w:rPr>
        <w:t xml:space="preserve">Ubiquitylation of vesicle trafficking proteins and TAB2-TUBE pulldown of ubiquitylated phagosomal proteins. </w:t>
      </w:r>
      <w:r w:rsidR="00247779" w:rsidRPr="00615236">
        <w:rPr>
          <w:rFonts w:cstheme="minorHAnsi"/>
        </w:rPr>
        <w:t xml:space="preserve">(A) </w:t>
      </w:r>
      <w:r w:rsidR="00C56767" w:rsidRPr="00C56767">
        <w:rPr>
          <w:rFonts w:cstheme="minorHAnsi"/>
        </w:rPr>
        <w:t>Ubiquitylation sites of phagosomal SNARE proteins are almost entirely within SNARE domains, thereby this might block SNARE protein interactions</w:t>
      </w:r>
      <w:r w:rsidR="00247779" w:rsidRPr="00615236">
        <w:rPr>
          <w:rFonts w:cstheme="minorHAnsi"/>
        </w:rPr>
        <w:t xml:space="preserve">. (B) Ubiquitylation of proteins affects their detection by antibodies. As an example, Rab7 is shown. TAB2-NFZ TUBE pulldown (PD) of K63 polyubiquitylated proteins and subsequent Western blot of Rab7 shows no ubiquitylated forms of Rab7 (probably by blocking of antibody antigen). Upon AMSH-LP treatment multiple forms of ubiquitylated Rab7 appear. </w:t>
      </w:r>
      <w:r w:rsidR="00525D4E" w:rsidRPr="00037FEE">
        <w:rPr>
          <w:lang w:val="en-US"/>
        </w:rPr>
        <w:t xml:space="preserve">Relative mobilities of reference proteins (masses in </w:t>
      </w:r>
      <w:proofErr w:type="spellStart"/>
      <w:r w:rsidR="005C36F8">
        <w:rPr>
          <w:lang w:val="en-US"/>
        </w:rPr>
        <w:t>kDa</w:t>
      </w:r>
      <w:proofErr w:type="spellEnd"/>
      <w:r w:rsidR="00525D4E" w:rsidRPr="00037FEE">
        <w:rPr>
          <w:lang w:val="en-US"/>
        </w:rPr>
        <w:t xml:space="preserve">) are shown on the </w:t>
      </w:r>
      <w:r w:rsidR="00525D4E">
        <w:rPr>
          <w:lang w:val="en-US"/>
        </w:rPr>
        <w:t>right</w:t>
      </w:r>
      <w:r w:rsidR="00525D4E" w:rsidRPr="00037FEE">
        <w:rPr>
          <w:lang w:val="en-US"/>
        </w:rPr>
        <w:t xml:space="preserve"> of each blot.</w:t>
      </w:r>
    </w:p>
    <w:p w14:paraId="5D025354" w14:textId="3D43B0D5" w:rsidR="00EE73FE" w:rsidRDefault="00EE73FE" w:rsidP="00247779">
      <w:pPr>
        <w:spacing w:line="276" w:lineRule="auto"/>
        <w:jc w:val="both"/>
        <w:rPr>
          <w:rFonts w:cstheme="minorHAnsi"/>
          <w:b/>
          <w:bCs/>
        </w:rPr>
      </w:pPr>
    </w:p>
    <w:p w14:paraId="68E3A3C2" w14:textId="6AD17877" w:rsidR="004E6519" w:rsidRDefault="004E6519">
      <w:pPr>
        <w:rPr>
          <w:rFonts w:cstheme="minorHAnsi"/>
          <w:b/>
          <w:bCs/>
        </w:rPr>
      </w:pPr>
      <w:r>
        <w:rPr>
          <w:rFonts w:cstheme="minorHAnsi"/>
          <w:b/>
          <w:bCs/>
        </w:rPr>
        <w:br w:type="page"/>
      </w:r>
    </w:p>
    <w:p w14:paraId="63E6A22A" w14:textId="5EB61077" w:rsidR="00EE73FE" w:rsidRPr="00EE73FE" w:rsidRDefault="00C56595" w:rsidP="00EE73FE">
      <w:pPr>
        <w:rPr>
          <w:rFonts w:cstheme="minorHAnsi"/>
        </w:rPr>
      </w:pPr>
      <w:r>
        <w:rPr>
          <w:rFonts w:cstheme="minorHAnsi"/>
          <w:noProof/>
          <w:lang w:eastAsia="en-GB"/>
        </w:rPr>
        <w:drawing>
          <wp:inline distT="0" distB="0" distL="0" distR="0" wp14:anchorId="09A283A5" wp14:editId="39778641">
            <wp:extent cx="4445000" cy="1720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EV4 100922.tif"/>
                    <pic:cNvPicPr/>
                  </pic:nvPicPr>
                  <pic:blipFill rotWithShape="1">
                    <a:blip r:embed="rId11" cstate="print">
                      <a:extLst>
                        <a:ext uri="{28A0092B-C50C-407E-A947-70E740481C1C}">
                          <a14:useLocalDpi xmlns:a14="http://schemas.microsoft.com/office/drawing/2010/main" val="0"/>
                        </a:ext>
                      </a:extLst>
                    </a:blip>
                    <a:srcRect t="12581"/>
                    <a:stretch/>
                  </pic:blipFill>
                  <pic:spPr bwMode="auto">
                    <a:xfrm>
                      <a:off x="0" y="0"/>
                      <a:ext cx="4445000" cy="1720850"/>
                    </a:xfrm>
                    <a:prstGeom prst="rect">
                      <a:avLst/>
                    </a:prstGeom>
                    <a:ln>
                      <a:noFill/>
                    </a:ln>
                    <a:extLst>
                      <a:ext uri="{53640926-AAD7-44D8-BBD7-CCE9431645EC}">
                        <a14:shadowObscured xmlns:a14="http://schemas.microsoft.com/office/drawing/2010/main"/>
                      </a:ext>
                    </a:extLst>
                  </pic:spPr>
                </pic:pic>
              </a:graphicData>
            </a:graphic>
          </wp:inline>
        </w:drawing>
      </w:r>
    </w:p>
    <w:p w14:paraId="3BD4F1BA" w14:textId="3A83016C" w:rsidR="00247779" w:rsidRPr="00615236" w:rsidRDefault="003A61FC" w:rsidP="00247779">
      <w:pPr>
        <w:spacing w:line="276" w:lineRule="auto"/>
        <w:jc w:val="both"/>
        <w:rPr>
          <w:rFonts w:cstheme="minorHAnsi"/>
        </w:rPr>
      </w:pPr>
      <w:r>
        <w:rPr>
          <w:rFonts w:cstheme="minorHAnsi"/>
          <w:b/>
          <w:bCs/>
        </w:rPr>
        <w:t>Appendix Figure</w:t>
      </w:r>
      <w:r w:rsidR="00525D4E" w:rsidRPr="00615236">
        <w:rPr>
          <w:rFonts w:cstheme="minorHAnsi"/>
          <w:b/>
          <w:bCs/>
        </w:rPr>
        <w:t xml:space="preserve"> </w:t>
      </w:r>
      <w:r w:rsidR="0046603F">
        <w:rPr>
          <w:rFonts w:cstheme="minorHAnsi"/>
          <w:b/>
          <w:bCs/>
        </w:rPr>
        <w:t>S</w:t>
      </w:r>
      <w:r w:rsidR="00C56595">
        <w:rPr>
          <w:rFonts w:cstheme="minorHAnsi"/>
          <w:b/>
          <w:bCs/>
        </w:rPr>
        <w:t>4</w:t>
      </w:r>
      <w:r w:rsidR="00525D4E">
        <w:rPr>
          <w:rFonts w:cstheme="minorHAnsi"/>
          <w:b/>
          <w:bCs/>
        </w:rPr>
        <w:t>.</w:t>
      </w:r>
      <w:r w:rsidR="00525D4E" w:rsidRPr="00615236">
        <w:rPr>
          <w:rFonts w:cstheme="minorHAnsi"/>
          <w:b/>
          <w:bCs/>
        </w:rPr>
        <w:t xml:space="preserve"> </w:t>
      </w:r>
      <w:r w:rsidR="00247779" w:rsidRPr="00615236">
        <w:rPr>
          <w:rFonts w:cstheme="minorHAnsi"/>
          <w:b/>
          <w:bCs/>
        </w:rPr>
        <w:t xml:space="preserve">Phagosomal RNF115. </w:t>
      </w:r>
      <w:r w:rsidR="00247779" w:rsidRPr="00615236">
        <w:rPr>
          <w:rFonts w:cstheme="minorHAnsi"/>
        </w:rPr>
        <w:t>(A) RNF115 is located on the cytoplasmic side of phagosomes. Treatment of isolated phagosomes with increasing amounts of Trypsin sho</w:t>
      </w:r>
      <w:r w:rsidR="000B1C94">
        <w:rPr>
          <w:rFonts w:cstheme="minorHAnsi"/>
        </w:rPr>
        <w:t>w</w:t>
      </w:r>
      <w:r w:rsidR="00247779" w:rsidRPr="00615236">
        <w:rPr>
          <w:rFonts w:cstheme="minorHAnsi"/>
        </w:rPr>
        <w:t xml:space="preserve">s a reduction of RNF115. Rab5, a cytoplasmic membrane bound protein and LAMP1, a transmembrane protein, serve as controls. Histone H3 serves as purity control. Representative blot of two replicates. (B) Immunoprecipitation (IP) of RNF115 from WT and RNF115 </w:t>
      </w:r>
      <w:r w:rsidR="00314C1A">
        <w:rPr>
          <w:rFonts w:cstheme="minorHAnsi"/>
        </w:rPr>
        <w:t>KO</w:t>
      </w:r>
      <w:r w:rsidR="00247779" w:rsidRPr="00615236">
        <w:rPr>
          <w:rFonts w:cstheme="minorHAnsi"/>
        </w:rPr>
        <w:t xml:space="preserve"> </w:t>
      </w:r>
      <w:r w:rsidR="00E44F4B">
        <w:rPr>
          <w:rFonts w:cstheme="minorHAnsi"/>
        </w:rPr>
        <w:t>macrophage cell line</w:t>
      </w:r>
      <w:r w:rsidR="00247779" w:rsidRPr="00615236">
        <w:rPr>
          <w:rFonts w:cstheme="minorHAnsi"/>
        </w:rPr>
        <w:t xml:space="preserve"> shows that RNF115 is absent in the </w:t>
      </w:r>
      <w:r w:rsidR="00314C1A">
        <w:rPr>
          <w:rFonts w:cstheme="minorHAnsi"/>
        </w:rPr>
        <w:t xml:space="preserve">RNF115 </w:t>
      </w:r>
      <w:r w:rsidR="00247779" w:rsidRPr="00615236">
        <w:rPr>
          <w:rFonts w:cstheme="minorHAnsi"/>
        </w:rPr>
        <w:t xml:space="preserve">KO cells. </w:t>
      </w:r>
      <w:r w:rsidR="00314C1A" w:rsidRPr="00037FEE">
        <w:rPr>
          <w:lang w:val="en-US"/>
        </w:rPr>
        <w:t xml:space="preserve">Relative mobilities of reference proteins (masses in </w:t>
      </w:r>
      <w:proofErr w:type="spellStart"/>
      <w:r w:rsidR="00314C1A" w:rsidRPr="00037FEE">
        <w:rPr>
          <w:lang w:val="en-US"/>
        </w:rPr>
        <w:t>kDa</w:t>
      </w:r>
      <w:proofErr w:type="spellEnd"/>
      <w:r w:rsidR="00314C1A" w:rsidRPr="00037FEE">
        <w:rPr>
          <w:lang w:val="en-US"/>
        </w:rPr>
        <w:t xml:space="preserve">) are shown on the </w:t>
      </w:r>
      <w:r w:rsidR="00314C1A">
        <w:rPr>
          <w:lang w:val="en-US"/>
        </w:rPr>
        <w:t>right</w:t>
      </w:r>
      <w:r w:rsidR="00314C1A" w:rsidRPr="00037FEE">
        <w:rPr>
          <w:lang w:val="en-US"/>
        </w:rPr>
        <w:t xml:space="preserve"> of each blot.</w:t>
      </w:r>
    </w:p>
    <w:p w14:paraId="523EF8A1" w14:textId="22D2A7A1" w:rsidR="004E6519" w:rsidRDefault="004E6519">
      <w:r>
        <w:br w:type="page"/>
      </w:r>
    </w:p>
    <w:p w14:paraId="6721C7CA" w14:textId="5D7C1459" w:rsidR="00EE73FE" w:rsidRDefault="00F122D0">
      <w:r>
        <w:rPr>
          <w:noProof/>
          <w:lang w:eastAsia="en-GB"/>
        </w:rPr>
        <w:drawing>
          <wp:inline distT="0" distB="0" distL="0" distR="0" wp14:anchorId="368B6E3F" wp14:editId="234DC93D">
            <wp:extent cx="5731510" cy="2461895"/>
            <wp:effectExtent l="0" t="0" r="254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EV5 100922.tif"/>
                    <pic:cNvPicPr/>
                  </pic:nvPicPr>
                  <pic:blipFill rotWithShape="1">
                    <a:blip r:embed="rId12" cstate="print">
                      <a:extLst>
                        <a:ext uri="{28A0092B-C50C-407E-A947-70E740481C1C}">
                          <a14:useLocalDpi xmlns:a14="http://schemas.microsoft.com/office/drawing/2010/main" val="0"/>
                        </a:ext>
                      </a:extLst>
                    </a:blip>
                    <a:srcRect t="8171"/>
                    <a:stretch/>
                  </pic:blipFill>
                  <pic:spPr bwMode="auto">
                    <a:xfrm>
                      <a:off x="0" y="0"/>
                      <a:ext cx="5731510" cy="2461895"/>
                    </a:xfrm>
                    <a:prstGeom prst="rect">
                      <a:avLst/>
                    </a:prstGeom>
                    <a:ln>
                      <a:noFill/>
                    </a:ln>
                    <a:extLst>
                      <a:ext uri="{53640926-AAD7-44D8-BBD7-CCE9431645EC}">
                        <a14:shadowObscured xmlns:a14="http://schemas.microsoft.com/office/drawing/2010/main"/>
                      </a:ext>
                    </a:extLst>
                  </pic:spPr>
                </pic:pic>
              </a:graphicData>
            </a:graphic>
          </wp:inline>
        </w:drawing>
      </w:r>
    </w:p>
    <w:p w14:paraId="7C258208" w14:textId="2C025C02" w:rsidR="00F122D0" w:rsidRDefault="003A61FC" w:rsidP="00F122D0">
      <w:pPr>
        <w:spacing w:line="276" w:lineRule="auto"/>
        <w:jc w:val="both"/>
        <w:rPr>
          <w:rFonts w:cstheme="minorHAnsi"/>
          <w:bCs/>
        </w:rPr>
      </w:pPr>
      <w:r>
        <w:rPr>
          <w:rFonts w:cstheme="minorHAnsi"/>
          <w:b/>
          <w:bCs/>
        </w:rPr>
        <w:t>Appendix Figure</w:t>
      </w:r>
      <w:r w:rsidR="00F122D0" w:rsidRPr="00615236">
        <w:rPr>
          <w:rFonts w:cstheme="minorHAnsi"/>
          <w:b/>
          <w:bCs/>
        </w:rPr>
        <w:t xml:space="preserve"> </w:t>
      </w:r>
      <w:r w:rsidR="0046603F">
        <w:rPr>
          <w:rFonts w:cstheme="minorHAnsi"/>
          <w:b/>
          <w:bCs/>
        </w:rPr>
        <w:t>S</w:t>
      </w:r>
      <w:r w:rsidR="00F122D0">
        <w:rPr>
          <w:rFonts w:cstheme="minorHAnsi"/>
          <w:b/>
          <w:bCs/>
        </w:rPr>
        <w:t>5.</w:t>
      </w:r>
      <w:r w:rsidR="00F122D0" w:rsidRPr="00615236">
        <w:rPr>
          <w:rFonts w:cstheme="minorHAnsi"/>
          <w:b/>
          <w:bCs/>
        </w:rPr>
        <w:t xml:space="preserve"> </w:t>
      </w:r>
      <w:r w:rsidR="00F122D0" w:rsidRPr="00F70E7C">
        <w:rPr>
          <w:rFonts w:cstheme="minorHAnsi"/>
          <w:b/>
          <w:bCs/>
        </w:rPr>
        <w:t xml:space="preserve">To account for people with red-green colour-blindness, we have </w:t>
      </w:r>
      <w:r w:rsidR="00F122D0">
        <w:rPr>
          <w:rFonts w:cstheme="minorHAnsi"/>
          <w:b/>
          <w:bCs/>
        </w:rPr>
        <w:t>represented Figure 5C in</w:t>
      </w:r>
      <w:r w:rsidR="00F122D0" w:rsidRPr="00F70E7C">
        <w:rPr>
          <w:rFonts w:cstheme="minorHAnsi"/>
          <w:b/>
          <w:bCs/>
        </w:rPr>
        <w:t xml:space="preserve"> a magenta/cyan/yellow version</w:t>
      </w:r>
      <w:r w:rsidR="00F122D0" w:rsidRPr="00615236">
        <w:rPr>
          <w:rFonts w:cstheme="minorHAnsi"/>
          <w:b/>
          <w:bCs/>
        </w:rPr>
        <w:t>.</w:t>
      </w:r>
      <w:r w:rsidR="00F122D0">
        <w:rPr>
          <w:rFonts w:cstheme="minorHAnsi"/>
          <w:b/>
          <w:bCs/>
        </w:rPr>
        <w:t xml:space="preserve"> </w:t>
      </w:r>
      <w:r w:rsidR="00F122D0" w:rsidRPr="00F122D0">
        <w:rPr>
          <w:rFonts w:cstheme="minorHAnsi"/>
          <w:bCs/>
        </w:rPr>
        <w:t>Immunofluorescence micrographs of VAMP8 (</w:t>
      </w:r>
      <w:r w:rsidR="00F122D0">
        <w:rPr>
          <w:rFonts w:cstheme="minorHAnsi"/>
          <w:bCs/>
        </w:rPr>
        <w:t>yellow</w:t>
      </w:r>
      <w:r w:rsidR="00F122D0" w:rsidRPr="00F122D0">
        <w:rPr>
          <w:rFonts w:cstheme="minorHAnsi"/>
          <w:bCs/>
        </w:rPr>
        <w:t xml:space="preserve">) and Syntaxin-7 (STX7; </w:t>
      </w:r>
      <w:r w:rsidR="00F122D0">
        <w:rPr>
          <w:rFonts w:cstheme="minorHAnsi"/>
          <w:bCs/>
        </w:rPr>
        <w:t>magenta</w:t>
      </w:r>
      <w:r w:rsidR="00F122D0" w:rsidRPr="00F122D0">
        <w:rPr>
          <w:rFonts w:cstheme="minorHAnsi"/>
          <w:bCs/>
        </w:rPr>
        <w:t xml:space="preserve">) show strong colocation around </w:t>
      </w:r>
      <w:r w:rsidR="00F122D0">
        <w:rPr>
          <w:rFonts w:cstheme="minorHAnsi"/>
          <w:bCs/>
        </w:rPr>
        <w:t>2</w:t>
      </w:r>
      <w:r w:rsidR="00F122D0" w:rsidRPr="00F122D0">
        <w:rPr>
          <w:rFonts w:cstheme="minorHAnsi"/>
          <w:bCs/>
        </w:rPr>
        <w:t xml:space="preserve"> µm silica bead phagosomes (white) in BMA macrophages. Nuclei are stained with D</w:t>
      </w:r>
      <w:r w:rsidR="00F122D0">
        <w:rPr>
          <w:rFonts w:cstheme="minorHAnsi"/>
          <w:bCs/>
        </w:rPr>
        <w:t>API in blue</w:t>
      </w:r>
      <w:r w:rsidR="00F122D0" w:rsidRPr="00F122D0">
        <w:rPr>
          <w:rFonts w:cstheme="minorHAnsi"/>
          <w:bCs/>
        </w:rPr>
        <w:t>. Scale bar is 5 µm.</w:t>
      </w:r>
    </w:p>
    <w:p w14:paraId="61AD0E50" w14:textId="470AF225" w:rsidR="004E6519" w:rsidRDefault="004E6519">
      <w:pPr>
        <w:rPr>
          <w:rFonts w:cstheme="minorHAnsi"/>
          <w:bCs/>
        </w:rPr>
      </w:pPr>
      <w:r>
        <w:rPr>
          <w:rFonts w:cstheme="minorHAnsi"/>
          <w:bCs/>
        </w:rPr>
        <w:br w:type="page"/>
      </w:r>
    </w:p>
    <w:p w14:paraId="1F6C4F31" w14:textId="2CB798F5" w:rsidR="00247779" w:rsidRDefault="00677428">
      <w:r>
        <w:rPr>
          <w:noProof/>
          <w:lang w:eastAsia="en-GB"/>
        </w:rPr>
        <w:drawing>
          <wp:inline distT="0" distB="0" distL="0" distR="0" wp14:anchorId="1A73AC86" wp14:editId="6278544A">
            <wp:extent cx="5240020" cy="3958937"/>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EV6 100922.tif"/>
                    <pic:cNvPicPr/>
                  </pic:nvPicPr>
                  <pic:blipFill rotWithShape="1">
                    <a:blip r:embed="rId13" cstate="print">
                      <a:extLst>
                        <a:ext uri="{28A0092B-C50C-407E-A947-70E740481C1C}">
                          <a14:useLocalDpi xmlns:a14="http://schemas.microsoft.com/office/drawing/2010/main" val="0"/>
                        </a:ext>
                      </a:extLst>
                    </a:blip>
                    <a:srcRect t="5244"/>
                    <a:stretch/>
                  </pic:blipFill>
                  <pic:spPr bwMode="auto">
                    <a:xfrm>
                      <a:off x="0" y="0"/>
                      <a:ext cx="5245680" cy="3963213"/>
                    </a:xfrm>
                    <a:prstGeom prst="rect">
                      <a:avLst/>
                    </a:prstGeom>
                    <a:ln>
                      <a:noFill/>
                    </a:ln>
                    <a:extLst>
                      <a:ext uri="{53640926-AAD7-44D8-BBD7-CCE9431645EC}">
                        <a14:shadowObscured xmlns:a14="http://schemas.microsoft.com/office/drawing/2010/main"/>
                      </a:ext>
                    </a:extLst>
                  </pic:spPr>
                </pic:pic>
              </a:graphicData>
            </a:graphic>
          </wp:inline>
        </w:drawing>
      </w:r>
    </w:p>
    <w:p w14:paraId="28BD31A6" w14:textId="3AAD8BD3" w:rsidR="00247779" w:rsidRDefault="003A61FC" w:rsidP="00247779">
      <w:pPr>
        <w:jc w:val="both"/>
        <w:rPr>
          <w:rFonts w:cstheme="minorHAnsi"/>
          <w:bCs/>
        </w:rPr>
      </w:pPr>
      <w:r>
        <w:rPr>
          <w:rFonts w:cstheme="minorHAnsi"/>
          <w:b/>
          <w:bCs/>
        </w:rPr>
        <w:t>Appendix Figure</w:t>
      </w:r>
      <w:r w:rsidR="00525D4E" w:rsidRPr="00615236">
        <w:rPr>
          <w:rFonts w:cstheme="minorHAnsi"/>
          <w:b/>
          <w:bCs/>
        </w:rPr>
        <w:t xml:space="preserve"> </w:t>
      </w:r>
      <w:r w:rsidR="0046603F">
        <w:rPr>
          <w:rFonts w:cstheme="minorHAnsi"/>
          <w:b/>
          <w:bCs/>
        </w:rPr>
        <w:t>S</w:t>
      </w:r>
      <w:r w:rsidR="00F122D0">
        <w:rPr>
          <w:rFonts w:cstheme="minorHAnsi"/>
          <w:b/>
          <w:bCs/>
        </w:rPr>
        <w:t>6</w:t>
      </w:r>
      <w:r w:rsidR="00525D4E">
        <w:rPr>
          <w:rFonts w:cstheme="minorHAnsi"/>
          <w:b/>
          <w:bCs/>
        </w:rPr>
        <w:t>.</w:t>
      </w:r>
      <w:r w:rsidR="00525D4E" w:rsidRPr="00615236">
        <w:rPr>
          <w:rFonts w:cstheme="minorHAnsi"/>
          <w:b/>
          <w:bCs/>
        </w:rPr>
        <w:t xml:space="preserve"> </w:t>
      </w:r>
      <w:r w:rsidR="00247779">
        <w:rPr>
          <w:rFonts w:cstheme="minorHAnsi"/>
          <w:b/>
          <w:bCs/>
        </w:rPr>
        <w:t>Loss of RN</w:t>
      </w:r>
      <w:r w:rsidR="00C864ED">
        <w:rPr>
          <w:rFonts w:cstheme="minorHAnsi"/>
          <w:b/>
          <w:bCs/>
        </w:rPr>
        <w:t>F</w:t>
      </w:r>
      <w:r w:rsidR="00247779">
        <w:rPr>
          <w:rFonts w:cstheme="minorHAnsi"/>
          <w:b/>
          <w:bCs/>
        </w:rPr>
        <w:t>115 does not affect phagocytosis</w:t>
      </w:r>
      <w:r w:rsidR="00AB2F33">
        <w:rPr>
          <w:rFonts w:cstheme="minorHAnsi"/>
          <w:b/>
          <w:bCs/>
        </w:rPr>
        <w:t xml:space="preserve">. </w:t>
      </w:r>
      <w:r w:rsidR="00AB2F33">
        <w:rPr>
          <w:rFonts w:cstheme="minorHAnsi"/>
          <w:bCs/>
        </w:rPr>
        <w:t xml:space="preserve">Uptake </w:t>
      </w:r>
      <w:r w:rsidR="00AB2F33" w:rsidRPr="00AB2F33">
        <w:rPr>
          <w:rFonts w:cstheme="minorHAnsi"/>
          <w:bCs/>
        </w:rPr>
        <w:t xml:space="preserve">of </w:t>
      </w:r>
      <w:r w:rsidR="00AB2F33">
        <w:rPr>
          <w:rFonts w:cstheme="minorHAnsi"/>
          <w:bCs/>
        </w:rPr>
        <w:t>(</w:t>
      </w:r>
      <w:r w:rsidR="00AB2F33" w:rsidRPr="00AB2F33">
        <w:rPr>
          <w:rFonts w:cstheme="minorHAnsi"/>
          <w:bCs/>
        </w:rPr>
        <w:t>A)</w:t>
      </w:r>
      <w:r w:rsidR="00AB2F33" w:rsidRPr="00AB2F33">
        <w:rPr>
          <w:rFonts w:cstheme="minorHAnsi"/>
          <w:b/>
          <w:bCs/>
        </w:rPr>
        <w:t xml:space="preserve"> </w:t>
      </w:r>
      <w:r w:rsidR="00AB2F33" w:rsidRPr="00AB2F33">
        <w:rPr>
          <w:rFonts w:cstheme="minorHAnsi"/>
          <w:bCs/>
          <w:i/>
        </w:rPr>
        <w:t>S.</w:t>
      </w:r>
      <w:r w:rsidR="00AB2F33" w:rsidRPr="00AB2F33">
        <w:rPr>
          <w:rFonts w:cstheme="minorHAnsi"/>
          <w:bCs/>
        </w:rPr>
        <w:t xml:space="preserve"> Typhimurium </w:t>
      </w:r>
      <w:r w:rsidR="00AB2F33">
        <w:rPr>
          <w:rFonts w:cstheme="minorHAnsi"/>
          <w:bCs/>
        </w:rPr>
        <w:t>and (</w:t>
      </w:r>
      <w:r w:rsidR="00AB2F33" w:rsidRPr="00AB2F33">
        <w:rPr>
          <w:rFonts w:cstheme="minorHAnsi"/>
          <w:bCs/>
        </w:rPr>
        <w:t>B)</w:t>
      </w:r>
      <w:r w:rsidR="00AB2F33">
        <w:rPr>
          <w:rFonts w:cstheme="minorHAnsi"/>
          <w:bCs/>
        </w:rPr>
        <w:t xml:space="preserve"> </w:t>
      </w:r>
      <w:r w:rsidR="00AB2F33" w:rsidRPr="00AB2F33">
        <w:rPr>
          <w:rFonts w:cstheme="minorHAnsi"/>
          <w:bCs/>
          <w:i/>
        </w:rPr>
        <w:t>S. aureus</w:t>
      </w:r>
      <w:r w:rsidR="00AB2F33" w:rsidRPr="00AB2F33">
        <w:rPr>
          <w:rFonts w:cstheme="minorHAnsi"/>
          <w:bCs/>
        </w:rPr>
        <w:t xml:space="preserve"> </w:t>
      </w:r>
      <w:r w:rsidR="00AB2F33">
        <w:rPr>
          <w:rFonts w:cstheme="minorHAnsi"/>
          <w:bCs/>
        </w:rPr>
        <w:t xml:space="preserve">in </w:t>
      </w:r>
      <w:r w:rsidR="00AB2F33" w:rsidRPr="00AB2F33">
        <w:rPr>
          <w:rFonts w:cstheme="minorHAnsi"/>
          <w:bCs/>
        </w:rPr>
        <w:t>WT and RNF115 KO BMA</w:t>
      </w:r>
      <w:r w:rsidR="00AB2F33">
        <w:rPr>
          <w:rFonts w:cstheme="minorHAnsi"/>
          <w:bCs/>
        </w:rPr>
        <w:t xml:space="preserve"> cells and BMDM</w:t>
      </w:r>
      <w:r w:rsidR="00AB2F33" w:rsidRPr="00AB2F33">
        <w:rPr>
          <w:rFonts w:cstheme="minorHAnsi"/>
          <w:bCs/>
        </w:rPr>
        <w:t xml:space="preserve">s </w:t>
      </w:r>
      <w:r w:rsidR="00AB2F33">
        <w:rPr>
          <w:rFonts w:cstheme="minorHAnsi"/>
          <w:bCs/>
        </w:rPr>
        <w:t xml:space="preserve">is </w:t>
      </w:r>
      <w:r w:rsidR="00AB2F33">
        <w:rPr>
          <w:rFonts w:cstheme="minorHAnsi"/>
        </w:rPr>
        <w:t>not affected by loss of RNF115</w:t>
      </w:r>
      <w:r w:rsidR="00AB2F33" w:rsidRPr="00AB2F33">
        <w:rPr>
          <w:rFonts w:cstheme="minorHAnsi"/>
          <w:bCs/>
        </w:rPr>
        <w:t>. Standard deviation bars represent SD of four biological replicates.</w:t>
      </w:r>
      <w:r w:rsidR="00C71C25">
        <w:rPr>
          <w:rFonts w:cstheme="minorHAnsi"/>
          <w:bCs/>
        </w:rPr>
        <w:t xml:space="preserve"> </w:t>
      </w:r>
      <w:r w:rsidR="00AB2F33">
        <w:rPr>
          <w:rFonts w:cstheme="minorHAnsi"/>
          <w:b/>
          <w:bCs/>
        </w:rPr>
        <w:t>C</w:t>
      </w:r>
      <w:r w:rsidR="00247779" w:rsidRPr="00615236">
        <w:rPr>
          <w:rFonts w:cstheme="minorHAnsi"/>
        </w:rPr>
        <w:t>)</w:t>
      </w:r>
      <w:r w:rsidR="00247779">
        <w:rPr>
          <w:rFonts w:cstheme="minorHAnsi"/>
        </w:rPr>
        <w:t xml:space="preserve"> Phagocytosis of 1 μm </w:t>
      </w:r>
      <w:r w:rsidR="00314C1A">
        <w:rPr>
          <w:rFonts w:cstheme="minorHAnsi"/>
        </w:rPr>
        <w:t>s</w:t>
      </w:r>
      <w:r w:rsidR="00247779">
        <w:rPr>
          <w:rFonts w:cstheme="minorHAnsi"/>
        </w:rPr>
        <w:t xml:space="preserve">ilica beads is not affected by loss of RNF115 or expression of the “ligase-dead” RNF115 W259A in the </w:t>
      </w:r>
      <w:r w:rsidR="00314C1A">
        <w:rPr>
          <w:rFonts w:cstheme="minorHAnsi"/>
        </w:rPr>
        <w:t xml:space="preserve">RNF115 </w:t>
      </w:r>
      <w:r w:rsidR="00247779">
        <w:rPr>
          <w:rFonts w:cstheme="minorHAnsi"/>
        </w:rPr>
        <w:t xml:space="preserve">KO </w:t>
      </w:r>
      <w:r w:rsidR="00314C1A">
        <w:rPr>
          <w:rFonts w:cstheme="minorHAnsi"/>
        </w:rPr>
        <w:t>cell line</w:t>
      </w:r>
      <w:r w:rsidR="00247779">
        <w:rPr>
          <w:rFonts w:cstheme="minorHAnsi"/>
        </w:rPr>
        <w:t xml:space="preserve">. </w:t>
      </w:r>
      <w:proofErr w:type="spellStart"/>
      <w:r w:rsidR="00247779">
        <w:rPr>
          <w:rFonts w:cstheme="minorHAnsi"/>
        </w:rPr>
        <w:t>Cytochalasin</w:t>
      </w:r>
      <w:proofErr w:type="spellEnd"/>
      <w:r w:rsidR="00247779">
        <w:rPr>
          <w:rFonts w:cstheme="minorHAnsi"/>
        </w:rPr>
        <w:t xml:space="preserve"> D (</w:t>
      </w:r>
      <w:proofErr w:type="spellStart"/>
      <w:r w:rsidR="00247779">
        <w:rPr>
          <w:rFonts w:cstheme="minorHAnsi"/>
        </w:rPr>
        <w:t>CytD</w:t>
      </w:r>
      <w:proofErr w:type="spellEnd"/>
      <w:r w:rsidR="00247779">
        <w:rPr>
          <w:rFonts w:cstheme="minorHAnsi"/>
        </w:rPr>
        <w:t>) serves as negative control as it blocks phagocytosis.</w:t>
      </w:r>
      <w:r w:rsidR="00C71C25">
        <w:rPr>
          <w:rFonts w:cstheme="minorHAnsi"/>
        </w:rPr>
        <w:t xml:space="preserve"> </w:t>
      </w:r>
      <w:r w:rsidR="00C71C25" w:rsidRPr="00AB2F33">
        <w:rPr>
          <w:rFonts w:cstheme="minorHAnsi"/>
          <w:bCs/>
        </w:rPr>
        <w:t>Standard deviation bars represent S</w:t>
      </w:r>
      <w:r w:rsidR="00C71C25">
        <w:rPr>
          <w:rFonts w:cstheme="minorHAnsi"/>
          <w:bCs/>
        </w:rPr>
        <w:t>EM</w:t>
      </w:r>
      <w:r w:rsidR="00C71C25" w:rsidRPr="00AB2F33">
        <w:rPr>
          <w:rFonts w:cstheme="minorHAnsi"/>
          <w:bCs/>
        </w:rPr>
        <w:t xml:space="preserve"> of </w:t>
      </w:r>
      <w:r w:rsidR="00C71C25">
        <w:rPr>
          <w:rFonts w:cstheme="minorHAnsi"/>
          <w:bCs/>
        </w:rPr>
        <w:t>three</w:t>
      </w:r>
      <w:r w:rsidR="00C71C25" w:rsidRPr="00AB2F33">
        <w:rPr>
          <w:rFonts w:cstheme="minorHAnsi"/>
          <w:bCs/>
        </w:rPr>
        <w:t xml:space="preserve"> biological replicates.</w:t>
      </w:r>
    </w:p>
    <w:p w14:paraId="7BB4B2B2" w14:textId="0DEB8C1F" w:rsidR="004E6519" w:rsidRDefault="004E6519">
      <w:pPr>
        <w:rPr>
          <w:rFonts w:cstheme="minorHAnsi"/>
          <w:bCs/>
        </w:rPr>
      </w:pPr>
      <w:r>
        <w:rPr>
          <w:rFonts w:cstheme="minorHAnsi"/>
          <w:bCs/>
        </w:rPr>
        <w:br w:type="page"/>
      </w:r>
    </w:p>
    <w:p w14:paraId="6E0625D5" w14:textId="1F50DCD2" w:rsidR="00A66CF4" w:rsidRDefault="00A66CF4" w:rsidP="00247779">
      <w:pPr>
        <w:jc w:val="both"/>
        <w:rPr>
          <w:rFonts w:cstheme="minorHAnsi"/>
          <w:bCs/>
        </w:rPr>
      </w:pPr>
      <w:r>
        <w:rPr>
          <w:rFonts w:cstheme="minorHAnsi"/>
          <w:bCs/>
          <w:noProof/>
          <w:lang w:eastAsia="en-GB"/>
        </w:rPr>
        <w:drawing>
          <wp:inline distT="0" distB="0" distL="0" distR="0" wp14:anchorId="7C341909" wp14:editId="531E0D32">
            <wp:extent cx="1624330" cy="20006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EV7 100922.tif"/>
                    <pic:cNvPicPr/>
                  </pic:nvPicPr>
                  <pic:blipFill rotWithShape="1">
                    <a:blip r:embed="rId14" cstate="print">
                      <a:extLst>
                        <a:ext uri="{28A0092B-C50C-407E-A947-70E740481C1C}">
                          <a14:useLocalDpi xmlns:a14="http://schemas.microsoft.com/office/drawing/2010/main" val="0"/>
                        </a:ext>
                      </a:extLst>
                    </a:blip>
                    <a:srcRect t="8694"/>
                    <a:stretch/>
                  </pic:blipFill>
                  <pic:spPr bwMode="auto">
                    <a:xfrm>
                      <a:off x="0" y="0"/>
                      <a:ext cx="1624584" cy="2000982"/>
                    </a:xfrm>
                    <a:prstGeom prst="rect">
                      <a:avLst/>
                    </a:prstGeom>
                    <a:ln>
                      <a:noFill/>
                    </a:ln>
                    <a:extLst>
                      <a:ext uri="{53640926-AAD7-44D8-BBD7-CCE9431645EC}">
                        <a14:shadowObscured xmlns:a14="http://schemas.microsoft.com/office/drawing/2010/main"/>
                      </a:ext>
                    </a:extLst>
                  </pic:spPr>
                </pic:pic>
              </a:graphicData>
            </a:graphic>
          </wp:inline>
        </w:drawing>
      </w:r>
    </w:p>
    <w:p w14:paraId="795A6089" w14:textId="2C675A04" w:rsidR="00C864ED" w:rsidRDefault="003A61FC" w:rsidP="00247779">
      <w:pPr>
        <w:jc w:val="both"/>
        <w:rPr>
          <w:rFonts w:cstheme="minorHAnsi"/>
        </w:rPr>
      </w:pPr>
      <w:r>
        <w:rPr>
          <w:rFonts w:cstheme="minorHAnsi"/>
          <w:b/>
          <w:bCs/>
        </w:rPr>
        <w:t>Appendix Figure</w:t>
      </w:r>
      <w:r w:rsidR="00A66CF4" w:rsidRPr="00615236">
        <w:rPr>
          <w:rFonts w:cstheme="minorHAnsi"/>
          <w:b/>
          <w:bCs/>
        </w:rPr>
        <w:t xml:space="preserve"> </w:t>
      </w:r>
      <w:r w:rsidR="0046603F">
        <w:rPr>
          <w:rFonts w:cstheme="minorHAnsi"/>
          <w:b/>
          <w:bCs/>
        </w:rPr>
        <w:t>S</w:t>
      </w:r>
      <w:r w:rsidR="00A66CF4">
        <w:rPr>
          <w:rFonts w:cstheme="minorHAnsi"/>
          <w:b/>
          <w:bCs/>
        </w:rPr>
        <w:t xml:space="preserve">7. </w:t>
      </w:r>
      <w:r w:rsidR="001326BA">
        <w:rPr>
          <w:rFonts w:cstheme="minorHAnsi"/>
          <w:b/>
          <w:bCs/>
        </w:rPr>
        <w:t xml:space="preserve">Label-free protein intensity of MAVS and STING </w:t>
      </w:r>
      <w:r w:rsidR="004E6519">
        <w:rPr>
          <w:rFonts w:cstheme="minorHAnsi"/>
          <w:b/>
          <w:bCs/>
        </w:rPr>
        <w:t xml:space="preserve">in BMDMs. </w:t>
      </w:r>
      <w:r w:rsidR="004E6519" w:rsidRPr="004E6519">
        <w:rPr>
          <w:rFonts w:cstheme="minorHAnsi"/>
        </w:rPr>
        <w:t>Label-free p</w:t>
      </w:r>
      <w:r w:rsidR="00A66CF4" w:rsidRPr="004E6519">
        <w:rPr>
          <w:rFonts w:cstheme="minorHAnsi"/>
        </w:rPr>
        <w:t>roteomics intensity data of MAVS and STING proteins in</w:t>
      </w:r>
      <w:r w:rsidR="004E6519">
        <w:rPr>
          <w:rFonts w:cstheme="minorHAnsi"/>
        </w:rPr>
        <w:t xml:space="preserve"> total cell lysates of </w:t>
      </w:r>
      <w:bookmarkStart w:id="0" w:name="_GoBack"/>
      <w:bookmarkEnd w:id="0"/>
      <w:r w:rsidR="00A66CF4" w:rsidRPr="004E6519">
        <w:rPr>
          <w:rFonts w:cstheme="minorHAnsi"/>
        </w:rPr>
        <w:t>BMDMs. Four biological replicates are shown.</w:t>
      </w:r>
    </w:p>
    <w:sectPr w:rsidR="00C864E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F43E4" w14:textId="77777777" w:rsidR="0044443E" w:rsidRDefault="0044443E" w:rsidP="006C188D">
      <w:pPr>
        <w:spacing w:after="0" w:line="240" w:lineRule="auto"/>
      </w:pPr>
      <w:r>
        <w:separator/>
      </w:r>
    </w:p>
  </w:endnote>
  <w:endnote w:type="continuationSeparator" w:id="0">
    <w:p w14:paraId="112B4AF1" w14:textId="77777777" w:rsidR="0044443E" w:rsidRDefault="0044443E" w:rsidP="006C1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7004043"/>
      <w:docPartObj>
        <w:docPartGallery w:val="Page Numbers (Bottom of Page)"/>
        <w:docPartUnique/>
      </w:docPartObj>
    </w:sdtPr>
    <w:sdtEndPr>
      <w:rPr>
        <w:noProof/>
      </w:rPr>
    </w:sdtEndPr>
    <w:sdtContent>
      <w:p w14:paraId="52E40E5D" w14:textId="452B92C2" w:rsidR="00976D66" w:rsidRDefault="00976D66">
        <w:pPr>
          <w:pStyle w:val="Footer"/>
          <w:jc w:val="center"/>
        </w:pPr>
        <w:r>
          <w:fldChar w:fldCharType="begin"/>
        </w:r>
        <w:r>
          <w:instrText xml:space="preserve"> PAGE   \* MERGEFORMAT </w:instrText>
        </w:r>
        <w:r>
          <w:fldChar w:fldCharType="separate"/>
        </w:r>
        <w:r w:rsidR="00E33124">
          <w:rPr>
            <w:noProof/>
          </w:rPr>
          <w:t>9</w:t>
        </w:r>
        <w:r>
          <w:rPr>
            <w:noProof/>
          </w:rPr>
          <w:fldChar w:fldCharType="end"/>
        </w:r>
      </w:p>
    </w:sdtContent>
  </w:sdt>
  <w:p w14:paraId="58C3B54C" w14:textId="77777777" w:rsidR="00976D66" w:rsidRDefault="00976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3BA84" w14:textId="77777777" w:rsidR="0044443E" w:rsidRDefault="0044443E" w:rsidP="006C188D">
      <w:pPr>
        <w:spacing w:after="0" w:line="240" w:lineRule="auto"/>
      </w:pPr>
      <w:r>
        <w:separator/>
      </w:r>
    </w:p>
  </w:footnote>
  <w:footnote w:type="continuationSeparator" w:id="0">
    <w:p w14:paraId="32DF3A89" w14:textId="77777777" w:rsidR="0044443E" w:rsidRDefault="0044443E" w:rsidP="006C18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79"/>
    <w:rsid w:val="0003512C"/>
    <w:rsid w:val="000B1C94"/>
    <w:rsid w:val="001326BA"/>
    <w:rsid w:val="001517EE"/>
    <w:rsid w:val="00247779"/>
    <w:rsid w:val="002849FA"/>
    <w:rsid w:val="00285C16"/>
    <w:rsid w:val="00314C1A"/>
    <w:rsid w:val="00376E40"/>
    <w:rsid w:val="003A61FC"/>
    <w:rsid w:val="0044443E"/>
    <w:rsid w:val="0046603F"/>
    <w:rsid w:val="0047335E"/>
    <w:rsid w:val="004A5F45"/>
    <w:rsid w:val="004C10C4"/>
    <w:rsid w:val="004E6519"/>
    <w:rsid w:val="00525D4E"/>
    <w:rsid w:val="005C36F8"/>
    <w:rsid w:val="006542E1"/>
    <w:rsid w:val="00677428"/>
    <w:rsid w:val="006C188D"/>
    <w:rsid w:val="0071773D"/>
    <w:rsid w:val="0073102C"/>
    <w:rsid w:val="008872A1"/>
    <w:rsid w:val="00927CA1"/>
    <w:rsid w:val="00962656"/>
    <w:rsid w:val="00976D66"/>
    <w:rsid w:val="00A4359B"/>
    <w:rsid w:val="00A66CF4"/>
    <w:rsid w:val="00AB2F33"/>
    <w:rsid w:val="00AF4328"/>
    <w:rsid w:val="00B549B3"/>
    <w:rsid w:val="00C56595"/>
    <w:rsid w:val="00C56767"/>
    <w:rsid w:val="00C71C25"/>
    <w:rsid w:val="00C864ED"/>
    <w:rsid w:val="00D045C2"/>
    <w:rsid w:val="00D61992"/>
    <w:rsid w:val="00D71C81"/>
    <w:rsid w:val="00E33124"/>
    <w:rsid w:val="00E3761D"/>
    <w:rsid w:val="00E44F4B"/>
    <w:rsid w:val="00EE73FE"/>
    <w:rsid w:val="00F122D0"/>
    <w:rsid w:val="00F70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A037C"/>
  <w15:chartTrackingRefBased/>
  <w15:docId w15:val="{8B1A035C-4A61-4555-8580-10B8D248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7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7779"/>
    <w:rPr>
      <w:color w:val="0563C1" w:themeColor="hyperlink"/>
      <w:u w:val="single"/>
    </w:rPr>
  </w:style>
  <w:style w:type="paragraph" w:styleId="Header">
    <w:name w:val="header"/>
    <w:basedOn w:val="Normal"/>
    <w:link w:val="HeaderChar"/>
    <w:uiPriority w:val="99"/>
    <w:unhideWhenUsed/>
    <w:rsid w:val="006C1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88D"/>
  </w:style>
  <w:style w:type="paragraph" w:styleId="Footer">
    <w:name w:val="footer"/>
    <w:basedOn w:val="Normal"/>
    <w:link w:val="FooterChar"/>
    <w:uiPriority w:val="99"/>
    <w:unhideWhenUsed/>
    <w:rsid w:val="006C1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88D"/>
  </w:style>
  <w:style w:type="table" w:styleId="TableGrid">
    <w:name w:val="Table Grid"/>
    <w:basedOn w:val="TableNormal"/>
    <w:uiPriority w:val="39"/>
    <w:rsid w:val="003A6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webSettings" Target="webSettings.xml"/><Relationship Id="rId7" Type="http://schemas.openxmlformats.org/officeDocument/2006/relationships/hyperlink" Target="mailto:anetta.hartlova@gu.se" TargetMode="Externa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atthias.trost@ncl.ac.uk" TargetMode="External"/><Relationship Id="rId11" Type="http://schemas.openxmlformats.org/officeDocument/2006/relationships/image" Target="media/image4.tif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901</Words>
  <Characters>5141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Trost</dc:creator>
  <cp:keywords/>
  <dc:description/>
  <cp:lastModifiedBy>Jose Marin Rubio</cp:lastModifiedBy>
  <cp:revision>4</cp:revision>
  <dcterms:created xsi:type="dcterms:W3CDTF">2022-10-04T11:11:00Z</dcterms:created>
  <dcterms:modified xsi:type="dcterms:W3CDTF">2022-10-04T14:41:00Z</dcterms:modified>
</cp:coreProperties>
</file>