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B251C" w14:textId="77777777" w:rsidR="00C47979" w:rsidRPr="00C47979" w:rsidRDefault="00C47979" w:rsidP="00C47979">
      <w:pPr>
        <w:spacing w:before="120" w:after="0" w:line="240" w:lineRule="auto"/>
        <w:rPr>
          <w:rFonts w:eastAsia="MS Mincho" w:cs="Times New Roman"/>
          <w:b/>
          <w:szCs w:val="24"/>
          <w:lang w:eastAsia="ko-KR"/>
        </w:rPr>
      </w:pPr>
      <w:r w:rsidRPr="00C47979">
        <w:rPr>
          <w:rFonts w:eastAsia="MS Mincho" w:cs="Times New Roman"/>
          <w:b/>
          <w:szCs w:val="24"/>
          <w:lang w:eastAsia="ko-KR"/>
        </w:rPr>
        <w:t xml:space="preserve">Table </w:t>
      </w:r>
      <w:r w:rsidRPr="00C47979">
        <w:rPr>
          <w:rFonts w:eastAsia="Malgun Gothic" w:cs="Times New Roman" w:hint="eastAsia"/>
          <w:b/>
          <w:szCs w:val="24"/>
          <w:lang w:eastAsia="ko-KR"/>
        </w:rPr>
        <w:t>EV</w:t>
      </w:r>
      <w:r w:rsidRPr="00C47979">
        <w:rPr>
          <w:rFonts w:eastAsia="MS Mincho" w:cs="Times New Roman"/>
          <w:b/>
          <w:szCs w:val="24"/>
          <w:lang w:eastAsia="ko-KR"/>
        </w:rPr>
        <w:t>1. Bacterial strains and plasmids</w:t>
      </w:r>
    </w:p>
    <w:tbl>
      <w:tblPr>
        <w:tblStyle w:val="TableGrid"/>
        <w:tblW w:w="9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2442"/>
        <w:gridCol w:w="1516"/>
        <w:gridCol w:w="1903"/>
        <w:gridCol w:w="1516"/>
        <w:gridCol w:w="1199"/>
      </w:tblGrid>
      <w:tr w:rsidR="00C47979" w:rsidRPr="00C47979" w14:paraId="2A028C6F" w14:textId="77777777" w:rsidTr="00DA3F0F">
        <w:tc>
          <w:tcPr>
            <w:tcW w:w="870" w:type="dxa"/>
            <w:tcBorders>
              <w:bottom w:val="single" w:sz="4" w:space="0" w:color="auto"/>
            </w:tcBorders>
            <w:vAlign w:val="center"/>
          </w:tcPr>
          <w:p w14:paraId="1D4B90CB" w14:textId="77777777" w:rsidR="00C47979" w:rsidRPr="00C47979" w:rsidRDefault="00C47979" w:rsidP="00C47979">
            <w:pPr>
              <w:spacing w:before="120"/>
              <w:jc w:val="center"/>
              <w:rPr>
                <w:rFonts w:ascii="Times New Roman" w:hAnsi="Times New Roman" w:cs="Times New Roman"/>
                <w:b/>
                <w:bCs/>
                <w:sz w:val="20"/>
                <w:szCs w:val="20"/>
                <w:lang w:eastAsia="ko-KR"/>
              </w:rPr>
            </w:pPr>
            <w:r w:rsidRPr="00C47979">
              <w:rPr>
                <w:rFonts w:ascii="Times New Roman" w:hAnsi="Times New Roman" w:cs="Times New Roman"/>
                <w:b/>
                <w:bCs/>
                <w:sz w:val="20"/>
                <w:szCs w:val="20"/>
                <w:lang w:eastAsia="ko-KR"/>
              </w:rPr>
              <w:t>Strain number</w:t>
            </w:r>
          </w:p>
        </w:tc>
        <w:tc>
          <w:tcPr>
            <w:tcW w:w="4035" w:type="dxa"/>
            <w:gridSpan w:val="2"/>
            <w:tcBorders>
              <w:bottom w:val="single" w:sz="4" w:space="0" w:color="auto"/>
            </w:tcBorders>
            <w:vAlign w:val="center"/>
          </w:tcPr>
          <w:p w14:paraId="76FE8B9E" w14:textId="77777777" w:rsidR="00C47979" w:rsidRPr="00C47979" w:rsidRDefault="00C47979" w:rsidP="00C47979">
            <w:pPr>
              <w:spacing w:before="120"/>
              <w:jc w:val="center"/>
              <w:rPr>
                <w:rFonts w:ascii="Times New Roman" w:hAnsi="Times New Roman" w:cs="Times New Roman"/>
                <w:b/>
                <w:sz w:val="20"/>
                <w:szCs w:val="20"/>
                <w:lang w:eastAsia="ko-KR"/>
              </w:rPr>
            </w:pPr>
            <w:r w:rsidRPr="00C47979">
              <w:rPr>
                <w:rFonts w:ascii="Times New Roman" w:hAnsi="Times New Roman" w:cs="Times New Roman"/>
                <w:b/>
                <w:sz w:val="20"/>
                <w:szCs w:val="20"/>
                <w:lang w:eastAsia="ko-KR"/>
              </w:rPr>
              <w:t xml:space="preserve">Strains </w:t>
            </w:r>
          </w:p>
        </w:tc>
        <w:tc>
          <w:tcPr>
            <w:tcW w:w="3480" w:type="dxa"/>
            <w:gridSpan w:val="2"/>
            <w:tcBorders>
              <w:bottom w:val="single" w:sz="4" w:space="0" w:color="auto"/>
            </w:tcBorders>
            <w:vAlign w:val="center"/>
          </w:tcPr>
          <w:p w14:paraId="1E3F1E5E" w14:textId="77777777" w:rsidR="00C47979" w:rsidRPr="00C47979" w:rsidRDefault="00C47979" w:rsidP="00C47979">
            <w:pPr>
              <w:spacing w:before="120"/>
              <w:jc w:val="center"/>
              <w:rPr>
                <w:rFonts w:ascii="Times New Roman" w:hAnsi="Times New Roman" w:cs="Times New Roman"/>
                <w:b/>
                <w:bCs/>
                <w:sz w:val="20"/>
                <w:szCs w:val="20"/>
                <w:lang w:eastAsia="ko-KR"/>
              </w:rPr>
            </w:pPr>
            <w:r w:rsidRPr="00C47979">
              <w:rPr>
                <w:rFonts w:ascii="Times New Roman" w:hAnsi="Times New Roman" w:cs="Times New Roman"/>
                <w:b/>
                <w:bCs/>
                <w:sz w:val="20"/>
                <w:szCs w:val="20"/>
                <w:lang w:eastAsia="ko-KR"/>
              </w:rPr>
              <w:t>Genotype</w:t>
            </w:r>
          </w:p>
        </w:tc>
        <w:tc>
          <w:tcPr>
            <w:tcW w:w="1085" w:type="dxa"/>
            <w:tcBorders>
              <w:bottom w:val="single" w:sz="4" w:space="0" w:color="auto"/>
            </w:tcBorders>
            <w:vAlign w:val="center"/>
          </w:tcPr>
          <w:p w14:paraId="767CBA43" w14:textId="77777777" w:rsidR="00C47979" w:rsidRPr="00C47979" w:rsidRDefault="00C47979" w:rsidP="00C47979">
            <w:pPr>
              <w:spacing w:before="120"/>
              <w:jc w:val="center"/>
              <w:rPr>
                <w:rFonts w:ascii="Times New Roman" w:hAnsi="Times New Roman" w:cs="Times New Roman"/>
                <w:b/>
                <w:sz w:val="20"/>
                <w:szCs w:val="20"/>
                <w:lang w:eastAsia="ko-KR"/>
              </w:rPr>
            </w:pPr>
            <w:r w:rsidRPr="00C47979">
              <w:rPr>
                <w:rFonts w:ascii="Times New Roman" w:hAnsi="Times New Roman" w:cs="Times New Roman"/>
                <w:b/>
                <w:sz w:val="20"/>
                <w:szCs w:val="20"/>
                <w:lang w:eastAsia="ko-KR"/>
              </w:rPr>
              <w:t>References</w:t>
            </w:r>
          </w:p>
        </w:tc>
      </w:tr>
      <w:tr w:rsidR="00C47979" w:rsidRPr="00C47979" w14:paraId="1054C4CF" w14:textId="77777777" w:rsidTr="00DA3F0F">
        <w:trPr>
          <w:trHeight w:val="712"/>
        </w:trPr>
        <w:tc>
          <w:tcPr>
            <w:tcW w:w="870" w:type="dxa"/>
            <w:tcBorders>
              <w:top w:val="single" w:sz="4" w:space="0" w:color="auto"/>
            </w:tcBorders>
          </w:tcPr>
          <w:p w14:paraId="3ED24DF9"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AS12</w:t>
            </w:r>
          </w:p>
        </w:tc>
        <w:tc>
          <w:tcPr>
            <w:tcW w:w="4035" w:type="dxa"/>
            <w:gridSpan w:val="2"/>
            <w:tcBorders>
              <w:top w:val="single" w:sz="4" w:space="0" w:color="auto"/>
            </w:tcBorders>
          </w:tcPr>
          <w:p w14:paraId="25062685"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MC4100(DE3)</w:t>
            </w:r>
          </w:p>
        </w:tc>
        <w:tc>
          <w:tcPr>
            <w:tcW w:w="3480" w:type="dxa"/>
            <w:gridSpan w:val="2"/>
            <w:tcBorders>
              <w:top w:val="single" w:sz="4" w:space="0" w:color="auto"/>
            </w:tcBorders>
          </w:tcPr>
          <w:p w14:paraId="780086B8"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Δ</w:t>
            </w:r>
            <w:r w:rsidRPr="00C47979">
              <w:rPr>
                <w:rFonts w:ascii="Times New Roman" w:hAnsi="Times New Roman" w:cs="Times New Roman"/>
                <w:i/>
                <w:iCs/>
                <w:sz w:val="20"/>
                <w:szCs w:val="20"/>
                <w:lang w:eastAsia="ko-KR"/>
              </w:rPr>
              <w:t>(</w:t>
            </w:r>
            <w:proofErr w:type="spellStart"/>
            <w:r w:rsidRPr="00C47979">
              <w:rPr>
                <w:rFonts w:ascii="Times New Roman" w:hAnsi="Times New Roman" w:cs="Times New Roman"/>
                <w:i/>
                <w:iCs/>
                <w:sz w:val="20"/>
                <w:szCs w:val="20"/>
                <w:lang w:eastAsia="ko-KR"/>
              </w:rPr>
              <w:t>argF</w:t>
            </w:r>
            <w:proofErr w:type="spellEnd"/>
            <w:r w:rsidRPr="00C47979">
              <w:rPr>
                <w:rFonts w:ascii="Times New Roman" w:hAnsi="Times New Roman" w:cs="Times New Roman"/>
                <w:i/>
                <w:iCs/>
                <w:sz w:val="20"/>
                <w:szCs w:val="20"/>
                <w:lang w:eastAsia="ko-KR"/>
              </w:rPr>
              <w:t xml:space="preserve">-lac) U169 araD139 rpsLS50 </w:t>
            </w:r>
            <w:proofErr w:type="spellStart"/>
            <w:r w:rsidRPr="00C47979">
              <w:rPr>
                <w:rFonts w:ascii="Times New Roman" w:hAnsi="Times New Roman" w:cs="Times New Roman"/>
                <w:i/>
                <w:iCs/>
                <w:sz w:val="20"/>
                <w:szCs w:val="20"/>
                <w:lang w:eastAsia="ko-KR"/>
              </w:rPr>
              <w:t>reLAl</w:t>
            </w:r>
            <w:proofErr w:type="spellEnd"/>
            <w:r w:rsidRPr="00C47979">
              <w:rPr>
                <w:rFonts w:ascii="Times New Roman" w:hAnsi="Times New Roman" w:cs="Times New Roman"/>
                <w:i/>
                <w:iCs/>
                <w:sz w:val="20"/>
                <w:szCs w:val="20"/>
                <w:lang w:eastAsia="ko-KR"/>
              </w:rPr>
              <w:t xml:space="preserve"> </w:t>
            </w:r>
            <w:proofErr w:type="spellStart"/>
            <w:r w:rsidRPr="00C47979">
              <w:rPr>
                <w:rFonts w:ascii="Times New Roman" w:hAnsi="Times New Roman" w:cs="Times New Roman"/>
                <w:i/>
                <w:iCs/>
                <w:sz w:val="20"/>
                <w:szCs w:val="20"/>
                <w:lang w:eastAsia="ko-KR"/>
              </w:rPr>
              <w:t>deoCI</w:t>
            </w:r>
            <w:proofErr w:type="spellEnd"/>
            <w:r w:rsidRPr="00C47979">
              <w:rPr>
                <w:rFonts w:ascii="Times New Roman" w:hAnsi="Times New Roman" w:cs="Times New Roman"/>
                <w:i/>
                <w:iCs/>
                <w:sz w:val="20"/>
                <w:szCs w:val="20"/>
                <w:lang w:eastAsia="ko-KR"/>
              </w:rPr>
              <w:t xml:space="preserve"> ptsF25 </w:t>
            </w:r>
            <w:proofErr w:type="spellStart"/>
            <w:r w:rsidRPr="00C47979">
              <w:rPr>
                <w:rFonts w:ascii="Times New Roman" w:hAnsi="Times New Roman" w:cs="Times New Roman"/>
                <w:i/>
                <w:iCs/>
                <w:sz w:val="20"/>
                <w:szCs w:val="20"/>
                <w:lang w:eastAsia="ko-KR"/>
              </w:rPr>
              <w:t>rpsR</w:t>
            </w:r>
            <w:proofErr w:type="spellEnd"/>
            <w:r w:rsidRPr="00C47979">
              <w:rPr>
                <w:rFonts w:ascii="Times New Roman" w:hAnsi="Times New Roman" w:cs="Times New Roman"/>
                <w:i/>
                <w:iCs/>
                <w:sz w:val="20"/>
                <w:szCs w:val="20"/>
                <w:lang w:eastAsia="ko-KR"/>
              </w:rPr>
              <w:t xml:space="preserve"> flbB301</w:t>
            </w:r>
          </w:p>
        </w:tc>
        <w:tc>
          <w:tcPr>
            <w:tcW w:w="1085" w:type="dxa"/>
            <w:tcBorders>
              <w:top w:val="single" w:sz="4" w:space="0" w:color="auto"/>
            </w:tcBorders>
          </w:tcPr>
          <w:p w14:paraId="473D28D8"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fldChar w:fldCharType="begin" w:fldLock="1"/>
            </w:r>
            <w:r w:rsidRPr="00C47979">
              <w:rPr>
                <w:rFonts w:ascii="Times New Roman" w:hAnsi="Times New Roman" w:cs="Times New Roman"/>
                <w:sz w:val="20"/>
                <w:szCs w:val="20"/>
                <w:lang w:eastAsia="ko-KR"/>
              </w:rPr>
              <w:instrText>ADDIN CSL_CITATION {"citationItems":[{"id":"ITEM-1","itemData":{"DOI":"10.1016/0022-2836(76)90119-4","ISSN":"00222836","PMID":"781293","abstract":"A general procedure is described for transposing the lac genes to selected locations on the Escherichia coli chromosome. These transpositions were designed so that the lac† † Abbreviations used (Taylor &amp; Trotter, 1972): lacZ and lacY are the only lac needed to be expressed for normal growth (Lac+ phenotype) on lactose. araC and lacI are control genes for the araOIBAD and lacPOZYA operons, leu and trpEDCBA are operons for genes involved in the biosynthesis of leucine and tryptophan. araOIBAD and lacPOZYA are operons for genes involved in the catabolism of arabinose and lactose. genes could be fused to nearby promoters. In particular, the lac genes were fused to the promoters for the araBAD, araC and leu genes. In these fusions the lac genes are regulated by the controls of the genes to which they are fused. These fusions are therefore useful in discovering new types of regulation of gene expression, as was found in the case of the araC gene. λ transducing phage carrying the fusion as well as nearby genes can easily be isolated. Some of these fusions may result in the formation of hybrid proteins. © 1976.","author":[{"dropping-particle":"","family":"Casadaban","given":"Malcolm J.","non-dropping-particle":"","parse-names":false,"suffix":""}],"container-title":"Journal of Molecular Biology","id":"ITEM-1","issued":{"date-parts":[["1976"]]},"title":"Transposition and fusion of the lac genes to selected promoters in Escherichia coli using bacteriophage lambda and Mu","type":"article-journal"},"uris":["http://www.mendeley.com/documents/?uuid=65c612f7-d011-4555-ae49-e72ad21f33d0"]}],"mendeley":{"formattedCitation":"(Casadaban, 1976)","plainTextFormattedCitation":"(Casadaban, 1976)","previouslyFormattedCitation":"(63)"},"properties":{"noteIndex":0},"schema":"https://github.com/citation-style-language/schema/raw/master/csl-citation.json"}</w:instrText>
            </w:r>
            <w:r w:rsidRPr="00C47979">
              <w:rPr>
                <w:rFonts w:ascii="Times New Roman" w:hAnsi="Times New Roman" w:cs="Times New Roman"/>
                <w:sz w:val="20"/>
                <w:szCs w:val="20"/>
                <w:lang w:eastAsia="ko-KR"/>
              </w:rPr>
              <w:fldChar w:fldCharType="separate"/>
            </w:r>
            <w:r w:rsidRPr="00C47979">
              <w:rPr>
                <w:rFonts w:ascii="Times New Roman" w:hAnsi="Times New Roman" w:cs="Times New Roman"/>
                <w:noProof/>
                <w:sz w:val="20"/>
                <w:szCs w:val="20"/>
                <w:lang w:eastAsia="ko-KR"/>
              </w:rPr>
              <w:t>(Casadaban, 1976)</w:t>
            </w:r>
            <w:r w:rsidRPr="00C47979">
              <w:rPr>
                <w:rFonts w:ascii="Times New Roman" w:hAnsi="Times New Roman" w:cs="Times New Roman"/>
                <w:sz w:val="20"/>
                <w:szCs w:val="20"/>
                <w:lang w:eastAsia="ko-KR"/>
              </w:rPr>
              <w:fldChar w:fldCharType="end"/>
            </w:r>
          </w:p>
        </w:tc>
      </w:tr>
      <w:tr w:rsidR="00C47979" w:rsidRPr="00C47979" w14:paraId="3E68DC59" w14:textId="77777777" w:rsidTr="00DA3F0F">
        <w:trPr>
          <w:trHeight w:val="591"/>
        </w:trPr>
        <w:tc>
          <w:tcPr>
            <w:tcW w:w="870" w:type="dxa"/>
            <w:tcBorders>
              <w:bottom w:val="single" w:sz="4" w:space="0" w:color="auto"/>
            </w:tcBorders>
            <w:vAlign w:val="center"/>
          </w:tcPr>
          <w:p w14:paraId="1F0EE09D" w14:textId="77777777" w:rsidR="00C47979" w:rsidRPr="00C47979" w:rsidRDefault="00C47979" w:rsidP="00C47979">
            <w:pPr>
              <w:spacing w:before="120"/>
              <w:jc w:val="center"/>
              <w:rPr>
                <w:rFonts w:ascii="Times New Roman" w:hAnsi="Times New Roman" w:cs="Times New Roman"/>
                <w:b/>
                <w:bCs/>
                <w:sz w:val="20"/>
                <w:szCs w:val="20"/>
                <w:lang w:eastAsia="ko-KR"/>
              </w:rPr>
            </w:pPr>
            <w:r w:rsidRPr="00C47979">
              <w:rPr>
                <w:rFonts w:ascii="Times New Roman" w:hAnsi="Times New Roman" w:cs="Times New Roman"/>
                <w:b/>
                <w:bCs/>
                <w:sz w:val="20"/>
                <w:szCs w:val="20"/>
                <w:lang w:eastAsia="ko-KR"/>
              </w:rPr>
              <w:t>Strain number</w:t>
            </w:r>
          </w:p>
        </w:tc>
        <w:tc>
          <w:tcPr>
            <w:tcW w:w="2595" w:type="dxa"/>
            <w:tcBorders>
              <w:bottom w:val="single" w:sz="4" w:space="0" w:color="auto"/>
            </w:tcBorders>
            <w:vAlign w:val="center"/>
          </w:tcPr>
          <w:p w14:paraId="18CBAF58" w14:textId="77777777" w:rsidR="00C47979" w:rsidRPr="00C47979" w:rsidRDefault="00C47979" w:rsidP="00C47979">
            <w:pPr>
              <w:spacing w:before="120"/>
              <w:jc w:val="center"/>
              <w:rPr>
                <w:rFonts w:ascii="Times New Roman" w:hAnsi="Times New Roman" w:cs="Times New Roman"/>
                <w:b/>
                <w:sz w:val="20"/>
                <w:szCs w:val="20"/>
                <w:lang w:eastAsia="ko-KR"/>
              </w:rPr>
            </w:pPr>
            <w:r w:rsidRPr="00C47979">
              <w:rPr>
                <w:rFonts w:ascii="Times New Roman" w:hAnsi="Times New Roman" w:cs="Times New Roman"/>
                <w:b/>
                <w:bCs/>
                <w:sz w:val="20"/>
                <w:szCs w:val="20"/>
                <w:lang w:eastAsia="ko-KR"/>
              </w:rPr>
              <w:t>Plasmid1</w:t>
            </w:r>
          </w:p>
        </w:tc>
        <w:tc>
          <w:tcPr>
            <w:tcW w:w="1440" w:type="dxa"/>
            <w:tcBorders>
              <w:bottom w:val="single" w:sz="4" w:space="0" w:color="auto"/>
            </w:tcBorders>
            <w:vAlign w:val="center"/>
          </w:tcPr>
          <w:p w14:paraId="5912814F" w14:textId="77777777" w:rsidR="00C47979" w:rsidRPr="00C47979" w:rsidRDefault="00C47979" w:rsidP="00C47979">
            <w:pPr>
              <w:spacing w:before="120"/>
              <w:jc w:val="center"/>
              <w:rPr>
                <w:rFonts w:ascii="Times New Roman" w:hAnsi="Times New Roman" w:cs="Times New Roman"/>
                <w:b/>
                <w:bCs/>
                <w:sz w:val="20"/>
                <w:szCs w:val="20"/>
                <w:lang w:eastAsia="ko-KR"/>
              </w:rPr>
            </w:pPr>
            <w:r w:rsidRPr="00C47979">
              <w:rPr>
                <w:rFonts w:ascii="Times New Roman" w:hAnsi="Times New Roman" w:cs="Times New Roman"/>
                <w:b/>
                <w:bCs/>
                <w:sz w:val="20"/>
                <w:szCs w:val="20"/>
                <w:lang w:eastAsia="ko-KR"/>
              </w:rPr>
              <w:t>Relevant Characteristics</w:t>
            </w:r>
          </w:p>
        </w:tc>
        <w:tc>
          <w:tcPr>
            <w:tcW w:w="1980" w:type="dxa"/>
            <w:tcBorders>
              <w:bottom w:val="single" w:sz="4" w:space="0" w:color="auto"/>
            </w:tcBorders>
            <w:vAlign w:val="center"/>
          </w:tcPr>
          <w:p w14:paraId="35F79256" w14:textId="77777777" w:rsidR="00C47979" w:rsidRPr="00C47979" w:rsidRDefault="00C47979" w:rsidP="00C47979">
            <w:pPr>
              <w:spacing w:before="120"/>
              <w:jc w:val="center"/>
              <w:rPr>
                <w:rFonts w:ascii="Times New Roman" w:hAnsi="Times New Roman" w:cs="Times New Roman"/>
                <w:b/>
                <w:bCs/>
                <w:sz w:val="20"/>
                <w:szCs w:val="20"/>
                <w:lang w:eastAsia="ko-KR"/>
              </w:rPr>
            </w:pPr>
            <w:r w:rsidRPr="00C47979">
              <w:rPr>
                <w:rFonts w:ascii="Times New Roman" w:hAnsi="Times New Roman" w:cs="Times New Roman"/>
                <w:b/>
                <w:bCs/>
                <w:sz w:val="20"/>
                <w:szCs w:val="20"/>
                <w:lang w:eastAsia="ko-KR"/>
              </w:rPr>
              <w:t>Plasmid2</w:t>
            </w:r>
          </w:p>
        </w:tc>
        <w:tc>
          <w:tcPr>
            <w:tcW w:w="1500" w:type="dxa"/>
            <w:tcBorders>
              <w:bottom w:val="single" w:sz="4" w:space="0" w:color="auto"/>
            </w:tcBorders>
            <w:vAlign w:val="center"/>
          </w:tcPr>
          <w:p w14:paraId="75B5B086" w14:textId="77777777" w:rsidR="00C47979" w:rsidRPr="00C47979" w:rsidRDefault="00C47979" w:rsidP="00C47979">
            <w:pPr>
              <w:spacing w:before="120"/>
              <w:jc w:val="center"/>
              <w:rPr>
                <w:rFonts w:ascii="Times New Roman" w:hAnsi="Times New Roman" w:cs="Times New Roman"/>
                <w:b/>
                <w:sz w:val="20"/>
                <w:szCs w:val="20"/>
                <w:lang w:eastAsia="ko-KR"/>
              </w:rPr>
            </w:pPr>
            <w:r w:rsidRPr="00C47979">
              <w:rPr>
                <w:rFonts w:ascii="Times New Roman" w:hAnsi="Times New Roman" w:cs="Times New Roman"/>
                <w:b/>
                <w:sz w:val="20"/>
                <w:szCs w:val="20"/>
                <w:lang w:eastAsia="ko-KR"/>
              </w:rPr>
              <w:t>Relevant Characteristics</w:t>
            </w:r>
          </w:p>
        </w:tc>
        <w:tc>
          <w:tcPr>
            <w:tcW w:w="1085" w:type="dxa"/>
            <w:tcBorders>
              <w:bottom w:val="single" w:sz="4" w:space="0" w:color="auto"/>
            </w:tcBorders>
            <w:vAlign w:val="center"/>
          </w:tcPr>
          <w:p w14:paraId="5642093A" w14:textId="77777777" w:rsidR="00C47979" w:rsidRPr="00C47979" w:rsidRDefault="00C47979" w:rsidP="00C47979">
            <w:pPr>
              <w:spacing w:before="120"/>
              <w:jc w:val="center"/>
              <w:rPr>
                <w:rFonts w:ascii="Times New Roman" w:hAnsi="Times New Roman" w:cs="Times New Roman"/>
                <w:b/>
                <w:sz w:val="20"/>
                <w:szCs w:val="20"/>
                <w:lang w:eastAsia="ko-KR"/>
              </w:rPr>
            </w:pPr>
            <w:r w:rsidRPr="00C47979">
              <w:rPr>
                <w:rFonts w:ascii="Times New Roman" w:hAnsi="Times New Roman" w:cs="Times New Roman"/>
                <w:b/>
                <w:sz w:val="20"/>
                <w:szCs w:val="20"/>
                <w:lang w:eastAsia="ko-KR"/>
              </w:rPr>
              <w:t>References</w:t>
            </w:r>
          </w:p>
        </w:tc>
        <w:bookmarkStart w:id="0" w:name="_GoBack"/>
        <w:bookmarkEnd w:id="0"/>
      </w:tr>
      <w:tr w:rsidR="00C47979" w:rsidRPr="00C47979" w14:paraId="78B40413" w14:textId="77777777" w:rsidTr="00DA3F0F">
        <w:tc>
          <w:tcPr>
            <w:tcW w:w="870" w:type="dxa"/>
            <w:tcBorders>
              <w:top w:val="single" w:sz="4" w:space="0" w:color="auto"/>
            </w:tcBorders>
            <w:vAlign w:val="center"/>
          </w:tcPr>
          <w:p w14:paraId="57DA19D9"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AS181</w:t>
            </w:r>
          </w:p>
          <w:p w14:paraId="651E79AA"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AS197</w:t>
            </w:r>
          </w:p>
          <w:p w14:paraId="5D2E54CF"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AS171</w:t>
            </w:r>
          </w:p>
          <w:p w14:paraId="5578722C"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AS183</w:t>
            </w:r>
          </w:p>
          <w:p w14:paraId="08C0EE2F"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AS185</w:t>
            </w:r>
          </w:p>
          <w:p w14:paraId="6C7E3FA3"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AS187</w:t>
            </w:r>
          </w:p>
          <w:p w14:paraId="425C43C1"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AS189</w:t>
            </w:r>
          </w:p>
          <w:p w14:paraId="68A0208C"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AS191</w:t>
            </w:r>
          </w:p>
          <w:p w14:paraId="620D881A"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AS193</w:t>
            </w:r>
          </w:p>
          <w:p w14:paraId="3C2B4734"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AS195</w:t>
            </w:r>
          </w:p>
          <w:p w14:paraId="63577619"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AS173</w:t>
            </w:r>
          </w:p>
          <w:p w14:paraId="2D5A7F9D"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AS175</w:t>
            </w:r>
          </w:p>
          <w:p w14:paraId="03DE7E69"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AS177</w:t>
            </w:r>
          </w:p>
          <w:p w14:paraId="09A4237E"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AS179</w:t>
            </w:r>
          </w:p>
          <w:p w14:paraId="78F245BA"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AS199</w:t>
            </w:r>
          </w:p>
          <w:p w14:paraId="0169F02D"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AS209</w:t>
            </w:r>
          </w:p>
          <w:p w14:paraId="582FAEB6"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AS211</w:t>
            </w:r>
          </w:p>
          <w:p w14:paraId="384E5715"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AS212</w:t>
            </w:r>
          </w:p>
          <w:p w14:paraId="306F9333"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AS213</w:t>
            </w:r>
          </w:p>
          <w:p w14:paraId="436EEBCF"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AS214</w:t>
            </w:r>
          </w:p>
          <w:p w14:paraId="11594DB4"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AS215</w:t>
            </w:r>
          </w:p>
          <w:p w14:paraId="2A069C47"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AS216</w:t>
            </w:r>
          </w:p>
          <w:p w14:paraId="5AA617DF"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AS201</w:t>
            </w:r>
          </w:p>
          <w:p w14:paraId="30EEBC2D"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AS203</w:t>
            </w:r>
          </w:p>
          <w:p w14:paraId="51B5CEFB"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AS205</w:t>
            </w:r>
          </w:p>
          <w:p w14:paraId="46D25BB5"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AS207</w:t>
            </w:r>
          </w:p>
        </w:tc>
        <w:tc>
          <w:tcPr>
            <w:tcW w:w="2595" w:type="dxa"/>
            <w:tcBorders>
              <w:top w:val="single" w:sz="4" w:space="0" w:color="auto"/>
            </w:tcBorders>
            <w:vAlign w:val="center"/>
          </w:tcPr>
          <w:p w14:paraId="0F151782"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37338728"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4ED4D475"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55E77EEB"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2CFCE539"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7CF28C1A"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7FF5BDD3"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11803593"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7E940DDB"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10E49960"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2CDCB372"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29DCDF67"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197334BB"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73BABA41"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pBAD</w:t>
            </w:r>
            <w:proofErr w:type="spellEnd"/>
            <w:r w:rsidRPr="00C47979">
              <w:rPr>
                <w:rFonts w:ascii="Times New Roman" w:hAnsi="Times New Roman" w:cs="Times New Roman"/>
                <w:sz w:val="20"/>
                <w:szCs w:val="20"/>
                <w:lang w:eastAsia="ko-KR"/>
              </w:rPr>
              <w:t>/HisD-TagRFP675</w:t>
            </w:r>
          </w:p>
          <w:p w14:paraId="5D884506"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4FCCE94B"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031ED497"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50CE5F60"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182DBA66"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2D54A157"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22BE489F"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78F4B035"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5E18E726"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7C688D6B"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5206424C"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p w14:paraId="552A4456"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pBAD19-wtGFP</w:t>
            </w:r>
          </w:p>
        </w:tc>
        <w:tc>
          <w:tcPr>
            <w:tcW w:w="1440" w:type="dxa"/>
            <w:tcBorders>
              <w:top w:val="single" w:sz="4" w:space="0" w:color="auto"/>
            </w:tcBorders>
            <w:vAlign w:val="center"/>
          </w:tcPr>
          <w:p w14:paraId="518C7234"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1406225D"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4A610BB9"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080B8C0E"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3E08B261"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6EAFFD0A"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708B659C"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2EC610FA"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7F8611AC"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5560DEEE"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00553C96"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6101FE16"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247D89A8"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7F16B6F6"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2575FFC4"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3AE1DA8B"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0589E642"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16532AB3"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0F99DBC3"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1C908D4D"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7089850F"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66C2723B"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4CA51CEC"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75535B41"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19E0BE6F"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p w14:paraId="5DF65880"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ApR</w:t>
            </w:r>
            <w:proofErr w:type="spellEnd"/>
          </w:p>
        </w:tc>
        <w:tc>
          <w:tcPr>
            <w:tcW w:w="1980" w:type="dxa"/>
            <w:tcBorders>
              <w:top w:val="single" w:sz="4" w:space="0" w:color="auto"/>
            </w:tcBorders>
            <w:vAlign w:val="center"/>
          </w:tcPr>
          <w:p w14:paraId="4EAE1ED6" w14:textId="77777777" w:rsidR="00C47979" w:rsidRPr="00C47979" w:rsidRDefault="00C47979" w:rsidP="00C47979">
            <w:pPr>
              <w:spacing w:before="120"/>
              <w:jc w:val="center"/>
              <w:rPr>
                <w:rFonts w:ascii="Times New Roman" w:hAnsi="Times New Roman" w:cs="Times New Roman"/>
                <w:sz w:val="20"/>
                <w:szCs w:val="20"/>
                <w:lang w:eastAsia="ko-KR"/>
              </w:rPr>
            </w:pPr>
          </w:p>
          <w:p w14:paraId="08E1C6A5" w14:textId="77777777" w:rsidR="00C47979" w:rsidRPr="00C47979" w:rsidRDefault="00C47979" w:rsidP="00C47979">
            <w:pPr>
              <w:spacing w:before="120"/>
              <w:jc w:val="center"/>
              <w:rPr>
                <w:rFonts w:ascii="Times New Roman" w:hAnsi="Times New Roman" w:cs="Times New Roman"/>
                <w:sz w:val="20"/>
                <w:szCs w:val="20"/>
                <w:lang w:eastAsia="ko-KR"/>
              </w:rPr>
            </w:pPr>
          </w:p>
          <w:p w14:paraId="588E65AE"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pBAD33mut-Empty</w:t>
            </w:r>
          </w:p>
          <w:p w14:paraId="69DFB7D3"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pBAD33-GroEL</w:t>
            </w:r>
          </w:p>
          <w:p w14:paraId="469BFDE8"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pBAD33-DnaK</w:t>
            </w:r>
          </w:p>
          <w:p w14:paraId="69688877"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pBAD33-Hsp33</w:t>
            </w:r>
          </w:p>
          <w:p w14:paraId="6A483F9A"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pBAD33-ClpA</w:t>
            </w:r>
          </w:p>
          <w:p w14:paraId="70BCF93E"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pBAD33-Spy</w:t>
            </w:r>
          </w:p>
          <w:p w14:paraId="1CB2BADC"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pBAD33-IbpA</w:t>
            </w:r>
          </w:p>
          <w:p w14:paraId="0FB73CCD"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pBAD33-IbpB</w:t>
            </w:r>
          </w:p>
          <w:p w14:paraId="03A444C4"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pBAD33mut-Seq42</w:t>
            </w:r>
          </w:p>
          <w:p w14:paraId="4FEEC0D5"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pBAD33mut-Seq359</w:t>
            </w:r>
          </w:p>
          <w:p w14:paraId="15689CF9"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pBAD33mut-Seq536</w:t>
            </w:r>
          </w:p>
          <w:p w14:paraId="695ABE04" w14:textId="77777777" w:rsidR="00C47979" w:rsidRPr="00C47979" w:rsidRDefault="00C47979" w:rsidP="00C47979">
            <w:pPr>
              <w:spacing w:before="120"/>
              <w:jc w:val="center"/>
              <w:rPr>
                <w:rFonts w:ascii="Times New Roman" w:hAnsi="Times New Roman" w:cs="Times New Roman"/>
                <w:b/>
                <w:bCs/>
                <w:sz w:val="20"/>
                <w:szCs w:val="20"/>
                <w:lang w:eastAsia="ko-KR"/>
              </w:rPr>
            </w:pPr>
            <w:r w:rsidRPr="00C47979">
              <w:rPr>
                <w:rFonts w:ascii="Times New Roman" w:hAnsi="Times New Roman" w:cs="Times New Roman"/>
                <w:sz w:val="20"/>
                <w:szCs w:val="20"/>
                <w:lang w:eastAsia="ko-KR"/>
              </w:rPr>
              <w:t>pBAD33mut-Seq576</w:t>
            </w:r>
          </w:p>
          <w:p w14:paraId="59389D2E"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pBAD33mut-Empty</w:t>
            </w:r>
          </w:p>
          <w:p w14:paraId="6BF2E5F8"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pBAD33-GroEL</w:t>
            </w:r>
          </w:p>
          <w:p w14:paraId="606D4963"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pBAD33-DnaK</w:t>
            </w:r>
          </w:p>
          <w:p w14:paraId="5BA54330"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pBAD33-Hsp33</w:t>
            </w:r>
          </w:p>
          <w:p w14:paraId="6E0F7BAD"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pBAD33-ClpA</w:t>
            </w:r>
          </w:p>
          <w:p w14:paraId="6308839F"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pBAD33-Spy</w:t>
            </w:r>
          </w:p>
          <w:p w14:paraId="58AE5AA1"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pBAD33-IbpA</w:t>
            </w:r>
          </w:p>
          <w:p w14:paraId="33D7B399"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pBAD33-IbpB</w:t>
            </w:r>
          </w:p>
          <w:p w14:paraId="7511B7A4"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pBAD33mut-Seq42</w:t>
            </w:r>
          </w:p>
          <w:p w14:paraId="43BEFE39"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pBAD33mut-Seq359</w:t>
            </w:r>
          </w:p>
          <w:p w14:paraId="112B9D10"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pBAD33mut-Seq536</w:t>
            </w:r>
          </w:p>
          <w:p w14:paraId="513525CF"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pBAD33mut-Seq576</w:t>
            </w:r>
          </w:p>
        </w:tc>
        <w:tc>
          <w:tcPr>
            <w:tcW w:w="1500" w:type="dxa"/>
            <w:tcBorders>
              <w:top w:val="single" w:sz="4" w:space="0" w:color="auto"/>
            </w:tcBorders>
            <w:vAlign w:val="center"/>
          </w:tcPr>
          <w:p w14:paraId="7EF85C79" w14:textId="77777777" w:rsidR="00C47979" w:rsidRPr="00C47979" w:rsidRDefault="00C47979" w:rsidP="00C47979">
            <w:pPr>
              <w:spacing w:before="120"/>
              <w:jc w:val="center"/>
              <w:rPr>
                <w:rFonts w:ascii="Times New Roman" w:hAnsi="Times New Roman" w:cs="Times New Roman"/>
                <w:sz w:val="20"/>
                <w:szCs w:val="20"/>
                <w:lang w:eastAsia="ko-KR"/>
              </w:rPr>
            </w:pPr>
          </w:p>
          <w:p w14:paraId="19008BD7" w14:textId="77777777" w:rsidR="00C47979" w:rsidRPr="00C47979" w:rsidRDefault="00C47979" w:rsidP="00C47979">
            <w:pPr>
              <w:spacing w:before="120"/>
              <w:jc w:val="center"/>
              <w:rPr>
                <w:rFonts w:ascii="Times New Roman" w:hAnsi="Times New Roman" w:cs="Times New Roman"/>
                <w:sz w:val="20"/>
                <w:szCs w:val="20"/>
                <w:lang w:eastAsia="ko-KR"/>
              </w:rPr>
            </w:pPr>
          </w:p>
          <w:p w14:paraId="45017093"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63489D74"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73CD541D"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2720C8BC"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2FC192DD"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302BF576"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21748D28"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0F57F07B"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3BB153F5"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1CEEBD77"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0DE74172"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7BC66344"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04DB1208"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634F66CA"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782741D3"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151531D1"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6924E3A2"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473DAD58"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242FED99"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5DBADE3F"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64ED04A8"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73D87ED7"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5386E7D4"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p w14:paraId="7978953E" w14:textId="77777777" w:rsidR="00C47979" w:rsidRPr="00C47979" w:rsidRDefault="00C47979" w:rsidP="00C47979">
            <w:pPr>
              <w:spacing w:before="120"/>
              <w:jc w:val="center"/>
              <w:rPr>
                <w:rFonts w:ascii="Times New Roman" w:hAnsi="Times New Roman" w:cs="Times New Roman"/>
                <w:sz w:val="20"/>
                <w:szCs w:val="20"/>
                <w:lang w:eastAsia="ko-KR"/>
              </w:rPr>
            </w:pPr>
            <w:proofErr w:type="spellStart"/>
            <w:r w:rsidRPr="00C47979">
              <w:rPr>
                <w:rFonts w:ascii="Times New Roman" w:hAnsi="Times New Roman" w:cs="Times New Roman"/>
                <w:sz w:val="20"/>
                <w:szCs w:val="20"/>
                <w:lang w:eastAsia="ko-KR"/>
              </w:rPr>
              <w:t>CmR</w:t>
            </w:r>
            <w:proofErr w:type="spellEnd"/>
          </w:p>
        </w:tc>
        <w:tc>
          <w:tcPr>
            <w:tcW w:w="1085" w:type="dxa"/>
            <w:tcBorders>
              <w:top w:val="single" w:sz="4" w:space="0" w:color="auto"/>
            </w:tcBorders>
            <w:vAlign w:val="center"/>
          </w:tcPr>
          <w:p w14:paraId="22025493"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fldChar w:fldCharType="begin" w:fldLock="1"/>
            </w:r>
            <w:r w:rsidRPr="00C47979">
              <w:rPr>
                <w:rFonts w:ascii="Times New Roman" w:hAnsi="Times New Roman" w:cs="Times New Roman"/>
                <w:sz w:val="20"/>
                <w:szCs w:val="20"/>
                <w:lang w:eastAsia="ko-KR"/>
              </w:rPr>
              <w:instrText>ADDIN CSL_CITATION {"citationItems":[{"id":"ITEM-1","itemData":{"DOI":"10.1038/srep01847","ISSN":"20452322","abstract":"Most GFP-like fluorescent proteins exhibit small Stokes shifts (10-45 nm) due to rigidity of the chromophore environment that excludes non-fluorescent relaxation to a ground state. An unusual near-infrared derivative of the red fluorescent protein mKate, named TagRFP675, exhibits the Stokes shift, which is 30 nm extended comparing to that of the parental protein. In physiological conditions, TagRFP675 absorbs at 598 nm and emits at 675 nm that makes it the most red-shifted protein of the GFP-like protein family. In addition, its emission maximum strongly depends on the excitation wavelength. Structures of TagRFP675 revealed the common DsRed-like chromophore, which, however, interacts with the protein matrix via an extensive network of hydrogen bonds capable of large flexibility. Based on the spectroscopic, biochemical, and structural analysis we suggest that the rearrangement of the hydrogen bond interactions between the chromophore and the protein matrix is responsible for the TagRFP675 spectral properties.","author":[{"dropping-particle":"","family":"Piatkevich","given":"Kiryl D.","non-dropping-particle":"","parse-names":false,"suffix":""},{"dropping-particle":"","family":"Malashkevich","given":"Vladimir N.","non-dropping-particle":"","parse-names":false,"suffix":""},{"dropping-particle":"","family":"Morozova","given":"Kateryna S.","non-dropping-particle":"","parse-names":false,"suffix":""},{"dropping-particle":"","family":"Nemkovich","given":"Nicolai A.","non-dropping-particle":"","parse-names":false,"suffix":""},{"dropping-particle":"","family":"Almo","given":"Steven C.","non-dropping-particle":"","parse-names":false,"suffix":""},{"dropping-particle":"V.","family":"Verkhusha","given":"Vladislav","non-dropping-particle":"","parse-names":false,"suffix":""}],"container-title":"Scientific Reports","id":"ITEM-1","issued":{"date-parts":[["2013"]]},"title":"Extended stokes shift in fluorescent proteins: Chromophore-protein interactions in a near-infrared TagRFP675 variant","type":"article-journal"},"uris":["http://www.mendeley.com/documents/?uuid=2291b985-72c3-4bce-b07b-19ea658c0ee3"]}],"mendeley":{"formattedCitation":"(Piatkevich et al., 2013)","plainTextFormattedCitation":"(Piatkevich et al., 2013)","previouslyFormattedCitation":"(38)"},"properties":{"noteIndex":0},"schema":"https://github.com/citation-style-language/schema/raw/master/csl-citation.json"}</w:instrText>
            </w:r>
            <w:r w:rsidRPr="00C47979">
              <w:rPr>
                <w:rFonts w:ascii="Times New Roman" w:hAnsi="Times New Roman" w:cs="Times New Roman"/>
                <w:sz w:val="20"/>
                <w:szCs w:val="20"/>
                <w:lang w:eastAsia="ko-KR"/>
              </w:rPr>
              <w:fldChar w:fldCharType="separate"/>
            </w:r>
            <w:r w:rsidRPr="00C47979">
              <w:rPr>
                <w:rFonts w:ascii="Times New Roman" w:hAnsi="Times New Roman" w:cs="Times New Roman"/>
                <w:noProof/>
                <w:sz w:val="20"/>
                <w:szCs w:val="20"/>
                <w:lang w:eastAsia="ko-KR"/>
              </w:rPr>
              <w:t>(Piatkevich et al., 2013)</w:t>
            </w:r>
            <w:r w:rsidRPr="00C47979">
              <w:rPr>
                <w:rFonts w:ascii="Times New Roman" w:hAnsi="Times New Roman" w:cs="Times New Roman"/>
                <w:sz w:val="20"/>
                <w:szCs w:val="20"/>
                <w:lang w:eastAsia="ko-KR"/>
              </w:rPr>
              <w:fldChar w:fldCharType="end"/>
            </w:r>
          </w:p>
          <w:p w14:paraId="4E73585A"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fldChar w:fldCharType="begin" w:fldLock="1"/>
            </w:r>
            <w:r w:rsidRPr="00C47979">
              <w:rPr>
                <w:rFonts w:ascii="Times New Roman" w:hAnsi="Times New Roman" w:cs="Times New Roman"/>
                <w:sz w:val="20"/>
                <w:szCs w:val="20"/>
                <w:lang w:eastAsia="ko-KR"/>
              </w:rPr>
              <w:instrText>ADDIN CSL_CITATION {"citationItems":[{"id":"ITEM-1","itemData":{"DOI":"10.1038/srep01847","ISSN":"20452322","abstract":"Most GFP-like fluorescent proteins exhibit small Stokes shifts (10-45 nm) due to rigidity of the chromophore environment that excludes non-fluorescent relaxation to a ground state. An unusual near-infrared derivative of the red fluorescent protein mKate, named TagRFP675, exhibits the Stokes shift, which is 30 nm extended comparing to that of the parental protein. In physiological conditions, TagRFP675 absorbs at 598 nm and emits at 675 nm that makes it the most red-shifted protein of the GFP-like protein family. In addition, its emission maximum strongly depends on the excitation wavelength. Structures of TagRFP675 revealed the common DsRed-like chromophore, which, however, interacts with the protein matrix via an extensive network of hydrogen bonds capable of large flexibility. Based on the spectroscopic, biochemical, and structural analysis we suggest that the rearrangement of the hydrogen bond interactions between the chromophore and the protein matrix is responsible for the TagRFP675 spectral properties.","author":[{"dropping-particle":"","family":"Piatkevich","given":"Kiryl D.","non-dropping-particle":"","parse-names":false,"suffix":""},{"dropping-particle":"","family":"Malashkevich","given":"Vladimir N.","non-dropping-particle":"","parse-names":false,"suffix":""},{"dropping-particle":"","family":"Morozova","given":"Kateryna S.","non-dropping-particle":"","parse-names":false,"suffix":""},{"dropping-particle":"","family":"Nemkovich","given":"Nicolai A.","non-dropping-particle":"","parse-names":false,"suffix":""},{"dropping-particle":"","family":"Almo","given":"Steven C.","non-dropping-particle":"","parse-names":false,"suffix":""},{"dropping-particle":"V.","family":"Verkhusha","given":"Vladislav","non-dropping-particle":"","parse-names":false,"suffix":""}],"container-title":"Scientific Reports","id":"ITEM-1","issued":{"date-parts":[["2013"]]},"title":"Extended stokes shift in fluorescent proteins: Chromophore-protein interactions in a near-infrared TagRFP675 variant","type":"article-journal"},"uris":["http://www.mendeley.com/documents/?uuid=2291b985-72c3-4bce-b07b-19ea658c0ee3"]}],"mendeley":{"formattedCitation":"(Piatkevich et al., 2013)","plainTextFormattedCitation":"(Piatkevich et al., 2013)","previouslyFormattedCitation":"(38)"},"properties":{"noteIndex":0},"schema":"https://github.com/citation-style-language/schema/raw/master/csl-citation.json"}</w:instrText>
            </w:r>
            <w:r w:rsidRPr="00C47979">
              <w:rPr>
                <w:rFonts w:ascii="Times New Roman" w:hAnsi="Times New Roman" w:cs="Times New Roman"/>
                <w:sz w:val="20"/>
                <w:szCs w:val="20"/>
                <w:lang w:eastAsia="ko-KR"/>
              </w:rPr>
              <w:fldChar w:fldCharType="separate"/>
            </w:r>
            <w:r w:rsidRPr="00C47979">
              <w:rPr>
                <w:rFonts w:ascii="Times New Roman" w:hAnsi="Times New Roman" w:cs="Times New Roman"/>
                <w:noProof/>
                <w:sz w:val="20"/>
                <w:szCs w:val="20"/>
                <w:lang w:eastAsia="ko-KR"/>
              </w:rPr>
              <w:t>(Piatkevich et al., 2013)</w:t>
            </w:r>
            <w:r w:rsidRPr="00C47979">
              <w:rPr>
                <w:rFonts w:ascii="Times New Roman" w:hAnsi="Times New Roman" w:cs="Times New Roman"/>
                <w:sz w:val="20"/>
                <w:szCs w:val="20"/>
                <w:lang w:eastAsia="ko-KR"/>
              </w:rPr>
              <w:fldChar w:fldCharType="end"/>
            </w:r>
          </w:p>
          <w:p w14:paraId="3A116371"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4820AB5C"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285AC2F0"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3CF534D9"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25F9437F"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669F30BB"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041D6EB9"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782D5B30"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7F10322D"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2B61DE5C"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649C4C8E"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5B31DB52"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22B7BCAC"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7DCDCAD4"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5AEB17A2"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07F67BFE"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15FF8675"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06D5FF6A"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5AB42EDE"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4D76DEAD"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64497F7E"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72ACED25"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6F12A59D"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p w14:paraId="39687DEF" w14:textId="77777777" w:rsidR="00C47979" w:rsidRPr="00C47979" w:rsidRDefault="00C47979" w:rsidP="00C47979">
            <w:pPr>
              <w:spacing w:before="120"/>
              <w:jc w:val="center"/>
              <w:rPr>
                <w:rFonts w:ascii="Times New Roman" w:hAnsi="Times New Roman" w:cs="Times New Roman"/>
                <w:sz w:val="20"/>
                <w:szCs w:val="20"/>
                <w:lang w:eastAsia="ko-KR"/>
              </w:rPr>
            </w:pPr>
            <w:r w:rsidRPr="00C47979">
              <w:rPr>
                <w:rFonts w:ascii="Times New Roman" w:hAnsi="Times New Roman" w:cs="Times New Roman"/>
                <w:sz w:val="20"/>
                <w:szCs w:val="20"/>
                <w:lang w:eastAsia="ko-KR"/>
              </w:rPr>
              <w:t>This study</w:t>
            </w:r>
          </w:p>
        </w:tc>
      </w:tr>
    </w:tbl>
    <w:p w14:paraId="2D0D4D55" w14:textId="77777777" w:rsidR="008D3B1F" w:rsidRDefault="008D3B1F"/>
    <w:sectPr w:rsidR="008D3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979"/>
    <w:rsid w:val="00024CE7"/>
    <w:rsid w:val="00047C3E"/>
    <w:rsid w:val="00053D48"/>
    <w:rsid w:val="0007748D"/>
    <w:rsid w:val="000C5347"/>
    <w:rsid w:val="000E526A"/>
    <w:rsid w:val="0011318D"/>
    <w:rsid w:val="001A58BC"/>
    <w:rsid w:val="001D1652"/>
    <w:rsid w:val="00244FBC"/>
    <w:rsid w:val="002C79FC"/>
    <w:rsid w:val="002F4AAE"/>
    <w:rsid w:val="00325C02"/>
    <w:rsid w:val="00370621"/>
    <w:rsid w:val="00416D6A"/>
    <w:rsid w:val="00444E31"/>
    <w:rsid w:val="00485826"/>
    <w:rsid w:val="004E5A40"/>
    <w:rsid w:val="004F0C8C"/>
    <w:rsid w:val="00602A0D"/>
    <w:rsid w:val="006834AE"/>
    <w:rsid w:val="006B0603"/>
    <w:rsid w:val="007A78E1"/>
    <w:rsid w:val="007F6800"/>
    <w:rsid w:val="00806625"/>
    <w:rsid w:val="00822731"/>
    <w:rsid w:val="00822930"/>
    <w:rsid w:val="008D3B1F"/>
    <w:rsid w:val="008E7134"/>
    <w:rsid w:val="00901D68"/>
    <w:rsid w:val="00955C77"/>
    <w:rsid w:val="009C47EE"/>
    <w:rsid w:val="009C65E8"/>
    <w:rsid w:val="00A309B4"/>
    <w:rsid w:val="00AA1EC4"/>
    <w:rsid w:val="00AE70CF"/>
    <w:rsid w:val="00B43A61"/>
    <w:rsid w:val="00B60083"/>
    <w:rsid w:val="00B80684"/>
    <w:rsid w:val="00BA0DB2"/>
    <w:rsid w:val="00C02E1D"/>
    <w:rsid w:val="00C47979"/>
    <w:rsid w:val="00CB5EF2"/>
    <w:rsid w:val="00CB7960"/>
    <w:rsid w:val="00CC1103"/>
    <w:rsid w:val="00D00B5C"/>
    <w:rsid w:val="00D07FCE"/>
    <w:rsid w:val="00D65822"/>
    <w:rsid w:val="00D772D1"/>
    <w:rsid w:val="00DC6656"/>
    <w:rsid w:val="00DE474D"/>
    <w:rsid w:val="00DE7262"/>
    <w:rsid w:val="00E61B27"/>
    <w:rsid w:val="00E97EC2"/>
    <w:rsid w:val="00F116AA"/>
    <w:rsid w:val="00F36690"/>
    <w:rsid w:val="00F80972"/>
    <w:rsid w:val="00FA1C0A"/>
    <w:rsid w:val="00FC0948"/>
    <w:rsid w:val="00FE5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0E68E"/>
  <w15:chartTrackingRefBased/>
  <w15:docId w15:val="{9E114E19-F6DF-4482-AF7E-71DA812C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7979"/>
    <w:pPr>
      <w:spacing w:after="0" w:line="240" w:lineRule="auto"/>
    </w:pPr>
    <w:rPr>
      <w:rFonts w:ascii="Calibri" w:eastAsia="MS Mincho"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A126E5BA360D46A6031186710392F2" ma:contentTypeVersion="12" ma:contentTypeDescription="Create a new document." ma:contentTypeScope="" ma:versionID="6ebe126624603e6b6489e6f3bd23358c">
  <xsd:schema xmlns:xsd="http://www.w3.org/2001/XMLSchema" xmlns:xs="http://www.w3.org/2001/XMLSchema" xmlns:p="http://schemas.microsoft.com/office/2006/metadata/properties" xmlns:ns3="bd820b0f-7667-4ed7-b8d9-bf536fcc1dfe" xmlns:ns4="0b93c58a-1b95-4b97-87cd-61ba3353ac37" targetNamespace="http://schemas.microsoft.com/office/2006/metadata/properties" ma:root="true" ma:fieldsID="6bd7533768a8a72e2a6f593e6e24a9ff" ns3:_="" ns4:_="">
    <xsd:import namespace="bd820b0f-7667-4ed7-b8d9-bf536fcc1dfe"/>
    <xsd:import namespace="0b93c58a-1b95-4b97-87cd-61ba3353ac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20b0f-7667-4ed7-b8d9-bf536fcc1df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3c58a-1b95-4b97-87cd-61ba3353ac3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B55CEC-7C74-4528-91A7-E95E1CA76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20b0f-7667-4ed7-b8d9-bf536fcc1dfe"/>
    <ds:schemaRef ds:uri="0b93c58a-1b95-4b97-87cd-61ba3353a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AAC03-86B8-4227-9746-6A86DEDDB57C}">
  <ds:schemaRefs>
    <ds:schemaRef ds:uri="http://schemas.microsoft.com/sharepoint/v3/contenttype/forms"/>
  </ds:schemaRefs>
</ds:datastoreItem>
</file>

<file path=customXml/itemProps3.xml><?xml version="1.0" encoding="utf-8"?>
<ds:datastoreItem xmlns:ds="http://schemas.openxmlformats.org/officeDocument/2006/customXml" ds:itemID="{023980BD-751F-4FCF-B9DA-3B27E6CC6D70}">
  <ds:schemaRefs>
    <ds:schemaRef ds:uri="http://schemas.openxmlformats.org/package/2006/metadata/core-properties"/>
    <ds:schemaRef ds:uri="0b93c58a-1b95-4b97-87cd-61ba3353ac37"/>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bd820b0f-7667-4ed7-b8d9-bf536fcc1df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1308</Words>
  <Characters>7461</Characters>
  <Application>Microsoft Office Word</Application>
  <DocSecurity>0</DocSecurity>
  <Lines>62</Lines>
  <Paragraphs>17</Paragraphs>
  <ScaleCrop>false</ScaleCrop>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Horowitz</dc:creator>
  <cp:keywords/>
  <dc:description/>
  <cp:lastModifiedBy>Scott Horowitz</cp:lastModifiedBy>
  <cp:revision>1</cp:revision>
  <dcterms:created xsi:type="dcterms:W3CDTF">2020-08-04T15:39:00Z</dcterms:created>
  <dcterms:modified xsi:type="dcterms:W3CDTF">2020-08-04T15:40:00Z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0x01010087A126E5BA360D46A6031186710392F2</vt:lpwstr>
  </property>
</Properties>
</file>