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pPr w:leftFromText="180" w:rightFromText="180" w:tblpY="512"/>
        <w:tblW w:w="8815" w:type="dxa"/>
        <w:tblLook w:val="04A0" w:firstRow="1" w:lastRow="0" w:firstColumn="1" w:lastColumn="0" w:noHBand="0" w:noVBand="1"/>
      </w:tblPr>
      <w:tblGrid>
        <w:gridCol w:w="3235"/>
        <w:gridCol w:w="2430"/>
        <w:gridCol w:w="3150"/>
      </w:tblGrid>
      <w:tr w:rsidR="00B539B8" w:rsidRPr="00CA7558" w14:paraId="54A3290B" w14:textId="77777777" w:rsidTr="00CA7558">
        <w:trPr>
          <w:trHeight w:val="320"/>
        </w:trPr>
        <w:tc>
          <w:tcPr>
            <w:tcW w:w="3235" w:type="dxa"/>
            <w:noWrap/>
            <w:hideMark/>
          </w:tcPr>
          <w:p w14:paraId="52E65DBE" w14:textId="47F4841E" w:rsidR="00B539B8" w:rsidRPr="00CA7558" w:rsidRDefault="00CA7558" w:rsidP="00CA7558">
            <w:pPr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Reagent</w:t>
            </w:r>
          </w:p>
        </w:tc>
        <w:tc>
          <w:tcPr>
            <w:tcW w:w="2430" w:type="dxa"/>
            <w:noWrap/>
            <w:hideMark/>
          </w:tcPr>
          <w:p w14:paraId="6AA711D2" w14:textId="77777777" w:rsidR="00B539B8" w:rsidRPr="00CA7558" w:rsidRDefault="00B539B8" w:rsidP="00CA7558">
            <w:pPr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Citation</w:t>
            </w:r>
          </w:p>
        </w:tc>
        <w:tc>
          <w:tcPr>
            <w:tcW w:w="3150" w:type="dxa"/>
            <w:noWrap/>
            <w:hideMark/>
          </w:tcPr>
          <w:p w14:paraId="2663904A" w14:textId="3B5EE6A5" w:rsidR="00B539B8" w:rsidRPr="00CA7558" w:rsidRDefault="00493D3D" w:rsidP="00CA7558">
            <w:pPr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Vendor</w:t>
            </w:r>
            <w:r w:rsidR="00B539B8" w:rsidRPr="00CA7558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or Lab of Origin</w:t>
            </w:r>
          </w:p>
        </w:tc>
      </w:tr>
      <w:tr w:rsidR="00B539B8" w:rsidRPr="00CA7558" w14:paraId="05BCBC22" w14:textId="77777777" w:rsidTr="00CA7558">
        <w:trPr>
          <w:trHeight w:val="380"/>
        </w:trPr>
        <w:tc>
          <w:tcPr>
            <w:tcW w:w="3235" w:type="dxa"/>
            <w:noWrap/>
            <w:hideMark/>
          </w:tcPr>
          <w:p w14:paraId="126A73C0" w14:textId="4906210E" w:rsidR="00B539B8" w:rsidRPr="00CA7558" w:rsidRDefault="00CA7558" w:rsidP="00CA7558">
            <w:pPr>
              <w:rPr>
                <w:rFonts w:ascii="Arial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m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>ouse FITC-conjugated anti-</w:t>
            </w:r>
            <w:r w:rsidR="00F10EB9" w:rsidRPr="00CA7558">
              <w:rPr>
                <w:rFonts w:ascii="Arial" w:hAnsi="Arial" w:cs="Arial"/>
                <w:color w:val="000000" w:themeColor="text1"/>
              </w:rPr>
              <w:t>α</w:t>
            </w:r>
            <w:r w:rsidR="00785289" w:rsidRPr="00CA7558">
              <w:rPr>
                <w:rFonts w:ascii="Arial" w:hAnsi="Arial" w:cs="Arial"/>
                <w:color w:val="000000" w:themeColor="text1"/>
              </w:rPr>
              <w:t>-tubulin</w:t>
            </w:r>
          </w:p>
        </w:tc>
        <w:tc>
          <w:tcPr>
            <w:tcW w:w="2430" w:type="dxa"/>
            <w:noWrap/>
            <w:hideMark/>
          </w:tcPr>
          <w:p w14:paraId="18E73DAE" w14:textId="5CD840DC" w:rsidR="00B539B8" w:rsidRPr="00CA7558" w:rsidRDefault="00B539B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3150" w:type="dxa"/>
            <w:noWrap/>
            <w:hideMark/>
          </w:tcPr>
          <w:p w14:paraId="03287AC1" w14:textId="7C467A5C" w:rsidR="00785289" w:rsidRPr="00CA7558" w:rsidRDefault="00785289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 xml:space="preserve">Sigma Clone DM1A, </w:t>
            </w:r>
          </w:p>
          <w:p w14:paraId="7A360723" w14:textId="577AA524" w:rsidR="00785289" w:rsidRPr="00CA7558" w:rsidRDefault="00785289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Lot#114M4817V</w:t>
            </w:r>
          </w:p>
        </w:tc>
      </w:tr>
      <w:tr w:rsidR="00B539B8" w:rsidRPr="00CA7558" w14:paraId="3F4438DC" w14:textId="77777777" w:rsidTr="00CA7558">
        <w:trPr>
          <w:trHeight w:val="380"/>
        </w:trPr>
        <w:tc>
          <w:tcPr>
            <w:tcW w:w="3235" w:type="dxa"/>
            <w:noWrap/>
            <w:hideMark/>
          </w:tcPr>
          <w:p w14:paraId="348A25EA" w14:textId="33C5BF4F" w:rsidR="00B539B8" w:rsidRPr="00CA7558" w:rsidRDefault="00CA7558" w:rsidP="00CA7558">
            <w:pPr>
              <w:rPr>
                <w:rFonts w:ascii="Arial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m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 xml:space="preserve">ouse </w:t>
            </w:r>
            <w:r>
              <w:rPr>
                <w:rFonts w:ascii="Arial" w:eastAsia="Times New Roman" w:hAnsi="Arial" w:cs="Arial"/>
                <w:color w:val="000000" w:themeColor="text1"/>
              </w:rPr>
              <w:t xml:space="preserve">Alexa fluor 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>647-conjugat</w:t>
            </w:r>
            <w:r w:rsidR="00A31C54" w:rsidRPr="00CA7558">
              <w:rPr>
                <w:rFonts w:ascii="Arial" w:eastAsia="Times New Roman" w:hAnsi="Arial" w:cs="Arial"/>
                <w:color w:val="000000" w:themeColor="text1"/>
              </w:rPr>
              <w:t>e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>d anti-</w:t>
            </w:r>
            <w:r w:rsidR="00F10EB9" w:rsidRPr="00CA7558">
              <w:rPr>
                <w:rFonts w:ascii="Arial" w:hAnsi="Arial" w:cs="Arial"/>
                <w:color w:val="000000" w:themeColor="text1"/>
              </w:rPr>
              <w:t>α</w:t>
            </w:r>
            <w:r w:rsidR="00785289" w:rsidRPr="00CA7558">
              <w:rPr>
                <w:rFonts w:ascii="Arial" w:hAnsi="Arial" w:cs="Arial"/>
                <w:color w:val="000000" w:themeColor="text1"/>
              </w:rPr>
              <w:t>-tubulin</w:t>
            </w:r>
          </w:p>
        </w:tc>
        <w:tc>
          <w:tcPr>
            <w:tcW w:w="2430" w:type="dxa"/>
            <w:noWrap/>
            <w:hideMark/>
          </w:tcPr>
          <w:p w14:paraId="32DD5960" w14:textId="41D54C9E" w:rsidR="00B539B8" w:rsidRPr="00CA7558" w:rsidRDefault="00B539B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3150" w:type="dxa"/>
            <w:noWrap/>
            <w:hideMark/>
          </w:tcPr>
          <w:p w14:paraId="7B2DDF11" w14:textId="77777777" w:rsidR="00B539B8" w:rsidRPr="00CA7558" w:rsidRDefault="00C803D4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 xml:space="preserve">Sigma clone DM1A, </w:t>
            </w:r>
          </w:p>
          <w:p w14:paraId="70BA89C5" w14:textId="355EE5E4" w:rsidR="00C803D4" w:rsidRPr="00CA7558" w:rsidRDefault="00C803D4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Lot#</w:t>
            </w:r>
            <w:r w:rsidR="00F10EB9" w:rsidRPr="00CA7558">
              <w:rPr>
                <w:rFonts w:ascii="Arial" w:eastAsia="Times New Roman" w:hAnsi="Arial" w:cs="Arial"/>
                <w:color w:val="000000" w:themeColor="text1"/>
              </w:rPr>
              <w:t xml:space="preserve"> 38</w:t>
            </w:r>
            <w:r w:rsidR="001B3F7A" w:rsidRPr="00CA7558">
              <w:rPr>
                <w:rFonts w:ascii="Arial" w:eastAsia="Times New Roman" w:hAnsi="Arial" w:cs="Arial"/>
                <w:color w:val="000000" w:themeColor="text1"/>
              </w:rPr>
              <w:t>52427</w:t>
            </w:r>
          </w:p>
        </w:tc>
      </w:tr>
      <w:tr w:rsidR="00B539B8" w:rsidRPr="00CA7558" w14:paraId="44218B57" w14:textId="77777777" w:rsidTr="00CA7558">
        <w:trPr>
          <w:trHeight w:val="380"/>
        </w:trPr>
        <w:tc>
          <w:tcPr>
            <w:tcW w:w="3235" w:type="dxa"/>
            <w:noWrap/>
            <w:hideMark/>
          </w:tcPr>
          <w:p w14:paraId="37463826" w14:textId="764D1BEE" w:rsidR="00B539B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r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>abbit anti</w:t>
            </w:r>
            <w:r w:rsidR="00493D3D" w:rsidRPr="00CA7558">
              <w:rPr>
                <w:rFonts w:ascii="Arial" w:eastAsia="Times New Roman" w:hAnsi="Arial" w:cs="Arial"/>
                <w:color w:val="000000" w:themeColor="text1"/>
              </w:rPr>
              <w:t>-</w:t>
            </w:r>
            <w:proofErr w:type="spellStart"/>
            <w:r w:rsidR="00493D3D" w:rsidRPr="00CA7558">
              <w:rPr>
                <w:rFonts w:ascii="Arial" w:eastAsia="Times New Roman" w:hAnsi="Arial" w:cs="Arial"/>
                <w:color w:val="000000" w:themeColor="text1"/>
              </w:rPr>
              <w:t>C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>entrosomin</w:t>
            </w:r>
            <w:proofErr w:type="spellEnd"/>
          </w:p>
        </w:tc>
        <w:tc>
          <w:tcPr>
            <w:tcW w:w="2430" w:type="dxa"/>
            <w:noWrap/>
            <w:hideMark/>
          </w:tcPr>
          <w:p w14:paraId="1BE4D6AF" w14:textId="3BE3B761" w:rsidR="00B539B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fldChar w:fldCharType="begin"/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instrText xml:space="preserve"> ADDIN PAPERS2_CITATIONS &lt;citation&gt;&lt;priority&gt;0&lt;/priority&gt;&lt;uuid&gt;8D1E0774-DC06-4426-8281-83EF8350981C&lt;/uuid&gt;&lt;publications&gt;&lt;publication&gt;&lt;subtype&gt;400&lt;/subtype&gt;&lt;publisher&gt;Rockefeller Univ Press&lt;/publisher&gt;&lt;title&gt;Maintaining the proper connection between the centrioles and the pericentriolar matrix requires Drosophila centrosomin.&lt;/title&gt;&lt;url&gt;http://jcb.rupress.org/content/178/5/725.full&lt;/url&gt;&lt;volume&gt;178&lt;/volume&gt;&lt;publication_date&gt;99200708271200000000222000&lt;/publication_date&gt;&lt;uuid&gt;C0DA3BE9-F03C-473E-8EA2-6C064AF8032C&lt;/uuid&gt;&lt;type&gt;400&lt;/type&gt;&lt;number&gt;5&lt;/number&gt;&lt;doi&gt;10.1083/jcb.200704081&lt;/doi&gt;&lt;institution&gt;Wellcome Trust/Cancer Research UK Gurdon Institute, University of Cambridge, Cambridge CB2 1QN, England, UK.&lt;/institution&gt;&lt;startpage&gt;725&lt;/startpage&gt;&lt;endpage&gt;732&lt;/endpage&gt;&lt;bundle&gt;&lt;publication&gt;&lt;title&gt;Journal of Cell Biology&lt;/title&gt;&lt;uuid&gt;516B87AE-E5B7-4E45-8D79-226092FABC1E&lt;/uuid&gt;&lt;subtype&gt;-100&lt;/subtype&gt;&lt;publisher&gt;Rockefeller Univ Press&lt;/publisher&gt;&lt;type&gt;-100&lt;/type&gt;&lt;url&gt;http://jcb.rupress.org/&lt;/url&gt;&lt;/publication&gt;&lt;/bundle&gt;&lt;authors&gt;&lt;author&gt;&lt;lastName&gt;Lucas&lt;/lastName&gt;&lt;firstName&gt;Eliana&lt;/firstName&gt;&lt;middleNames&gt;P&lt;/middleNames&gt;&lt;/author&gt;&lt;author&gt;&lt;lastName&gt;Raff&lt;/lastName&gt;&lt;firstName&gt;Jordan&lt;/firstName&gt;&lt;middleNames&gt;W&lt;/middleNames&gt;&lt;/author&gt;&lt;/authors&gt;&lt;/publication&gt;&lt;/publications&gt;&lt;cites&gt;&lt;/cites&gt;&lt;/citation&gt;</w:instrText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fldChar w:fldCharType="separate"/>
            </w:r>
            <w:r w:rsidRPr="00CA7558">
              <w:rPr>
                <w:rFonts w:ascii="Arial" w:hAnsi="Arial" w:cs="Arial"/>
              </w:rPr>
              <w:t>(Lucas and Raff, 2007)</w:t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fldChar w:fldCharType="end"/>
            </w:r>
          </w:p>
        </w:tc>
        <w:tc>
          <w:tcPr>
            <w:tcW w:w="3150" w:type="dxa"/>
            <w:noWrap/>
            <w:hideMark/>
          </w:tcPr>
          <w:p w14:paraId="350CB8FD" w14:textId="1ED25F03" w:rsidR="00B539B8" w:rsidRPr="00CA7558" w:rsidRDefault="00493D3D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Gift from Raff lab</w:t>
            </w:r>
          </w:p>
        </w:tc>
      </w:tr>
      <w:tr w:rsidR="00B539B8" w:rsidRPr="00CA7558" w14:paraId="71D678A3" w14:textId="77777777" w:rsidTr="00CA7558">
        <w:trPr>
          <w:trHeight w:val="380"/>
        </w:trPr>
        <w:tc>
          <w:tcPr>
            <w:tcW w:w="3235" w:type="dxa"/>
            <w:noWrap/>
            <w:hideMark/>
          </w:tcPr>
          <w:p w14:paraId="55EB62BE" w14:textId="29F966ED" w:rsidR="00B539B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r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>abbit anti</w:t>
            </w:r>
            <w:r w:rsidR="00493D3D" w:rsidRPr="00CA7558">
              <w:rPr>
                <w:rFonts w:ascii="Arial" w:eastAsia="Times New Roman" w:hAnsi="Arial" w:cs="Arial"/>
                <w:color w:val="000000" w:themeColor="text1"/>
              </w:rPr>
              <w:t>-</w:t>
            </w:r>
            <w:proofErr w:type="spellStart"/>
            <w:r w:rsidR="00493D3D" w:rsidRPr="00CA7558">
              <w:rPr>
                <w:rFonts w:ascii="Arial" w:eastAsia="Times New Roman" w:hAnsi="Arial" w:cs="Arial"/>
                <w:color w:val="000000" w:themeColor="text1"/>
              </w:rPr>
              <w:t>I</w:t>
            </w:r>
            <w:r w:rsidR="00785289" w:rsidRPr="00CA7558">
              <w:rPr>
                <w:rFonts w:ascii="Arial" w:eastAsia="Times New Roman" w:hAnsi="Arial" w:cs="Arial"/>
                <w:color w:val="000000" w:themeColor="text1"/>
              </w:rPr>
              <w:t>nscuteable</w:t>
            </w:r>
            <w:proofErr w:type="spellEnd"/>
          </w:p>
        </w:tc>
        <w:tc>
          <w:tcPr>
            <w:tcW w:w="2430" w:type="dxa"/>
            <w:noWrap/>
            <w:hideMark/>
          </w:tcPr>
          <w:p w14:paraId="42380092" w14:textId="045C8CDD" w:rsidR="00B539B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fldChar w:fldCharType="begin"/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instrText xml:space="preserve"> ADDIN PAPERS2_CITATIONS &lt;citation&gt;&lt;priority&gt;1&lt;/priority&gt;&lt;uuid&gt;30E5A611-7C47-42A6-ACF4-7350E5A5C648&lt;/uuid&gt;&lt;publications&gt;&lt;publication&gt;&lt;subtype&gt;400&lt;/subtype&gt;&lt;location&gt;&amp;lt;html&amp;gt;&amp;lt;head&amp;gt;&amp;lt;meta http-equiv="content-type" content="text/html; charset=utf-8"/&amp;gt;&amp;lt;title&amp;gt;Sorry...&amp;lt;/title&amp;gt;&amp;lt;style&amp;gt; body { font-family: verdana, arial, sans-serif; background-color: #fff; color: #000; }&amp;lt;/style&amp;gt;&amp;lt;/head&amp;gt;&amp;lt;body&amp;gt;&amp;lt;div&amp;gt;&amp;lt;table&amp;gt;&amp;lt;tr&amp;gt;&amp;lt;td&amp;gt;&amp;lt;b&amp;gt;&amp;lt;font face=times color=#0039b6 size=10&amp;gt;G&amp;lt;/font&amp;gt;&amp;lt;font face=times color=#c41200 size=10&amp;gt;o&amp;lt;/font&amp;gt;&amp;lt;font face=times color=#f3c518 size=10&amp;gt;o&amp;lt;/font&amp;gt;&amp;lt;font face=times color=#0039b6 size=10&amp;gt;g&amp;lt;/font&amp;gt;&amp;lt;font face=times color=#30a72f size=10&amp;gt;l&amp;lt;/font&amp;gt;&amp;lt;font face=times color=#c41200 size=10&amp;gt;e&amp;lt;/font&amp;gt;&amp;lt;/b&amp;gt;&amp;lt;/td&amp;gt;&amp;lt;td style="text-align: left; vertical-align: bottom; padding-bottom: 15px; width: 50%"&amp;gt;&amp;lt;div style="border-bottom: 1px solid #dfdfdf;"&amp;gt;Sorry...&amp;lt;/div&amp;gt;&amp;lt;/td&amp;gt;&amp;lt;/tr&amp;gt;&amp;lt;/table&amp;gt;&amp;lt;/div&amp;gt;&amp;lt;div style="margin-left: 4em;"&amp;gt;&amp;lt;h1&amp;gt;We're sorry...&amp;lt;/h1&amp;gt;&amp;lt;p&amp;gt;... but your computer or network may be sending automated queries. To protect our users, we can't process your request right now.&amp;lt;/p&amp;gt;&amp;lt;/div&amp;gt;&amp;lt;div style="margin-left: 4em;"&amp;gt;See &amp;lt;a href="https://support.google.com/websearch/answer/86640"&amp;gt;Google Help&amp;lt;/a&amp;gt; for more information.&amp;lt;br/&amp;gt;&amp;lt;br/&amp;gt;&amp;lt;/div&amp;gt;&amp;lt;div style="text-align: center; border-top: 1px solid #dfdfdf;"&amp;gt;&amp;amp;copy; 2013 Google - &amp;lt;a href="https://www.google.com"&amp;gt;Google Home&amp;lt;/a&amp;gt;&amp;lt;/div&amp;gt;&amp;lt;/body&amp;gt;&amp;lt;/html&amp;gt;&lt;/location&gt;&lt;title&gt;Role of inscuteable in orienting asymmetric cell divisions in Drosophila.&lt;/title&gt;&lt;url&gt;http://eutils.ncbi.nlm.nih.gov/entrez/eutils/elink.fcgi?dbfrom=pubmed&amp;amp;id=8779714&amp;amp;retmode=ref&amp;amp;cmd=prlinks&lt;/url&gt;&lt;volume&gt;383&lt;/volume&gt;&lt;publication_date&gt;99199609051200000000222000&lt;/publication_date&gt;&lt;uuid&gt;FB717694-B541-4965-A71D-18269B7DBC76&lt;/uuid&gt;&lt;type&gt;400&lt;/type&gt;&lt;number&gt;6595&lt;/number&gt;&lt;doi&gt;10.1038/383050a0&lt;/doi&gt;&lt;institution&gt;Institute of Molecular and Cell Biology, National University of Singapore.&lt;/institution&gt;&lt;startpage&gt;50&lt;/startpage&gt;&lt;endpage&gt;55&lt;/endpage&gt;&lt;bundle&gt;&lt;publication&gt;&lt;title&gt;Nature&lt;/title&gt;&lt;uuid&gt;189DD89A-D61F-4033-97AA-6B1936A45936&lt;/uuid&gt;&lt;subtype&gt;-100&lt;/subtype&gt;&lt;publisher&gt;Nature Publishing Group&lt;/publisher&gt;&lt;type&gt;-100&lt;/type&gt;&lt;url&gt;http://www.nature.com/nature&lt;/url&gt;&lt;/publication&gt;&lt;/bundle&gt;&lt;authors&gt;&lt;author&gt;&lt;lastName&gt;Kraut&lt;/lastName&gt;&lt;firstName&gt;R&lt;/firstName&gt;&lt;/author&gt;&lt;author&gt;&lt;lastName&gt;Chia&lt;/lastName&gt;&lt;firstName&gt;W&lt;/firstName&gt;&lt;/author&gt;&lt;author&gt;&lt;lastName&gt;Jan&lt;/lastName&gt;&lt;firstName&gt;L&lt;/firstName&gt;&lt;middleNames&gt;Y&lt;/middleNames&gt;&lt;/author&gt;&lt;author&gt;&lt;lastName&gt;Jan&lt;/lastName&gt;&lt;firstName&gt;Y&lt;/firstName&gt;&lt;middleNames&gt;N&lt;/middleNames&gt;&lt;/author&gt;&lt;author&gt;&lt;lastName&gt;Knoblich&lt;/lastName&gt;&lt;firstName&gt;J&lt;/firstName&gt;&lt;middleNames&gt;A&lt;/middleNames&gt;&lt;/author&gt;&lt;/authors&gt;&lt;/publication&gt;&lt;/publications&gt;&lt;cites&gt;&lt;/cites&gt;&lt;/citation&gt;</w:instrText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fldChar w:fldCharType="separate"/>
            </w:r>
            <w:r w:rsidRPr="00CA7558">
              <w:rPr>
                <w:rFonts w:ascii="Arial" w:hAnsi="Arial" w:cs="Arial"/>
              </w:rPr>
              <w:t>(Kraut et al., 1996)</w:t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fldChar w:fldCharType="end"/>
            </w:r>
          </w:p>
        </w:tc>
        <w:tc>
          <w:tcPr>
            <w:tcW w:w="3150" w:type="dxa"/>
            <w:noWrap/>
            <w:hideMark/>
          </w:tcPr>
          <w:p w14:paraId="797AA9F1" w14:textId="7D243EC8" w:rsidR="00B539B8" w:rsidRPr="00CA7558" w:rsidRDefault="00785289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Gift</w:t>
            </w:r>
            <w:r w:rsidR="00493D3D" w:rsidRPr="00CA7558">
              <w:rPr>
                <w:rFonts w:ascii="Arial" w:eastAsia="Times New Roman" w:hAnsi="Arial" w:cs="Arial"/>
                <w:color w:val="000000" w:themeColor="text1"/>
              </w:rPr>
              <w:t xml:space="preserve"> from </w:t>
            </w:r>
            <w:proofErr w:type="spellStart"/>
            <w:r w:rsidRPr="00CA7558">
              <w:rPr>
                <w:rFonts w:ascii="Arial" w:eastAsia="Times New Roman" w:hAnsi="Arial" w:cs="Arial"/>
                <w:color w:val="000000" w:themeColor="text1"/>
              </w:rPr>
              <w:t>Knoblich</w:t>
            </w:r>
            <w:proofErr w:type="spellEnd"/>
            <w:r w:rsidR="00493D3D" w:rsidRPr="00CA7558">
              <w:rPr>
                <w:rFonts w:ascii="Arial" w:eastAsia="Times New Roman" w:hAnsi="Arial" w:cs="Arial"/>
                <w:color w:val="000000" w:themeColor="text1"/>
              </w:rPr>
              <w:t xml:space="preserve"> lab</w:t>
            </w:r>
          </w:p>
        </w:tc>
      </w:tr>
      <w:tr w:rsidR="00CA7558" w:rsidRPr="00CA7558" w14:paraId="7BA260C1" w14:textId="77777777" w:rsidTr="00CA7558">
        <w:trPr>
          <w:trHeight w:val="380"/>
        </w:trPr>
        <w:tc>
          <w:tcPr>
            <w:tcW w:w="3235" w:type="dxa"/>
            <w:noWrap/>
          </w:tcPr>
          <w:p w14:paraId="054710B8" w14:textId="66E5EF9C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Rabbit anti aPKC antibody</w:t>
            </w:r>
          </w:p>
        </w:tc>
        <w:tc>
          <w:tcPr>
            <w:tcW w:w="2430" w:type="dxa"/>
            <w:noWrap/>
          </w:tcPr>
          <w:p w14:paraId="125913ED" w14:textId="77777777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3150" w:type="dxa"/>
            <w:noWrap/>
          </w:tcPr>
          <w:p w14:paraId="1E263287" w14:textId="77777777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Santa Cruz Biotechnology</w:t>
            </w:r>
          </w:p>
          <w:p w14:paraId="7E5E1D99" w14:textId="3A6D2C60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Lot</w:t>
            </w:r>
            <w:proofErr w:type="gramStart"/>
            <w:r w:rsidRPr="00CA7558">
              <w:rPr>
                <w:rFonts w:ascii="Arial" w:eastAsia="Times New Roman" w:hAnsi="Arial" w:cs="Arial"/>
                <w:color w:val="000000" w:themeColor="text1"/>
              </w:rPr>
              <w:t>#:I</w:t>
            </w:r>
            <w:proofErr w:type="gramEnd"/>
            <w:r w:rsidRPr="00CA7558">
              <w:rPr>
                <w:rFonts w:ascii="Arial" w:eastAsia="Times New Roman" w:hAnsi="Arial" w:cs="Arial"/>
                <w:color w:val="000000" w:themeColor="text1"/>
              </w:rPr>
              <w:t>2012</w:t>
            </w:r>
          </w:p>
        </w:tc>
      </w:tr>
      <w:tr w:rsidR="00CA7558" w:rsidRPr="00CA7558" w14:paraId="68779956" w14:textId="77777777" w:rsidTr="00CA7558">
        <w:trPr>
          <w:trHeight w:val="380"/>
        </w:trPr>
        <w:tc>
          <w:tcPr>
            <w:tcW w:w="3235" w:type="dxa"/>
            <w:noWrap/>
          </w:tcPr>
          <w:p w14:paraId="25916860" w14:textId="77777777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430" w:type="dxa"/>
            <w:noWrap/>
          </w:tcPr>
          <w:p w14:paraId="565DE3F8" w14:textId="77777777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3150" w:type="dxa"/>
            <w:noWrap/>
          </w:tcPr>
          <w:p w14:paraId="6AFF8AAA" w14:textId="77777777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A7558" w:rsidRPr="00CA7558" w14:paraId="1F258C58" w14:textId="77777777" w:rsidTr="00CA7558">
        <w:trPr>
          <w:trHeight w:val="380"/>
        </w:trPr>
        <w:tc>
          <w:tcPr>
            <w:tcW w:w="3235" w:type="dxa"/>
            <w:noWrap/>
            <w:hideMark/>
          </w:tcPr>
          <w:p w14:paraId="4BDEE93E" w14:textId="6E10F646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Conjugated secondary antibodies</w:t>
            </w:r>
          </w:p>
        </w:tc>
        <w:tc>
          <w:tcPr>
            <w:tcW w:w="2430" w:type="dxa"/>
            <w:noWrap/>
            <w:hideMark/>
          </w:tcPr>
          <w:p w14:paraId="41A6DC3F" w14:textId="77777777" w:rsidR="00CA7558" w:rsidRPr="00CA7558" w:rsidRDefault="00CA7558" w:rsidP="00CA755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3150" w:type="dxa"/>
            <w:noWrap/>
            <w:hideMark/>
          </w:tcPr>
          <w:p w14:paraId="395C25DE" w14:textId="343269DA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CA7558">
              <w:rPr>
                <w:rFonts w:ascii="Arial" w:eastAsia="Times New Roman" w:hAnsi="Arial" w:cs="Arial"/>
                <w:color w:val="000000" w:themeColor="text1"/>
              </w:rPr>
              <w:t>ThermoFisher</w:t>
            </w:r>
            <w:proofErr w:type="spellEnd"/>
            <w:r w:rsidRPr="00CA7558">
              <w:rPr>
                <w:rFonts w:ascii="Arial" w:eastAsia="Times New Roman" w:hAnsi="Arial" w:cs="Arial"/>
                <w:color w:val="000000" w:themeColor="text1"/>
              </w:rPr>
              <w:t xml:space="preserve"> Scientific</w:t>
            </w:r>
          </w:p>
        </w:tc>
      </w:tr>
      <w:tr w:rsidR="00CA7558" w:rsidRPr="00CA7558" w14:paraId="72BC3E6D" w14:textId="77777777" w:rsidTr="00CA7558">
        <w:trPr>
          <w:trHeight w:val="380"/>
        </w:trPr>
        <w:tc>
          <w:tcPr>
            <w:tcW w:w="3235" w:type="dxa"/>
            <w:noWrap/>
          </w:tcPr>
          <w:p w14:paraId="2B7D2A9F" w14:textId="77777777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430" w:type="dxa"/>
            <w:noWrap/>
          </w:tcPr>
          <w:p w14:paraId="7BD8DA05" w14:textId="77777777" w:rsidR="00CA7558" w:rsidRPr="00CA7558" w:rsidRDefault="00CA7558" w:rsidP="00CA755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3150" w:type="dxa"/>
            <w:noWrap/>
          </w:tcPr>
          <w:p w14:paraId="4930DDDD" w14:textId="77777777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A7558" w:rsidRPr="00CA7558" w14:paraId="7A794931" w14:textId="77777777" w:rsidTr="00CA7558">
        <w:trPr>
          <w:trHeight w:val="380"/>
        </w:trPr>
        <w:tc>
          <w:tcPr>
            <w:tcW w:w="3235" w:type="dxa"/>
            <w:noWrap/>
            <w:hideMark/>
          </w:tcPr>
          <w:p w14:paraId="7E85C583" w14:textId="281717E3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 xml:space="preserve">Fluorescein Phalloidin </w:t>
            </w:r>
          </w:p>
        </w:tc>
        <w:tc>
          <w:tcPr>
            <w:tcW w:w="2430" w:type="dxa"/>
            <w:noWrap/>
            <w:hideMark/>
          </w:tcPr>
          <w:p w14:paraId="6CF71F9C" w14:textId="77777777" w:rsidR="00CA7558" w:rsidRPr="00CA7558" w:rsidRDefault="00CA7558" w:rsidP="00CA755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3150" w:type="dxa"/>
            <w:noWrap/>
            <w:hideMark/>
          </w:tcPr>
          <w:p w14:paraId="5F848899" w14:textId="426587F8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Invitrogen</w:t>
            </w:r>
            <w:r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t>Lot#:2138394</w:t>
            </w:r>
          </w:p>
        </w:tc>
      </w:tr>
      <w:tr w:rsidR="00CA7558" w:rsidRPr="00CA7558" w14:paraId="43492A81" w14:textId="77777777" w:rsidTr="00CA7558">
        <w:trPr>
          <w:trHeight w:val="380"/>
        </w:trPr>
        <w:tc>
          <w:tcPr>
            <w:tcW w:w="3235" w:type="dxa"/>
            <w:noWrap/>
          </w:tcPr>
          <w:p w14:paraId="2F182F91" w14:textId="52A6A749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Alexa fluor 633 Phalloidin</w:t>
            </w:r>
          </w:p>
        </w:tc>
        <w:tc>
          <w:tcPr>
            <w:tcW w:w="2430" w:type="dxa"/>
            <w:noWrap/>
          </w:tcPr>
          <w:p w14:paraId="4DE58F8A" w14:textId="77777777" w:rsidR="00CA7558" w:rsidRPr="00CA7558" w:rsidRDefault="00CA7558" w:rsidP="00CA755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3150" w:type="dxa"/>
            <w:noWrap/>
          </w:tcPr>
          <w:p w14:paraId="7AC06E02" w14:textId="37ED9B79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Invitrogen</w:t>
            </w:r>
            <w:r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t>Lot#:2274768</w:t>
            </w:r>
          </w:p>
        </w:tc>
      </w:tr>
      <w:tr w:rsidR="00CA7558" w:rsidRPr="00CA7558" w14:paraId="6786B495" w14:textId="77777777" w:rsidTr="00CA7558">
        <w:trPr>
          <w:trHeight w:val="380"/>
        </w:trPr>
        <w:tc>
          <w:tcPr>
            <w:tcW w:w="3235" w:type="dxa"/>
            <w:noWrap/>
          </w:tcPr>
          <w:p w14:paraId="19F9E76C" w14:textId="7A9BE922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430" w:type="dxa"/>
            <w:noWrap/>
          </w:tcPr>
          <w:p w14:paraId="232FCF36" w14:textId="77777777" w:rsidR="00CA7558" w:rsidRPr="00CA7558" w:rsidRDefault="00CA7558" w:rsidP="00CA755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3150" w:type="dxa"/>
            <w:noWrap/>
          </w:tcPr>
          <w:p w14:paraId="7C2D0E33" w14:textId="0E12999E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A7558" w:rsidRPr="00CA7558" w14:paraId="7B1B524F" w14:textId="77777777" w:rsidTr="00CA7558">
        <w:trPr>
          <w:trHeight w:val="380"/>
        </w:trPr>
        <w:tc>
          <w:tcPr>
            <w:tcW w:w="3235" w:type="dxa"/>
            <w:noWrap/>
          </w:tcPr>
          <w:p w14:paraId="35CAB449" w14:textId="3D98477D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CA7558">
              <w:rPr>
                <w:rFonts w:ascii="Arial" w:eastAsia="Times New Roman" w:hAnsi="Arial" w:cs="Arial"/>
                <w:color w:val="000000" w:themeColor="text1"/>
              </w:rPr>
              <w:t>Vectashield</w:t>
            </w:r>
            <w:proofErr w:type="spellEnd"/>
            <w:r w:rsidRPr="00CA7558">
              <w:rPr>
                <w:rFonts w:ascii="Arial" w:eastAsia="Times New Roman" w:hAnsi="Arial" w:cs="Arial"/>
                <w:color w:val="000000" w:themeColor="text1"/>
              </w:rPr>
              <w:t xml:space="preserve"> with DAPI</w:t>
            </w:r>
          </w:p>
        </w:tc>
        <w:tc>
          <w:tcPr>
            <w:tcW w:w="2430" w:type="dxa"/>
            <w:noWrap/>
          </w:tcPr>
          <w:p w14:paraId="3C732D89" w14:textId="77777777" w:rsidR="00CA7558" w:rsidRPr="00CA7558" w:rsidRDefault="00CA7558" w:rsidP="00CA755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3150" w:type="dxa"/>
            <w:noWrap/>
          </w:tcPr>
          <w:p w14:paraId="29A6B285" w14:textId="2E326A09" w:rsidR="00CA7558" w:rsidRPr="00CA7558" w:rsidRDefault="00CA7558" w:rsidP="00CA755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CA7558">
              <w:rPr>
                <w:rFonts w:ascii="Arial" w:eastAsia="Times New Roman" w:hAnsi="Arial" w:cs="Arial"/>
                <w:color w:val="000000" w:themeColor="text1"/>
              </w:rPr>
              <w:t>Vector Labs</w:t>
            </w:r>
            <w:r>
              <w:rPr>
                <w:rFonts w:ascii="Arial" w:eastAsia="Times New Roman" w:hAnsi="Arial" w:cs="Arial"/>
                <w:color w:val="000000" w:themeColor="text1"/>
              </w:rPr>
              <w:t xml:space="preserve">: </w:t>
            </w:r>
            <w:r w:rsidRPr="00CA7558">
              <w:rPr>
                <w:rFonts w:ascii="Arial" w:eastAsia="Times New Roman" w:hAnsi="Arial" w:cs="Arial"/>
                <w:color w:val="000000" w:themeColor="text1"/>
              </w:rPr>
              <w:t>Lot</w:t>
            </w:r>
            <w:proofErr w:type="gramStart"/>
            <w:r w:rsidRPr="00CA7558">
              <w:rPr>
                <w:rFonts w:ascii="Arial" w:eastAsia="Times New Roman" w:hAnsi="Arial" w:cs="Arial"/>
                <w:color w:val="000000" w:themeColor="text1"/>
              </w:rPr>
              <w:t>#:ZH</w:t>
            </w:r>
            <w:proofErr w:type="gramEnd"/>
            <w:r w:rsidRPr="00CA7558">
              <w:rPr>
                <w:rFonts w:ascii="Arial" w:eastAsia="Times New Roman" w:hAnsi="Arial" w:cs="Arial"/>
                <w:color w:val="000000" w:themeColor="text1"/>
              </w:rPr>
              <w:t>1021</w:t>
            </w:r>
          </w:p>
        </w:tc>
      </w:tr>
    </w:tbl>
    <w:p w14:paraId="3B6B66DD" w14:textId="779B1C9A" w:rsidR="00CA7558" w:rsidRPr="00CA7558" w:rsidRDefault="00CA7558" w:rsidP="00CA7558">
      <w:pPr>
        <w:rPr>
          <w:rFonts w:ascii="Arial" w:hAnsi="Arial" w:cs="Arial"/>
          <w:b/>
          <w:bCs/>
        </w:rPr>
      </w:pPr>
      <w:r w:rsidRPr="00AA3633">
        <w:rPr>
          <w:rFonts w:ascii="Arial" w:hAnsi="Arial" w:cs="Arial"/>
          <w:b/>
          <w:bCs/>
        </w:rPr>
        <w:t xml:space="preserve">Table </w:t>
      </w:r>
      <w:r w:rsidR="005D38AF">
        <w:rPr>
          <w:rFonts w:ascii="Arial" w:hAnsi="Arial" w:cs="Arial"/>
          <w:b/>
          <w:bCs/>
        </w:rPr>
        <w:t>EV</w:t>
      </w:r>
      <w:r>
        <w:rPr>
          <w:rFonts w:ascii="Arial" w:hAnsi="Arial" w:cs="Arial"/>
          <w:b/>
          <w:bCs/>
        </w:rPr>
        <w:t>2</w:t>
      </w:r>
      <w:r w:rsidRPr="00AA3633"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>Reagents</w:t>
      </w:r>
    </w:p>
    <w:p w14:paraId="1A295002" w14:textId="77777777" w:rsidR="00CA7558" w:rsidRDefault="00CA7558">
      <w:pPr>
        <w:rPr>
          <w:rFonts w:ascii="Arial" w:hAnsi="Arial" w:cs="Arial"/>
          <w:b/>
          <w:bCs/>
        </w:rPr>
      </w:pPr>
    </w:p>
    <w:p w14:paraId="361862FD" w14:textId="22082A13" w:rsidR="00CA02CA" w:rsidRPr="00CA7558" w:rsidRDefault="00CA7558">
      <w:pPr>
        <w:rPr>
          <w:rFonts w:ascii="Arial" w:hAnsi="Arial" w:cs="Arial"/>
          <w:b/>
          <w:bCs/>
        </w:rPr>
      </w:pPr>
      <w:r w:rsidRPr="00CA7558">
        <w:rPr>
          <w:rFonts w:ascii="Arial" w:hAnsi="Arial" w:cs="Arial"/>
          <w:b/>
          <w:bCs/>
        </w:rPr>
        <w:t>Reagent</w:t>
      </w:r>
      <w:r w:rsidR="00F13C44" w:rsidRPr="00CA7558">
        <w:rPr>
          <w:rFonts w:ascii="Arial" w:hAnsi="Arial" w:cs="Arial"/>
          <w:b/>
          <w:bCs/>
          <w:i/>
          <w:iCs/>
        </w:rPr>
        <w:t xml:space="preserve"> </w:t>
      </w:r>
      <w:r w:rsidR="00CA02CA" w:rsidRPr="00CA7558">
        <w:rPr>
          <w:rFonts w:ascii="Arial" w:hAnsi="Arial" w:cs="Arial"/>
          <w:b/>
          <w:bCs/>
        </w:rPr>
        <w:t>References</w:t>
      </w:r>
      <w:r w:rsidRPr="00CA7558">
        <w:rPr>
          <w:rFonts w:ascii="Arial" w:hAnsi="Arial" w:cs="Arial"/>
          <w:b/>
          <w:bCs/>
        </w:rPr>
        <w:t xml:space="preserve"> – Related to Table </w:t>
      </w:r>
      <w:r w:rsidR="005D38AF">
        <w:rPr>
          <w:rFonts w:ascii="Arial" w:hAnsi="Arial" w:cs="Arial"/>
          <w:b/>
          <w:bCs/>
        </w:rPr>
        <w:t>EV</w:t>
      </w:r>
      <w:r w:rsidRPr="00CA7558">
        <w:rPr>
          <w:rFonts w:ascii="Arial" w:hAnsi="Arial" w:cs="Arial"/>
          <w:b/>
          <w:bCs/>
        </w:rPr>
        <w:t>2</w:t>
      </w:r>
    </w:p>
    <w:p w14:paraId="414D819D" w14:textId="77777777" w:rsidR="00CA7558" w:rsidRPr="00CA7558" w:rsidRDefault="00CA7558">
      <w:pPr>
        <w:rPr>
          <w:rFonts w:ascii="Arial" w:hAnsi="Arial" w:cs="Arial"/>
        </w:rPr>
      </w:pPr>
    </w:p>
    <w:p w14:paraId="4172EA58" w14:textId="77777777" w:rsidR="00CA7558" w:rsidRPr="00CA7558" w:rsidRDefault="00CA7558" w:rsidP="00CA75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ind w:left="400" w:hanging="400"/>
        <w:rPr>
          <w:rFonts w:ascii="Arial" w:hAnsi="Arial" w:cs="Arial"/>
        </w:rPr>
      </w:pPr>
      <w:r w:rsidRPr="00CA7558">
        <w:rPr>
          <w:rFonts w:ascii="Arial" w:hAnsi="Arial" w:cs="Arial"/>
        </w:rPr>
        <w:t xml:space="preserve">Kraut, R., W. Chia, L.Y. Jan, Y.N. Jan, and J.A. </w:t>
      </w:r>
      <w:proofErr w:type="spellStart"/>
      <w:r w:rsidRPr="00CA7558">
        <w:rPr>
          <w:rFonts w:ascii="Arial" w:hAnsi="Arial" w:cs="Arial"/>
        </w:rPr>
        <w:t>Knoblich</w:t>
      </w:r>
      <w:proofErr w:type="spellEnd"/>
      <w:r w:rsidRPr="00CA7558">
        <w:rPr>
          <w:rFonts w:ascii="Arial" w:hAnsi="Arial" w:cs="Arial"/>
        </w:rPr>
        <w:t xml:space="preserve">. 1996. Role of </w:t>
      </w:r>
      <w:proofErr w:type="spellStart"/>
      <w:r w:rsidRPr="00CA7558">
        <w:rPr>
          <w:rFonts w:ascii="Arial" w:hAnsi="Arial" w:cs="Arial"/>
        </w:rPr>
        <w:t>inscuteable</w:t>
      </w:r>
      <w:proofErr w:type="spellEnd"/>
      <w:r w:rsidRPr="00CA7558">
        <w:rPr>
          <w:rFonts w:ascii="Arial" w:hAnsi="Arial" w:cs="Arial"/>
        </w:rPr>
        <w:t xml:space="preserve"> in orienting asymmetric cell divisions in Drosophila. </w:t>
      </w:r>
      <w:r w:rsidRPr="00CA7558">
        <w:rPr>
          <w:rFonts w:ascii="Arial" w:hAnsi="Arial" w:cs="Arial"/>
          <w:i/>
          <w:iCs/>
        </w:rPr>
        <w:t>Nature</w:t>
      </w:r>
      <w:r w:rsidRPr="00CA7558">
        <w:rPr>
          <w:rFonts w:ascii="Arial" w:hAnsi="Arial" w:cs="Arial"/>
        </w:rPr>
        <w:t>. 383:50–55. doi:10.1038/383050a0.</w:t>
      </w:r>
    </w:p>
    <w:p w14:paraId="7094F879" w14:textId="77777777" w:rsidR="00CA7558" w:rsidRPr="00CA7558" w:rsidRDefault="00CA7558" w:rsidP="00CA75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ind w:left="400" w:hanging="400"/>
        <w:rPr>
          <w:rFonts w:ascii="Arial" w:hAnsi="Arial" w:cs="Arial"/>
        </w:rPr>
      </w:pPr>
      <w:r w:rsidRPr="00CA7558">
        <w:rPr>
          <w:rFonts w:ascii="Arial" w:hAnsi="Arial" w:cs="Arial"/>
        </w:rPr>
        <w:t xml:space="preserve">Lucas, E.P., and J.W. Raff. 2007. Maintaining the proper connection between the centrioles and the pericentriolar matrix requires Drosophila </w:t>
      </w:r>
      <w:proofErr w:type="spellStart"/>
      <w:r w:rsidRPr="00CA7558">
        <w:rPr>
          <w:rFonts w:ascii="Arial" w:hAnsi="Arial" w:cs="Arial"/>
        </w:rPr>
        <w:t>centrosomin</w:t>
      </w:r>
      <w:proofErr w:type="spellEnd"/>
      <w:r w:rsidRPr="00CA7558">
        <w:rPr>
          <w:rFonts w:ascii="Arial" w:hAnsi="Arial" w:cs="Arial"/>
        </w:rPr>
        <w:t xml:space="preserve">. </w:t>
      </w:r>
      <w:r w:rsidRPr="00CA7558">
        <w:rPr>
          <w:rFonts w:ascii="Arial" w:hAnsi="Arial" w:cs="Arial"/>
          <w:i/>
          <w:iCs/>
        </w:rPr>
        <w:t>Journal of Cell Biology</w:t>
      </w:r>
      <w:r w:rsidRPr="00CA7558">
        <w:rPr>
          <w:rFonts w:ascii="Arial" w:hAnsi="Arial" w:cs="Arial"/>
        </w:rPr>
        <w:t>. 178:725–732. doi:10.1083/jcb.200704081.</w:t>
      </w:r>
    </w:p>
    <w:p w14:paraId="09CF3D39" w14:textId="0AFB1C3D" w:rsidR="0093072B" w:rsidRDefault="00F13C44">
      <w:r>
        <w:fldChar w:fldCharType="begin"/>
      </w:r>
      <w:r>
        <w:instrText xml:space="preserve"> ADDIN PAPERS2_CITATIONS &lt;papers2_bibliography/&gt;</w:instrText>
      </w:r>
      <w:r w:rsidR="00000000">
        <w:fldChar w:fldCharType="separate"/>
      </w:r>
      <w:r>
        <w:fldChar w:fldCharType="end"/>
      </w:r>
    </w:p>
    <w:sectPr w:rsidR="0093072B" w:rsidSect="00211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1C17" w14:textId="77777777" w:rsidR="00B03F2A" w:rsidRDefault="00B03F2A" w:rsidP="00CA7558">
      <w:r>
        <w:separator/>
      </w:r>
    </w:p>
  </w:endnote>
  <w:endnote w:type="continuationSeparator" w:id="0">
    <w:p w14:paraId="0ACEED03" w14:textId="77777777" w:rsidR="00B03F2A" w:rsidRDefault="00B03F2A" w:rsidP="00CA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64A2" w14:textId="77777777" w:rsidR="00B03F2A" w:rsidRDefault="00B03F2A" w:rsidP="00CA7558">
      <w:r>
        <w:separator/>
      </w:r>
    </w:p>
  </w:footnote>
  <w:footnote w:type="continuationSeparator" w:id="0">
    <w:p w14:paraId="21A3F11D" w14:textId="77777777" w:rsidR="00B03F2A" w:rsidRDefault="00B03F2A" w:rsidP="00CA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B8"/>
    <w:rsid w:val="001B3F7A"/>
    <w:rsid w:val="0021163D"/>
    <w:rsid w:val="002746B5"/>
    <w:rsid w:val="00493D3D"/>
    <w:rsid w:val="004D4FE3"/>
    <w:rsid w:val="00574ECD"/>
    <w:rsid w:val="005A53BD"/>
    <w:rsid w:val="005D38AF"/>
    <w:rsid w:val="00723394"/>
    <w:rsid w:val="007309FA"/>
    <w:rsid w:val="00785289"/>
    <w:rsid w:val="008F6EA8"/>
    <w:rsid w:val="009116EB"/>
    <w:rsid w:val="00A31C54"/>
    <w:rsid w:val="00A44ABD"/>
    <w:rsid w:val="00B03F2A"/>
    <w:rsid w:val="00B539B8"/>
    <w:rsid w:val="00C803D4"/>
    <w:rsid w:val="00CA02CA"/>
    <w:rsid w:val="00CA7558"/>
    <w:rsid w:val="00EB2CEC"/>
    <w:rsid w:val="00F10EB9"/>
    <w:rsid w:val="00F1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CEEA8"/>
  <w15:chartTrackingRefBased/>
  <w15:docId w15:val="{B9C2B238-1441-3D4F-9825-506B7F77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539B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A75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75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75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Bergstralh, Dan</dc:creator>
  <cp:keywords/>
  <dc:description/>
  <cp:lastModifiedBy>Tara Finegan</cp:lastModifiedBy>
  <cp:revision>2</cp:revision>
  <dcterms:created xsi:type="dcterms:W3CDTF">2022-10-25T15:42:00Z</dcterms:created>
  <dcterms:modified xsi:type="dcterms:W3CDTF">2022-10-25T15:42:00Z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id="http://www.zotero.org/styles/the-journal-of-cell-biology"/&gt;&lt;hasBiblio/&gt;&lt;format class="21"/&gt;&lt;count citations="2" publications="2"/&gt;&lt;/info&gt;PAPERS2_INFO_END</vt:lpwstr>
  </property>
</Properties>
</file>