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C3" w:rsidRDefault="007053C3" w:rsidP="007053C3">
      <w:pPr>
        <w:rPr>
          <w:b/>
        </w:rPr>
      </w:pPr>
    </w:p>
    <w:p w:rsidR="007053C3" w:rsidRDefault="007053C3">
      <w:pPr>
        <w:suppressAutoHyphens w:val="0"/>
        <w:spacing w:after="160" w:line="259" w:lineRule="auto"/>
        <w:rPr>
          <w:b/>
        </w:rPr>
      </w:pPr>
      <w:r>
        <w:rPr>
          <w:b/>
        </w:rPr>
        <w:t>Supplementary Information</w:t>
      </w:r>
    </w:p>
    <w:p w:rsidR="007053C3" w:rsidRDefault="007053C3">
      <w:pPr>
        <w:suppressAutoHyphens w:val="0"/>
        <w:spacing w:after="160" w:line="259" w:lineRule="auto"/>
        <w:rPr>
          <w:b/>
        </w:rPr>
      </w:pPr>
    </w:p>
    <w:p w:rsidR="007053C3" w:rsidRDefault="007053C3">
      <w:pPr>
        <w:suppressAutoHyphens w:val="0"/>
        <w:spacing w:after="160" w:line="259" w:lineRule="auto"/>
        <w:rPr>
          <w:b/>
        </w:rPr>
      </w:pPr>
      <w:r>
        <w:rPr>
          <w:b/>
        </w:rPr>
        <w:t>Table of contents</w:t>
      </w:r>
    </w:p>
    <w:p w:rsidR="007053C3" w:rsidRDefault="007053C3">
      <w:pPr>
        <w:suppressAutoHyphens w:val="0"/>
        <w:spacing w:after="160" w:line="259" w:lineRule="auto"/>
        <w:rPr>
          <w:b/>
        </w:rPr>
      </w:pPr>
    </w:p>
    <w:p w:rsidR="007053C3" w:rsidRDefault="007053C3">
      <w:pPr>
        <w:suppressAutoHyphens w:val="0"/>
        <w:spacing w:after="160" w:line="259" w:lineRule="auto"/>
        <w:rPr>
          <w:b/>
        </w:rPr>
      </w:pPr>
      <w:r>
        <w:rPr>
          <w:b/>
        </w:rPr>
        <w:t>Supplementary methods</w:t>
      </w:r>
      <w:r>
        <w:rPr>
          <w:b/>
        </w:rPr>
        <w:tab/>
      </w:r>
      <w:r>
        <w:rPr>
          <w:b/>
        </w:rPr>
        <w:tab/>
        <w:t>2</w:t>
      </w:r>
    </w:p>
    <w:p w:rsidR="007053C3" w:rsidRDefault="007053C3">
      <w:pPr>
        <w:suppressAutoHyphens w:val="0"/>
        <w:spacing w:after="160" w:line="259" w:lineRule="auto"/>
        <w:rPr>
          <w:b/>
        </w:rPr>
      </w:pPr>
      <w:r>
        <w:rPr>
          <w:b/>
        </w:rPr>
        <w:t xml:space="preserve">Supplementary </w:t>
      </w:r>
      <w:bookmarkStart w:id="0" w:name="_GoBack"/>
      <w:r>
        <w:rPr>
          <w:b/>
        </w:rPr>
        <w:t>ref</w:t>
      </w:r>
      <w:bookmarkEnd w:id="0"/>
      <w:r>
        <w:rPr>
          <w:b/>
        </w:rPr>
        <w:t>erence</w:t>
      </w:r>
      <w:r>
        <w:rPr>
          <w:b/>
        </w:rPr>
        <w:tab/>
      </w:r>
      <w:r>
        <w:rPr>
          <w:b/>
        </w:rPr>
        <w:tab/>
        <w:t>3</w:t>
      </w:r>
    </w:p>
    <w:p w:rsidR="007053C3" w:rsidRDefault="007053C3">
      <w:pPr>
        <w:suppressAutoHyphens w:val="0"/>
        <w:spacing w:after="160" w:line="259" w:lineRule="auto"/>
        <w:rPr>
          <w:b/>
        </w:rPr>
      </w:pPr>
      <w:r>
        <w:rPr>
          <w:b/>
        </w:rPr>
        <w:t>Supplementary table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</w:t>
      </w:r>
    </w:p>
    <w:p w:rsidR="007053C3" w:rsidRDefault="00AA7601">
      <w:pPr>
        <w:suppressAutoHyphens w:val="0"/>
        <w:spacing w:after="160" w:line="259" w:lineRule="auto"/>
        <w:rPr>
          <w:b/>
        </w:rPr>
      </w:pPr>
      <w:r>
        <w:rPr>
          <w:b/>
        </w:rPr>
        <w:t>Supplementary figure legends</w:t>
      </w:r>
      <w:r w:rsidR="007053C3">
        <w:rPr>
          <w:b/>
        </w:rPr>
        <w:t xml:space="preserve">  </w:t>
      </w:r>
      <w:r w:rsidR="007053C3">
        <w:rPr>
          <w:b/>
        </w:rPr>
        <w:tab/>
        <w:t>5</w:t>
      </w:r>
    </w:p>
    <w:p w:rsidR="007053C3" w:rsidRDefault="007053C3">
      <w:pPr>
        <w:suppressAutoHyphens w:val="0"/>
        <w:spacing w:after="160" w:line="259" w:lineRule="auto"/>
        <w:rPr>
          <w:b/>
        </w:rPr>
      </w:pPr>
    </w:p>
    <w:p w:rsidR="007053C3" w:rsidRDefault="007053C3">
      <w:pPr>
        <w:suppressAutoHyphens w:val="0"/>
        <w:spacing w:after="160" w:line="259" w:lineRule="auto"/>
        <w:rPr>
          <w:b/>
        </w:rPr>
      </w:pPr>
      <w:r>
        <w:rPr>
          <w:b/>
        </w:rPr>
        <w:br w:type="page"/>
      </w:r>
    </w:p>
    <w:p w:rsidR="007053C3" w:rsidRPr="007053C3" w:rsidRDefault="007053C3" w:rsidP="007053C3">
      <w:pPr>
        <w:rPr>
          <w:b/>
        </w:rPr>
      </w:pPr>
      <w:proofErr w:type="gramStart"/>
      <w:r w:rsidRPr="007053C3">
        <w:rPr>
          <w:b/>
        </w:rPr>
        <w:lastRenderedPageBreak/>
        <w:t>Supplemental methods</w:t>
      </w:r>
      <w:r>
        <w:rPr>
          <w:b/>
        </w:rPr>
        <w:t>.</w:t>
      </w:r>
      <w:proofErr w:type="gramEnd"/>
    </w:p>
    <w:p w:rsidR="007053C3" w:rsidRDefault="007053C3" w:rsidP="007053C3"/>
    <w:p w:rsidR="007053C3" w:rsidRDefault="007053C3" w:rsidP="007053C3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color w:val="000000"/>
        </w:rPr>
      </w:pPr>
    </w:p>
    <w:p w:rsidR="007053C3" w:rsidRDefault="007053C3" w:rsidP="007053C3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For experiments presented in panels D to G in Figure </w:t>
      </w:r>
      <w:r w:rsidR="00484268"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</w:rPr>
        <w:t>2, WT and NOD2</w:t>
      </w:r>
      <w:r>
        <w:rPr>
          <w:rFonts w:ascii="Times New Roman" w:hAnsi="Times New Roman"/>
          <w:color w:val="000000"/>
          <w:vertAlign w:val="superscript"/>
        </w:rPr>
        <w:t>-/-</w:t>
      </w:r>
      <w:r>
        <w:rPr>
          <w:rFonts w:ascii="Times New Roman" w:hAnsi="Times New Roman"/>
          <w:color w:val="000000"/>
        </w:rPr>
        <w:t xml:space="preserve"> mice were fed a very HFD (70% Kcal from Fat, Safe, </w:t>
      </w:r>
      <w:proofErr w:type="spellStart"/>
      <w:r>
        <w:rPr>
          <w:rFonts w:ascii="Times New Roman" w:hAnsi="Times New Roman"/>
          <w:color w:val="000000"/>
        </w:rPr>
        <w:t>Augy</w:t>
      </w:r>
      <w:proofErr w:type="spellEnd"/>
      <w:r>
        <w:rPr>
          <w:rFonts w:ascii="Times New Roman" w:hAnsi="Times New Roman"/>
          <w:color w:val="000000"/>
        </w:rPr>
        <w:t xml:space="preserve">, France) for 4 weeks to rapidly study the early onset of the disease before further metabolic complications </w:t>
      </w:r>
      <w:r>
        <w:rPr>
          <w:rFonts w:ascii="Times New Roman" w:hAnsi="Times New Roman"/>
          <w:color w:val="000000"/>
        </w:rPr>
        <w:fldChar w:fldCharType="begin"/>
      </w:r>
      <w:r>
        <w:rPr>
          <w:rFonts w:ascii="Times New Roman" w:hAnsi="Times New Roman"/>
          <w:color w:val="000000"/>
        </w:rPr>
        <w:instrText xml:space="preserve"> ADDIN EN.CITE &lt;EndNote&gt;&lt;Cite&gt;&lt;Author&gt;Amar&lt;/Author&gt;&lt;Year&gt;2011&lt;/Year&gt;&lt;RecNum&gt;2&lt;/RecNum&gt;&lt;DisplayText&gt;(Amar et al, 2011)&lt;/DisplayText&gt;&lt;record&gt;&lt;rec-number&gt;2&lt;/rec-number&gt;&lt;foreign-keys&gt;&lt;key app="EN" db-id="s2t92rzwnt5sdtevrvg5fe0ba5s0pe9pv0ar"&gt;2&lt;/key&gt;&lt;/foreign-keys&gt;&lt;ref-type name="Journal Article"&gt;17&lt;/ref-type&gt;&lt;contributors&gt;&lt;authors&gt;&lt;author&gt;Amar, Jacques&lt;/author&gt;&lt;author&gt;Chabo, Chantal&lt;/author&gt;&lt;author&gt;Waget, Aurélie&lt;/author&gt;&lt;author&gt;Klopp, Pascale&lt;/author&gt;&lt;author&gt;Vachoux, Christelle&lt;/author&gt;&lt;author&gt;Bermúdez-Humarán, Luis G.&lt;/author&gt;&lt;author&gt;Smirnova, Natalia&lt;/author&gt;&lt;author&gt;Bergé, Mathieu&lt;/author&gt;&lt;author&gt;Sulpice, Thierry&lt;/author&gt;&lt;author&gt;Lahtinen, Sampo&lt;/author&gt;&lt;author&gt;Ouwehand, Arthur&lt;/author&gt;&lt;author&gt;Langella, Philippe&lt;/author&gt;&lt;author&gt;Rautonen, Nina&lt;/author&gt;&lt;author&gt;Sansonetti, Philippe J.&lt;/author&gt;&lt;author&gt;Burcelin, Rémy&lt;/author&gt;&lt;/authors&gt;&lt;/contributors&gt;&lt;titles&gt;&lt;title&gt;Intestinal mucosal adherence and translocation of commensal bacteria at the early onset of type 2 diabetes: molecular mechanisms and probiotic treatment&lt;/title&gt;&lt;secondary-title&gt;EMBO Molecular Medicine&lt;/secondary-title&gt;&lt;/titles&gt;&lt;periodical&gt;&lt;full-title&gt;EMBO Molecular Medicine&lt;/full-title&gt;&lt;/periodical&gt;&lt;pages&gt;559-572&lt;/pages&gt;&lt;volume&gt;3&lt;/volume&gt;&lt;number&gt;9&lt;/number&gt;&lt;keywords&gt;&lt;keyword&gt;Bifidobacterium lactis 420&lt;/keyword&gt;&lt;keyword&gt;diabetes&lt;/keyword&gt;&lt;keyword&gt;inflammation&lt;/keyword&gt;&lt;keyword&gt;obesity&lt;/keyword&gt;&lt;keyword&gt;pathogen-associated molecular pattern receptors&lt;/keyword&gt;&lt;/keywords&gt;&lt;dates&gt;&lt;year&gt;2011&lt;/year&gt;&lt;/dates&gt;&lt;publisher&gt;WILEY-VCH Verlag&lt;/publisher&gt;&lt;isbn&gt;1757-4684&lt;/isbn&gt;&lt;urls&gt;&lt;related-urls&gt;&lt;url&gt;http://dx.doi.org/10.1002/emmm.201100159&lt;/url&gt;&lt;/related-urls&gt;&lt;/urls&gt;&lt;electronic-resource-num&gt;10.1002/emmm.201100159&lt;/electronic-resource-num&gt;&lt;/record&gt;&lt;/Cite&gt;&lt;/EndNote&gt;</w:instrText>
      </w:r>
      <w:r>
        <w:rPr>
          <w:rFonts w:ascii="Times New Roman" w:hAnsi="Times New Roman"/>
          <w:color w:val="000000"/>
        </w:rPr>
        <w:fldChar w:fldCharType="separate"/>
      </w:r>
      <w:r>
        <w:rPr>
          <w:rFonts w:ascii="Times New Roman" w:hAnsi="Times New Roman"/>
          <w:noProof/>
          <w:color w:val="000000"/>
        </w:rPr>
        <w:t>(</w:t>
      </w:r>
      <w:hyperlink w:anchor="_ENREF_1" w:tooltip="Amar, 2011 #2" w:history="1">
        <w:r>
          <w:rPr>
            <w:rFonts w:ascii="Times New Roman" w:hAnsi="Times New Roman"/>
            <w:noProof/>
            <w:color w:val="000000"/>
          </w:rPr>
          <w:t>Amar et al, 2011</w:t>
        </w:r>
      </w:hyperlink>
      <w:r>
        <w:rPr>
          <w:rFonts w:ascii="Times New Roman" w:hAnsi="Times New Roman"/>
          <w:noProof/>
          <w:color w:val="000000"/>
        </w:rPr>
        <w:t>)</w:t>
      </w:r>
      <w:r>
        <w:rPr>
          <w:rFonts w:ascii="Times New Roman" w:hAnsi="Times New Roman"/>
          <w:color w:val="000000"/>
        </w:rPr>
        <w:fldChar w:fldCharType="end"/>
      </w:r>
      <w:r>
        <w:rPr>
          <w:rFonts w:ascii="Times New Roman" w:hAnsi="Times New Roman"/>
          <w:color w:val="000000"/>
        </w:rPr>
        <w:t>.</w:t>
      </w:r>
    </w:p>
    <w:p w:rsidR="007053C3" w:rsidRDefault="007053C3" w:rsidP="007053C3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b/>
          <w:color w:val="000000"/>
        </w:rPr>
      </w:pPr>
    </w:p>
    <w:p w:rsidR="007053C3" w:rsidRPr="00D07124" w:rsidRDefault="007053C3" w:rsidP="007053C3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b/>
          <w:color w:val="000000"/>
        </w:rPr>
      </w:pPr>
      <w:r w:rsidRPr="00D07124">
        <w:rPr>
          <w:rFonts w:ascii="Times New Roman" w:hAnsi="Times New Roman"/>
          <w:b/>
          <w:color w:val="000000"/>
        </w:rPr>
        <w:t>Flow cytometry analyses</w:t>
      </w:r>
    </w:p>
    <w:p w:rsidR="007053C3" w:rsidRDefault="007053C3" w:rsidP="007053C3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</w:t>
      </w:r>
      <w:r w:rsidRPr="00D07124">
        <w:rPr>
          <w:rFonts w:ascii="Times New Roman" w:hAnsi="Times New Roman"/>
          <w:color w:val="000000"/>
        </w:rPr>
        <w:t xml:space="preserve">ice were sacrificed and </w:t>
      </w:r>
      <w:r>
        <w:rPr>
          <w:rFonts w:ascii="Times New Roman" w:hAnsi="Times New Roman"/>
          <w:color w:val="000000"/>
        </w:rPr>
        <w:t xml:space="preserve">adipose tissue was minced and </w:t>
      </w:r>
      <w:r w:rsidRPr="00D07124">
        <w:rPr>
          <w:rFonts w:ascii="Times New Roman" w:hAnsi="Times New Roman"/>
          <w:color w:val="000000"/>
        </w:rPr>
        <w:t>digested (Sigma Aldrich, Saint</w:t>
      </w:r>
      <w:r>
        <w:rPr>
          <w:rFonts w:ascii="Times New Roman" w:hAnsi="Times New Roman"/>
          <w:color w:val="000000"/>
        </w:rPr>
        <w:t xml:space="preserve"> </w:t>
      </w:r>
      <w:r w:rsidRPr="00D07124">
        <w:rPr>
          <w:rFonts w:ascii="Times New Roman" w:hAnsi="Times New Roman"/>
          <w:color w:val="000000"/>
        </w:rPr>
        <w:t xml:space="preserve">Quentin </w:t>
      </w:r>
      <w:proofErr w:type="spellStart"/>
      <w:r w:rsidRPr="00D07124">
        <w:rPr>
          <w:rFonts w:ascii="Times New Roman" w:hAnsi="Times New Roman"/>
          <w:color w:val="000000"/>
        </w:rPr>
        <w:t>Fallavier</w:t>
      </w:r>
      <w:proofErr w:type="spellEnd"/>
      <w:r w:rsidRPr="00D07124">
        <w:rPr>
          <w:rFonts w:ascii="Times New Roman" w:hAnsi="Times New Roman"/>
          <w:color w:val="000000"/>
        </w:rPr>
        <w:t>, France; 250 units</w:t>
      </w:r>
      <w:r>
        <w:rPr>
          <w:rFonts w:ascii="Times New Roman" w:hAnsi="Times New Roman"/>
          <w:color w:val="000000"/>
        </w:rPr>
        <w:t xml:space="preserve"> collagenase</w:t>
      </w:r>
      <w:r w:rsidRPr="00D07124">
        <w:rPr>
          <w:rFonts w:ascii="Times New Roman" w:hAnsi="Times New Roman"/>
          <w:color w:val="000000"/>
        </w:rPr>
        <w:t xml:space="preserve"> / ml in PBS and 2 % bovine serum albumin</w:t>
      </w:r>
      <w:r>
        <w:rPr>
          <w:rFonts w:ascii="Times New Roman" w:hAnsi="Times New Roman"/>
          <w:color w:val="000000"/>
        </w:rPr>
        <w:t xml:space="preserve"> (</w:t>
      </w:r>
      <w:r w:rsidRPr="00D07124">
        <w:rPr>
          <w:rFonts w:ascii="Times New Roman" w:hAnsi="Times New Roman"/>
          <w:color w:val="000000"/>
        </w:rPr>
        <w:t>BSA)</w:t>
      </w:r>
      <w:r>
        <w:rPr>
          <w:rFonts w:ascii="Times New Roman" w:hAnsi="Times New Roman"/>
          <w:color w:val="000000"/>
        </w:rPr>
        <w:t>)</w:t>
      </w:r>
      <w:r w:rsidRPr="00D07124">
        <w:rPr>
          <w:rFonts w:ascii="Times New Roman" w:hAnsi="Times New Roman"/>
          <w:color w:val="000000"/>
        </w:rPr>
        <w:t xml:space="preserve"> for </w:t>
      </w:r>
      <w:r>
        <w:rPr>
          <w:rFonts w:ascii="Times New Roman" w:hAnsi="Times New Roman"/>
          <w:color w:val="000000"/>
        </w:rPr>
        <w:t>~</w:t>
      </w:r>
      <w:r w:rsidRPr="00D07124"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 xml:space="preserve"> </w:t>
      </w:r>
      <w:r w:rsidRPr="00D07124">
        <w:rPr>
          <w:rFonts w:ascii="Times New Roman" w:hAnsi="Times New Roman"/>
          <w:color w:val="000000"/>
        </w:rPr>
        <w:t xml:space="preserve">h. </w:t>
      </w:r>
      <w:r>
        <w:rPr>
          <w:rFonts w:ascii="Times New Roman" w:hAnsi="Times New Roman"/>
          <w:color w:val="000000"/>
        </w:rPr>
        <w:t>T</w:t>
      </w:r>
      <w:r w:rsidRPr="00D07124">
        <w:rPr>
          <w:rFonts w:ascii="Times New Roman" w:hAnsi="Times New Roman"/>
          <w:color w:val="000000"/>
        </w:rPr>
        <w:t>he suspension was filtered</w:t>
      </w:r>
      <w:r>
        <w:rPr>
          <w:rFonts w:ascii="Times New Roman" w:hAnsi="Times New Roman"/>
          <w:color w:val="000000"/>
        </w:rPr>
        <w:t xml:space="preserve"> through a 250 </w:t>
      </w:r>
      <w:r w:rsidRPr="00D07124">
        <w:rPr>
          <w:rFonts w:ascii="Symbol" w:hAnsi="Symbol"/>
          <w:color w:val="000000"/>
        </w:rPr>
        <w:t></w:t>
      </w:r>
      <w:r w:rsidRPr="00D07124">
        <w:rPr>
          <w:rFonts w:ascii="Times New Roman" w:hAnsi="Times New Roman"/>
          <w:color w:val="000000"/>
        </w:rPr>
        <w:t>m sieve and centrifuged (400</w:t>
      </w:r>
      <w:r>
        <w:rPr>
          <w:rFonts w:ascii="Times New Roman" w:hAnsi="Times New Roman"/>
          <w:color w:val="000000"/>
        </w:rPr>
        <w:t xml:space="preserve"> </w:t>
      </w:r>
      <w:r w:rsidRPr="00D07124">
        <w:rPr>
          <w:rFonts w:ascii="Times New Roman" w:hAnsi="Times New Roman"/>
          <w:color w:val="000000"/>
        </w:rPr>
        <w:t>g; 10 min; RT). The pelle</w:t>
      </w:r>
      <w:r>
        <w:rPr>
          <w:rFonts w:ascii="Times New Roman" w:hAnsi="Times New Roman"/>
          <w:color w:val="000000"/>
        </w:rPr>
        <w:t>t containing the cells from the SVF</w:t>
      </w:r>
      <w:r w:rsidRPr="00D07124">
        <w:rPr>
          <w:rFonts w:ascii="Times New Roman" w:hAnsi="Times New Roman"/>
          <w:color w:val="000000"/>
        </w:rPr>
        <w:t xml:space="preserve"> was then </w:t>
      </w:r>
      <w:proofErr w:type="spellStart"/>
      <w:r w:rsidRPr="00D07124">
        <w:rPr>
          <w:rFonts w:ascii="Times New Roman" w:hAnsi="Times New Roman"/>
          <w:color w:val="000000"/>
        </w:rPr>
        <w:t>resuspended</w:t>
      </w:r>
      <w:proofErr w:type="spellEnd"/>
      <w:r w:rsidRPr="00D07124">
        <w:rPr>
          <w:rFonts w:ascii="Times New Roman" w:hAnsi="Times New Roman"/>
          <w:color w:val="000000"/>
        </w:rPr>
        <w:t xml:space="preserve"> and incubated for 10 min in erythrocyte-lysing</w:t>
      </w:r>
      <w:r>
        <w:rPr>
          <w:rFonts w:ascii="Times New Roman" w:hAnsi="Times New Roman"/>
          <w:color w:val="000000"/>
        </w:rPr>
        <w:t xml:space="preserve"> </w:t>
      </w:r>
      <w:r w:rsidRPr="00D07124">
        <w:rPr>
          <w:rFonts w:ascii="Times New Roman" w:hAnsi="Times New Roman"/>
          <w:color w:val="000000"/>
        </w:rPr>
        <w:t xml:space="preserve">buffer (155 </w:t>
      </w:r>
      <w:proofErr w:type="spellStart"/>
      <w:r w:rsidRPr="00D07124">
        <w:rPr>
          <w:rFonts w:ascii="Times New Roman" w:hAnsi="Times New Roman"/>
          <w:color w:val="000000"/>
        </w:rPr>
        <w:t>mM</w:t>
      </w:r>
      <w:proofErr w:type="spellEnd"/>
      <w:r w:rsidRPr="00D07124">
        <w:rPr>
          <w:rFonts w:ascii="Times New Roman" w:hAnsi="Times New Roman"/>
          <w:color w:val="000000"/>
        </w:rPr>
        <w:t xml:space="preserve"> NH4Cl, 5.7 </w:t>
      </w:r>
      <w:proofErr w:type="spellStart"/>
      <w:r w:rsidRPr="00D07124">
        <w:rPr>
          <w:rFonts w:ascii="Times New Roman" w:hAnsi="Times New Roman"/>
          <w:color w:val="000000"/>
        </w:rPr>
        <w:t>mM</w:t>
      </w:r>
      <w:proofErr w:type="spellEnd"/>
      <w:r w:rsidRPr="00D07124">
        <w:rPr>
          <w:rFonts w:ascii="Times New Roman" w:hAnsi="Times New Roman"/>
          <w:color w:val="000000"/>
        </w:rPr>
        <w:t xml:space="preserve"> K2HPO4 and 0.1 </w:t>
      </w:r>
      <w:proofErr w:type="spellStart"/>
      <w:r w:rsidRPr="00D07124">
        <w:rPr>
          <w:rFonts w:ascii="Times New Roman" w:hAnsi="Times New Roman"/>
          <w:color w:val="000000"/>
        </w:rPr>
        <w:t>mM</w:t>
      </w:r>
      <w:proofErr w:type="spellEnd"/>
      <w:r w:rsidRPr="00D07124">
        <w:rPr>
          <w:rFonts w:ascii="Times New Roman" w:hAnsi="Times New Roman"/>
          <w:color w:val="000000"/>
        </w:rPr>
        <w:t xml:space="preserve"> EDTA). After 37 </w:t>
      </w:r>
      <w:r w:rsidRPr="00D07124">
        <w:rPr>
          <w:rFonts w:ascii="Symbol" w:hAnsi="Symbol"/>
          <w:color w:val="000000"/>
        </w:rPr>
        <w:t></w:t>
      </w:r>
      <w:r w:rsidRPr="00D07124">
        <w:rPr>
          <w:rFonts w:ascii="Times New Roman" w:hAnsi="Times New Roman"/>
          <w:color w:val="000000"/>
        </w:rPr>
        <w:t>m filtration and</w:t>
      </w:r>
      <w:r>
        <w:rPr>
          <w:rFonts w:ascii="Times New Roman" w:hAnsi="Times New Roman"/>
          <w:color w:val="000000"/>
        </w:rPr>
        <w:t xml:space="preserve"> </w:t>
      </w:r>
      <w:r w:rsidRPr="00D07124">
        <w:rPr>
          <w:rFonts w:ascii="Times New Roman" w:hAnsi="Times New Roman"/>
          <w:color w:val="000000"/>
        </w:rPr>
        <w:t xml:space="preserve">centrifugation (400 g; 10 min; 4°C), cells were </w:t>
      </w:r>
      <w:proofErr w:type="spellStart"/>
      <w:r w:rsidRPr="00D07124">
        <w:rPr>
          <w:rFonts w:ascii="Times New Roman" w:hAnsi="Times New Roman"/>
          <w:color w:val="000000"/>
        </w:rPr>
        <w:t>resuspended</w:t>
      </w:r>
      <w:proofErr w:type="spellEnd"/>
      <w:r w:rsidRPr="00D07124">
        <w:rPr>
          <w:rFonts w:ascii="Times New Roman" w:hAnsi="Times New Roman"/>
          <w:color w:val="000000"/>
        </w:rPr>
        <w:t xml:space="preserve"> in PBS containing 2 </w:t>
      </w:r>
      <w:proofErr w:type="spellStart"/>
      <w:r w:rsidRPr="00D07124">
        <w:rPr>
          <w:rFonts w:ascii="Times New Roman" w:hAnsi="Times New Roman"/>
          <w:color w:val="000000"/>
        </w:rPr>
        <w:t>mM</w:t>
      </w:r>
      <w:proofErr w:type="spellEnd"/>
      <w:r w:rsidRPr="00D07124">
        <w:rPr>
          <w:rFonts w:ascii="Times New Roman" w:hAnsi="Times New Roman"/>
          <w:color w:val="000000"/>
        </w:rPr>
        <w:t xml:space="preserve"> EDTA</w:t>
      </w:r>
      <w:r>
        <w:rPr>
          <w:rFonts w:ascii="Times New Roman" w:hAnsi="Times New Roman"/>
          <w:color w:val="000000"/>
        </w:rPr>
        <w:t xml:space="preserve"> </w:t>
      </w:r>
      <w:r w:rsidRPr="00D07124">
        <w:rPr>
          <w:rFonts w:ascii="Times New Roman" w:hAnsi="Times New Roman"/>
          <w:color w:val="000000"/>
        </w:rPr>
        <w:t xml:space="preserve">and 0.5% BSA. The total number of cells was counted using </w:t>
      </w:r>
      <w:proofErr w:type="spellStart"/>
      <w:r w:rsidRPr="00D07124">
        <w:rPr>
          <w:rFonts w:ascii="Times New Roman" w:hAnsi="Times New Roman"/>
          <w:color w:val="000000"/>
        </w:rPr>
        <w:t>trypan</w:t>
      </w:r>
      <w:proofErr w:type="spellEnd"/>
      <w:r w:rsidRPr="00D07124">
        <w:rPr>
          <w:rFonts w:ascii="Times New Roman" w:hAnsi="Times New Roman"/>
          <w:color w:val="000000"/>
        </w:rPr>
        <w:t xml:space="preserve"> blue (</w:t>
      </w:r>
      <w:proofErr w:type="spellStart"/>
      <w:r w:rsidRPr="00D07124">
        <w:rPr>
          <w:rFonts w:ascii="Times New Roman" w:hAnsi="Times New Roman"/>
          <w:color w:val="000000"/>
        </w:rPr>
        <w:t>Gibco</w:t>
      </w:r>
      <w:proofErr w:type="spellEnd"/>
      <w:r w:rsidRPr="00D07124">
        <w:rPr>
          <w:rFonts w:ascii="Times New Roman" w:hAnsi="Times New Roman"/>
          <w:color w:val="000000"/>
        </w:rPr>
        <w:t>, Courbevoie,</w:t>
      </w:r>
      <w:r>
        <w:rPr>
          <w:rFonts w:ascii="Times New Roman" w:hAnsi="Times New Roman"/>
          <w:color w:val="000000"/>
        </w:rPr>
        <w:t xml:space="preserve"> </w:t>
      </w:r>
      <w:r w:rsidRPr="00D07124">
        <w:rPr>
          <w:rFonts w:ascii="Times New Roman" w:hAnsi="Times New Roman"/>
          <w:color w:val="000000"/>
        </w:rPr>
        <w:t>France).</w:t>
      </w:r>
      <w:r>
        <w:rPr>
          <w:rFonts w:ascii="Times New Roman" w:hAnsi="Times New Roman"/>
          <w:color w:val="000000"/>
        </w:rPr>
        <w:t xml:space="preserve"> </w:t>
      </w:r>
      <w:r w:rsidRPr="00D07124">
        <w:rPr>
          <w:rFonts w:ascii="Times New Roman" w:hAnsi="Times New Roman"/>
          <w:color w:val="000000"/>
        </w:rPr>
        <w:t xml:space="preserve">150 000 cells of the </w:t>
      </w:r>
      <w:r>
        <w:rPr>
          <w:rFonts w:ascii="Times New Roman" w:hAnsi="Times New Roman"/>
          <w:color w:val="000000"/>
        </w:rPr>
        <w:t>SVF</w:t>
      </w:r>
      <w:r w:rsidRPr="00D07124">
        <w:rPr>
          <w:rFonts w:ascii="Times New Roman" w:hAnsi="Times New Roman"/>
          <w:color w:val="000000"/>
        </w:rPr>
        <w:t xml:space="preserve"> were incubated for 25 min at 4°C with </w:t>
      </w:r>
      <w:proofErr w:type="spellStart"/>
      <w:r w:rsidRPr="00D07124">
        <w:rPr>
          <w:rFonts w:ascii="Times New Roman" w:hAnsi="Times New Roman"/>
          <w:color w:val="000000"/>
        </w:rPr>
        <w:t>PerCP</w:t>
      </w:r>
      <w:proofErr w:type="spellEnd"/>
      <w:r>
        <w:rPr>
          <w:rFonts w:ascii="Times New Roman" w:hAnsi="Times New Roman"/>
          <w:color w:val="000000"/>
        </w:rPr>
        <w:t>-</w:t>
      </w:r>
      <w:r w:rsidRPr="00D07124">
        <w:rPr>
          <w:rFonts w:ascii="Times New Roman" w:hAnsi="Times New Roman"/>
          <w:color w:val="000000"/>
        </w:rPr>
        <w:t>conjugated</w:t>
      </w:r>
      <w:r>
        <w:rPr>
          <w:rFonts w:ascii="Times New Roman" w:hAnsi="Times New Roman"/>
          <w:color w:val="000000"/>
        </w:rPr>
        <w:t xml:space="preserve"> </w:t>
      </w:r>
      <w:r w:rsidRPr="00D07124">
        <w:rPr>
          <w:rFonts w:ascii="Times New Roman" w:hAnsi="Times New Roman"/>
          <w:color w:val="000000"/>
        </w:rPr>
        <w:t>antibodies (CD45, NK-1.1), APC-conjugated antibody (CD31, F4/80 and CD8),</w:t>
      </w:r>
      <w:r>
        <w:rPr>
          <w:rFonts w:ascii="Times New Roman" w:hAnsi="Times New Roman"/>
          <w:color w:val="000000"/>
        </w:rPr>
        <w:t xml:space="preserve"> </w:t>
      </w:r>
      <w:r w:rsidRPr="00D07124">
        <w:rPr>
          <w:rFonts w:ascii="Times New Roman" w:hAnsi="Times New Roman"/>
          <w:color w:val="000000"/>
        </w:rPr>
        <w:t>PE-Cy7 conjugated antibody CD19, APC-Cy7 conjugated antibody (CD3, Sca1) and</w:t>
      </w:r>
      <w:r>
        <w:rPr>
          <w:rFonts w:ascii="Times New Roman" w:hAnsi="Times New Roman"/>
          <w:color w:val="000000"/>
        </w:rPr>
        <w:t xml:space="preserve"> </w:t>
      </w:r>
      <w:r w:rsidRPr="00D07124">
        <w:rPr>
          <w:rFonts w:ascii="Times New Roman" w:hAnsi="Times New Roman"/>
          <w:color w:val="000000"/>
        </w:rPr>
        <w:t xml:space="preserve">respective </w:t>
      </w:r>
      <w:proofErr w:type="spellStart"/>
      <w:r w:rsidRPr="00D07124">
        <w:rPr>
          <w:rFonts w:ascii="Times New Roman" w:hAnsi="Times New Roman"/>
          <w:color w:val="000000"/>
        </w:rPr>
        <w:t>isotype</w:t>
      </w:r>
      <w:proofErr w:type="spellEnd"/>
      <w:r w:rsidRPr="00D07124">
        <w:rPr>
          <w:rFonts w:ascii="Times New Roman" w:hAnsi="Times New Roman"/>
          <w:color w:val="000000"/>
        </w:rPr>
        <w:t xml:space="preserve"> controls. Labeled cells were then washed in PBS, centrifuged (400 g; 10</w:t>
      </w:r>
      <w:r>
        <w:rPr>
          <w:rFonts w:ascii="Times New Roman" w:hAnsi="Times New Roman"/>
          <w:color w:val="000000"/>
        </w:rPr>
        <w:t xml:space="preserve"> </w:t>
      </w:r>
      <w:r w:rsidRPr="00D07124">
        <w:rPr>
          <w:rFonts w:ascii="Times New Roman" w:hAnsi="Times New Roman"/>
          <w:color w:val="000000"/>
        </w:rPr>
        <w:t xml:space="preserve">min; 4°C) and then analyzed by flow cytometry using a </w:t>
      </w:r>
      <w:proofErr w:type="spellStart"/>
      <w:r>
        <w:rPr>
          <w:rFonts w:ascii="Times New Roman" w:hAnsi="Times New Roman"/>
          <w:color w:val="000000"/>
        </w:rPr>
        <w:t>FACSC</w:t>
      </w:r>
      <w:r w:rsidRPr="00D07124">
        <w:rPr>
          <w:rFonts w:ascii="Times New Roman" w:hAnsi="Times New Roman"/>
          <w:color w:val="000000"/>
        </w:rPr>
        <w:t>alibur</w:t>
      </w:r>
      <w:proofErr w:type="spellEnd"/>
      <w:r w:rsidRPr="00D07124">
        <w:rPr>
          <w:rFonts w:ascii="Times New Roman" w:hAnsi="Times New Roman"/>
          <w:color w:val="000000"/>
        </w:rPr>
        <w:t xml:space="preserve"> flow cytometer and Diva software (BD-Biosciences,</w:t>
      </w:r>
      <w:r>
        <w:rPr>
          <w:rFonts w:ascii="Times New Roman" w:hAnsi="Times New Roman"/>
          <w:color w:val="000000"/>
        </w:rPr>
        <w:t xml:space="preserve"> Le Pont-de-</w:t>
      </w:r>
      <w:proofErr w:type="spellStart"/>
      <w:r>
        <w:rPr>
          <w:rFonts w:ascii="Times New Roman" w:hAnsi="Times New Roman"/>
          <w:color w:val="000000"/>
        </w:rPr>
        <w:t>Claix</w:t>
      </w:r>
      <w:proofErr w:type="spellEnd"/>
      <w:r>
        <w:rPr>
          <w:rFonts w:ascii="Times New Roman" w:hAnsi="Times New Roman"/>
          <w:color w:val="000000"/>
        </w:rPr>
        <w:t xml:space="preserve">, France). The </w:t>
      </w:r>
      <w:r w:rsidRPr="00D07124">
        <w:rPr>
          <w:rFonts w:ascii="Times New Roman" w:hAnsi="Times New Roman"/>
          <w:color w:val="000000"/>
        </w:rPr>
        <w:t xml:space="preserve">total number of each cell population present in the </w:t>
      </w:r>
      <w:r>
        <w:rPr>
          <w:rFonts w:ascii="Times New Roman" w:hAnsi="Times New Roman"/>
          <w:color w:val="000000"/>
        </w:rPr>
        <w:t>adipose tissue</w:t>
      </w:r>
      <w:r w:rsidRPr="00D07124">
        <w:rPr>
          <w:rFonts w:ascii="Times New Roman" w:hAnsi="Times New Roman"/>
          <w:color w:val="000000"/>
        </w:rPr>
        <w:t xml:space="preserve"> depot was calculated as a product of</w:t>
      </w:r>
      <w:r>
        <w:rPr>
          <w:rFonts w:ascii="Times New Roman" w:hAnsi="Times New Roman"/>
          <w:color w:val="000000"/>
        </w:rPr>
        <w:t xml:space="preserve"> </w:t>
      </w:r>
      <w:r w:rsidRPr="00D07124">
        <w:rPr>
          <w:rFonts w:ascii="Times New Roman" w:hAnsi="Times New Roman"/>
          <w:color w:val="000000"/>
        </w:rPr>
        <w:t>the percentage of each cell type determined by the flow cytometry analyses and the total</w:t>
      </w:r>
      <w:r>
        <w:rPr>
          <w:rFonts w:ascii="Times New Roman" w:hAnsi="Times New Roman"/>
          <w:color w:val="000000"/>
        </w:rPr>
        <w:t xml:space="preserve"> </w:t>
      </w:r>
      <w:r w:rsidRPr="00D07124">
        <w:rPr>
          <w:rFonts w:ascii="Times New Roman" w:hAnsi="Times New Roman"/>
          <w:color w:val="000000"/>
        </w:rPr>
        <w:t>number of SVF cells counted</w:t>
      </w:r>
      <w:r>
        <w:rPr>
          <w:rFonts w:ascii="Times New Roman" w:hAnsi="Times New Roman"/>
          <w:color w:val="000000"/>
        </w:rPr>
        <w:t>.</w:t>
      </w:r>
    </w:p>
    <w:p w:rsidR="007053C3" w:rsidRDefault="007053C3" w:rsidP="007053C3">
      <w:pPr>
        <w:rPr>
          <w:b/>
        </w:rPr>
      </w:pPr>
    </w:p>
    <w:p w:rsidR="007053C3" w:rsidRDefault="007053C3" w:rsidP="007053C3">
      <w:pPr>
        <w:rPr>
          <w:b/>
        </w:rPr>
      </w:pPr>
    </w:p>
    <w:p w:rsidR="007053C3" w:rsidRPr="00C74DD3" w:rsidRDefault="007053C3" w:rsidP="007053C3">
      <w:pPr>
        <w:rPr>
          <w:b/>
        </w:rPr>
      </w:pPr>
      <w:r>
        <w:rPr>
          <w:b/>
        </w:rPr>
        <w:lastRenderedPageBreak/>
        <w:t>Supplementary reference</w:t>
      </w:r>
    </w:p>
    <w:p w:rsidR="007053C3" w:rsidRDefault="007053C3" w:rsidP="007053C3"/>
    <w:p w:rsidR="007053C3" w:rsidRDefault="007053C3" w:rsidP="007053C3">
      <w:pPr>
        <w:rPr>
          <w:noProof/>
        </w:rPr>
      </w:pPr>
      <w:r>
        <w:fldChar w:fldCharType="begin"/>
      </w:r>
      <w:r w:rsidRPr="007053C3">
        <w:instrText xml:space="preserve"> ADDIN EN.REFLIST </w:instrText>
      </w:r>
      <w:r>
        <w:fldChar w:fldCharType="separate"/>
      </w:r>
      <w:bookmarkStart w:id="1" w:name="_ENREF_1"/>
      <w:r>
        <w:rPr>
          <w:noProof/>
        </w:rPr>
        <w:t>Amar J, Chabo C, Waget A, Klopp P, Vachoux C, Bermúdez-Humarán LG, Smirnova N, Bergé M, Sulpice T, Lahtinen S et al (2011) Intestinal mucosal adherence and translocation of commensal bacteria at the early onset of type 2 diabetes: molecular mechanisms and probiotic treatment. EMBO Molecular Medicine 3</w:t>
      </w:r>
      <w:r w:rsidRPr="00C74DD3">
        <w:rPr>
          <w:b/>
          <w:noProof/>
        </w:rPr>
        <w:t>:</w:t>
      </w:r>
      <w:r>
        <w:rPr>
          <w:noProof/>
        </w:rPr>
        <w:t xml:space="preserve"> 559-572</w:t>
      </w:r>
    </w:p>
    <w:bookmarkEnd w:id="1"/>
    <w:p w:rsidR="007053C3" w:rsidRDefault="007053C3" w:rsidP="007053C3">
      <w:pPr>
        <w:rPr>
          <w:noProof/>
        </w:rPr>
      </w:pPr>
    </w:p>
    <w:p w:rsidR="007053C3" w:rsidRDefault="007053C3" w:rsidP="007053C3">
      <w:pPr>
        <w:rPr>
          <w:noProof/>
        </w:rPr>
      </w:pPr>
    </w:p>
    <w:p w:rsidR="007053C3" w:rsidRDefault="007053C3" w:rsidP="007053C3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color w:val="000000"/>
        </w:rPr>
      </w:pPr>
      <w:r>
        <w:fldChar w:fldCharType="end"/>
      </w:r>
    </w:p>
    <w:p w:rsidR="007053C3" w:rsidRDefault="007053C3" w:rsidP="007053C3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color w:val="000000"/>
        </w:rPr>
      </w:pPr>
    </w:p>
    <w:p w:rsidR="007053C3" w:rsidRDefault="007053C3">
      <w:pPr>
        <w:suppressAutoHyphens w:val="0"/>
        <w:spacing w:after="160" w:line="259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br w:type="page"/>
      </w:r>
    </w:p>
    <w:p w:rsidR="007053C3" w:rsidRDefault="007053C3" w:rsidP="007053C3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b/>
          <w:color w:val="000000"/>
        </w:rPr>
      </w:pPr>
      <w:proofErr w:type="gramStart"/>
      <w:r>
        <w:rPr>
          <w:rFonts w:ascii="Times New Roman" w:hAnsi="Times New Roman"/>
          <w:b/>
          <w:color w:val="000000"/>
        </w:rPr>
        <w:lastRenderedPageBreak/>
        <w:t>Supplementary table.</w:t>
      </w:r>
      <w:proofErr w:type="gramEnd"/>
    </w:p>
    <w:p w:rsidR="007053C3" w:rsidRDefault="007053C3" w:rsidP="007053C3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b/>
          <w:color w:val="000000"/>
        </w:rPr>
      </w:pPr>
    </w:p>
    <w:p w:rsidR="007053C3" w:rsidRDefault="007053C3" w:rsidP="007053C3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b/>
          <w:color w:val="000000"/>
        </w:rPr>
      </w:pPr>
      <w:proofErr w:type="gramStart"/>
      <w:r>
        <w:rPr>
          <w:rFonts w:ascii="Times New Roman" w:hAnsi="Times New Roman"/>
          <w:b/>
          <w:color w:val="000000"/>
        </w:rPr>
        <w:t>Table 1.</w:t>
      </w:r>
      <w:proofErr w:type="gramEnd"/>
      <w:r>
        <w:rPr>
          <w:rFonts w:ascii="Times New Roman" w:hAnsi="Times New Roman"/>
          <w:b/>
          <w:color w:val="000000"/>
        </w:rPr>
        <w:t xml:space="preserve"> </w:t>
      </w:r>
      <w:r w:rsidRPr="005F1DDE">
        <w:rPr>
          <w:rFonts w:ascii="Times New Roman" w:hAnsi="Times New Roman"/>
          <w:b/>
          <w:color w:val="000000"/>
        </w:rPr>
        <w:t xml:space="preserve">Supporting table from QIIME 16S </w:t>
      </w:r>
      <w:proofErr w:type="spellStart"/>
      <w:r w:rsidRPr="005F1DDE">
        <w:rPr>
          <w:rFonts w:ascii="Times New Roman" w:hAnsi="Times New Roman"/>
          <w:b/>
          <w:color w:val="000000"/>
        </w:rPr>
        <w:t>rDNA</w:t>
      </w:r>
      <w:proofErr w:type="spellEnd"/>
      <w:r w:rsidRPr="005F1DDE">
        <w:rPr>
          <w:rFonts w:ascii="Times New Roman" w:hAnsi="Times New Roman"/>
          <w:b/>
          <w:color w:val="000000"/>
        </w:rPr>
        <w:t xml:space="preserve"> sequencing analysis</w:t>
      </w:r>
    </w:p>
    <w:p w:rsidR="007053C3" w:rsidRPr="005F1DDE" w:rsidRDefault="007053C3" w:rsidP="007053C3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b/>
          <w:color w:val="00000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977"/>
        <w:gridCol w:w="3089"/>
      </w:tblGrid>
      <w:tr w:rsidR="007053C3" w:rsidTr="00E0618C">
        <w:tc>
          <w:tcPr>
            <w:tcW w:w="3402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7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Diet and NOD2 genotype (Fig 5)</w:t>
            </w:r>
          </w:p>
        </w:tc>
        <w:tc>
          <w:tcPr>
            <w:tcW w:w="3089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Antibiotics and Microbiota Transfer (Fig 6 and 7)</w:t>
            </w:r>
          </w:p>
        </w:tc>
      </w:tr>
      <w:tr w:rsidR="007053C3" w:rsidTr="00E0618C">
        <w:tc>
          <w:tcPr>
            <w:tcW w:w="3402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Number of Samples</w:t>
            </w:r>
          </w:p>
        </w:tc>
        <w:tc>
          <w:tcPr>
            <w:tcW w:w="2977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089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</w:tr>
      <w:tr w:rsidR="007053C3" w:rsidTr="00E0618C">
        <w:tc>
          <w:tcPr>
            <w:tcW w:w="3402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Minimum Sequences Count</w:t>
            </w:r>
          </w:p>
        </w:tc>
        <w:tc>
          <w:tcPr>
            <w:tcW w:w="2977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57979</w:t>
            </w:r>
          </w:p>
        </w:tc>
        <w:tc>
          <w:tcPr>
            <w:tcW w:w="3089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16372</w:t>
            </w:r>
          </w:p>
        </w:tc>
      </w:tr>
      <w:tr w:rsidR="007053C3" w:rsidTr="00E0618C">
        <w:tc>
          <w:tcPr>
            <w:tcW w:w="3402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Maximum Sequences Count</w:t>
            </w:r>
          </w:p>
        </w:tc>
        <w:tc>
          <w:tcPr>
            <w:tcW w:w="2977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116375</w:t>
            </w:r>
          </w:p>
        </w:tc>
        <w:tc>
          <w:tcPr>
            <w:tcW w:w="3089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126798</w:t>
            </w:r>
          </w:p>
        </w:tc>
      </w:tr>
      <w:tr w:rsidR="007053C3" w:rsidTr="00E0618C">
        <w:tc>
          <w:tcPr>
            <w:tcW w:w="3402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Median Sequences Count</w:t>
            </w:r>
          </w:p>
        </w:tc>
        <w:tc>
          <w:tcPr>
            <w:tcW w:w="2977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89204</w:t>
            </w:r>
          </w:p>
        </w:tc>
        <w:tc>
          <w:tcPr>
            <w:tcW w:w="3089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80786.5</w:t>
            </w:r>
          </w:p>
        </w:tc>
      </w:tr>
      <w:tr w:rsidR="007053C3" w:rsidTr="00E0618C">
        <w:tc>
          <w:tcPr>
            <w:tcW w:w="3402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Normalized Sequences</w:t>
            </w:r>
            <w:r w:rsidRPr="006F3B6B">
              <w:rPr>
                <w:rFonts w:ascii="Times New Roman" w:hAnsi="Times New Roman"/>
                <w:b/>
                <w:color w:val="000000"/>
                <w:vertAlign w:val="superscript"/>
              </w:rPr>
              <w:t>#</w:t>
            </w:r>
          </w:p>
        </w:tc>
        <w:tc>
          <w:tcPr>
            <w:tcW w:w="2977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57979</w:t>
            </w:r>
          </w:p>
        </w:tc>
        <w:tc>
          <w:tcPr>
            <w:tcW w:w="3089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16372</w:t>
            </w:r>
          </w:p>
        </w:tc>
      </w:tr>
      <w:tr w:rsidR="007053C3" w:rsidTr="00E0618C">
        <w:trPr>
          <w:trHeight w:val="808"/>
        </w:trPr>
        <w:tc>
          <w:tcPr>
            <w:tcW w:w="3402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Number of 97% </w:t>
            </w:r>
            <w:proofErr w:type="spellStart"/>
            <w:r>
              <w:rPr>
                <w:rFonts w:ascii="Times New Roman" w:hAnsi="Times New Roman"/>
                <w:color w:val="000000"/>
              </w:rPr>
              <w:t>phylotypes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(genus level-assignable)</w:t>
            </w:r>
          </w:p>
        </w:tc>
        <w:tc>
          <w:tcPr>
            <w:tcW w:w="2977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310</w:t>
            </w:r>
          </w:p>
        </w:tc>
        <w:tc>
          <w:tcPr>
            <w:tcW w:w="3089" w:type="dxa"/>
          </w:tcPr>
          <w:p w:rsidR="007053C3" w:rsidRDefault="007053C3" w:rsidP="00E0618C">
            <w:pPr>
              <w:widowControl w:val="0"/>
              <w:suppressAutoHyphens w:val="0"/>
              <w:spacing w:line="48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303</w:t>
            </w:r>
          </w:p>
        </w:tc>
      </w:tr>
    </w:tbl>
    <w:p w:rsidR="007053C3" w:rsidRDefault="007053C3" w:rsidP="007053C3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color w:val="000000"/>
        </w:rPr>
      </w:pPr>
    </w:p>
    <w:p w:rsidR="007053C3" w:rsidRDefault="007053C3" w:rsidP="007053C3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color w:val="000000"/>
        </w:rPr>
      </w:pPr>
      <w:r w:rsidRPr="005F1DDE">
        <w:rPr>
          <w:rFonts w:ascii="Times New Roman" w:hAnsi="Times New Roman"/>
          <w:b/>
          <w:color w:val="000000"/>
          <w:kern w:val="24"/>
          <w:vertAlign w:val="superscript"/>
        </w:rPr>
        <w:t>#</w:t>
      </w:r>
      <w:proofErr w:type="gramStart"/>
      <w:r w:rsidRPr="005A301E">
        <w:rPr>
          <w:kern w:val="24"/>
        </w:rPr>
        <w:t>T</w:t>
      </w:r>
      <w:r w:rsidRPr="005F1DDE">
        <w:rPr>
          <w:rFonts w:ascii="Times New Roman" w:hAnsi="Times New Roman"/>
          <w:color w:val="000000"/>
        </w:rPr>
        <w:t>he</w:t>
      </w:r>
      <w:proofErr w:type="gramEnd"/>
      <w:r w:rsidRPr="005F1DDE">
        <w:rPr>
          <w:rFonts w:ascii="Times New Roman" w:hAnsi="Times New Roman"/>
          <w:color w:val="000000"/>
        </w:rPr>
        <w:t xml:space="preserve"> normalized number of sequences represents the number of sequences that each dataset </w:t>
      </w:r>
      <w:r>
        <w:rPr>
          <w:rFonts w:ascii="Times New Roman" w:hAnsi="Times New Roman"/>
          <w:color w:val="000000"/>
        </w:rPr>
        <w:t>(</w:t>
      </w:r>
      <w:r w:rsidRPr="005F1DDE">
        <w:rPr>
          <w:rFonts w:ascii="Times New Roman" w:hAnsi="Times New Roman"/>
          <w:color w:val="000000"/>
        </w:rPr>
        <w:t>of a given sample</w:t>
      </w:r>
      <w:r>
        <w:rPr>
          <w:rFonts w:ascii="Times New Roman" w:hAnsi="Times New Roman"/>
          <w:color w:val="000000"/>
        </w:rPr>
        <w:t>)</w:t>
      </w:r>
      <w:r w:rsidRPr="005F1DDE">
        <w:rPr>
          <w:rFonts w:ascii="Times New Roman" w:hAnsi="Times New Roman"/>
          <w:color w:val="000000"/>
        </w:rPr>
        <w:t xml:space="preserve"> were normalized to by rarefaction to allow for intra-sample comparisons of the datasets.</w:t>
      </w:r>
    </w:p>
    <w:p w:rsidR="007053C3" w:rsidRDefault="007053C3" w:rsidP="007053C3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color w:val="000000"/>
        </w:rPr>
      </w:pPr>
    </w:p>
    <w:p w:rsidR="007053C3" w:rsidRDefault="007053C3" w:rsidP="007053C3"/>
    <w:p w:rsidR="00F72FF2" w:rsidRDefault="00F72FF2" w:rsidP="007053C3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b/>
        </w:rPr>
      </w:pPr>
    </w:p>
    <w:p w:rsidR="007053C3" w:rsidRDefault="007053C3">
      <w:pPr>
        <w:suppressAutoHyphens w:val="0"/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7053C3" w:rsidRDefault="00CE0A48" w:rsidP="00F72FF2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lastRenderedPageBreak/>
        <w:t>Supplementary figure legends</w:t>
      </w:r>
      <w:r w:rsidR="007053C3">
        <w:rPr>
          <w:rFonts w:ascii="Times New Roman" w:hAnsi="Times New Roman"/>
          <w:b/>
        </w:rPr>
        <w:t>.</w:t>
      </w:r>
      <w:proofErr w:type="gramEnd"/>
    </w:p>
    <w:p w:rsidR="007053C3" w:rsidRDefault="007053C3" w:rsidP="00F72FF2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b/>
        </w:rPr>
      </w:pPr>
    </w:p>
    <w:p w:rsidR="00F72FF2" w:rsidRDefault="00F72FF2" w:rsidP="00F72FF2">
      <w:pPr>
        <w:widowControl w:val="0"/>
        <w:suppressAutoHyphens w:val="0"/>
        <w:spacing w:line="48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Figure </w:t>
      </w:r>
      <w:r w:rsidR="00484268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>1.</w:t>
      </w:r>
    </w:p>
    <w:p w:rsidR="00F72FF2" w:rsidRDefault="00F72FF2" w:rsidP="00F72FF2">
      <w:pPr>
        <w:widowControl w:val="0"/>
        <w:suppressAutoHyphens w:val="0"/>
        <w:spacing w:line="480" w:lineRule="auto"/>
        <w:jc w:val="both"/>
      </w:pPr>
      <w:r w:rsidRPr="00D36DD0">
        <w:rPr>
          <w:rFonts w:ascii="Times New Roman" w:hAnsi="Times New Roman"/>
        </w:rPr>
        <w:t xml:space="preserve">Body mass </w:t>
      </w:r>
      <w:r>
        <w:rPr>
          <w:rFonts w:ascii="Times New Roman" w:hAnsi="Times New Roman"/>
        </w:rPr>
        <w:t xml:space="preserve">(A) and gonadal white adipose tissue (WAT) and mesenteric adipose tissue (MAT) mass (B) </w:t>
      </w:r>
      <w:r w:rsidRPr="00D36DD0">
        <w:rPr>
          <w:rFonts w:ascii="Times New Roman" w:hAnsi="Times New Roman"/>
        </w:rPr>
        <w:t xml:space="preserve">of </w:t>
      </w:r>
      <w:r>
        <w:rPr>
          <w:rFonts w:ascii="Times New Roman" w:hAnsi="Times New Roman"/>
        </w:rPr>
        <w:t xml:space="preserve">24-25 week old </w:t>
      </w:r>
      <w:r w:rsidRPr="00D36DD0">
        <w:rPr>
          <w:rFonts w:ascii="Times New Roman" w:hAnsi="Times New Roman"/>
        </w:rPr>
        <w:t>weight-matched</w:t>
      </w:r>
      <w:r>
        <w:rPr>
          <w:rFonts w:ascii="Times New Roman" w:hAnsi="Times New Roman"/>
        </w:rPr>
        <w:t xml:space="preserve"> mice that were on a chow (</w:t>
      </w:r>
      <w:bookmarkStart w:id="2" w:name="OLE_LINK26"/>
      <w:r>
        <w:rPr>
          <w:rFonts w:ascii="Times New Roman" w:hAnsi="Times New Roman"/>
        </w:rPr>
        <w:t>WT, n = 11, NOD2</w:t>
      </w:r>
      <w:r>
        <w:rPr>
          <w:rFonts w:ascii="Times New Roman" w:hAnsi="Times New Roman"/>
          <w:vertAlign w:val="superscript"/>
        </w:rPr>
        <w:t>-/-</w:t>
      </w:r>
      <w:r>
        <w:rPr>
          <w:rFonts w:ascii="Times New Roman" w:hAnsi="Times New Roman"/>
        </w:rPr>
        <w:t>, n = 10)</w:t>
      </w:r>
      <w:bookmarkEnd w:id="2"/>
      <w:r>
        <w:rPr>
          <w:rFonts w:ascii="Times New Roman" w:hAnsi="Times New Roman"/>
        </w:rPr>
        <w:t xml:space="preserve"> or HFD (WT, n = 9, NOD2</w:t>
      </w:r>
      <w:r>
        <w:rPr>
          <w:rFonts w:ascii="Times New Roman" w:hAnsi="Times New Roman"/>
          <w:vertAlign w:val="superscript"/>
        </w:rPr>
        <w:t>-/-</w:t>
      </w:r>
      <w:r>
        <w:rPr>
          <w:rFonts w:ascii="Times New Roman" w:hAnsi="Times New Roman"/>
        </w:rPr>
        <w:t xml:space="preserve">, n = 10) for 16 weeks. </w:t>
      </w:r>
      <w:r>
        <w:t xml:space="preserve">Blood glucose and the cumulative AUC during glucose tolerance tests (GTT; 1.5 g/kg </w:t>
      </w:r>
      <w:proofErr w:type="spellStart"/>
      <w:r w:rsidRPr="00E9476B">
        <w:rPr>
          <w:i/>
        </w:rPr>
        <w:t>i.p</w:t>
      </w:r>
      <w:proofErr w:type="spellEnd"/>
      <w:r>
        <w:rPr>
          <w:i/>
        </w:rPr>
        <w:t>.</w:t>
      </w:r>
      <w:r w:rsidRPr="00D50BA8">
        <w:t>)</w:t>
      </w:r>
      <w:r>
        <w:t xml:space="preserve"> in HFD-fed WT (n = 6) and NOD2</w:t>
      </w:r>
      <w:r>
        <w:rPr>
          <w:vertAlign w:val="superscript"/>
        </w:rPr>
        <w:t>-/-</w:t>
      </w:r>
      <w:r>
        <w:t xml:space="preserve"> (N= 6) mice (C)</w:t>
      </w:r>
      <w:r w:rsidR="00CE0A48">
        <w:t xml:space="preserve">, </w:t>
      </w:r>
      <w:r w:rsidR="00B41726">
        <w:t>*</w:t>
      </w:r>
      <w:r w:rsidR="00CE0A48">
        <w:t>P = 0.03</w:t>
      </w:r>
      <w:r>
        <w:t>. Body mass (D), blood glucose levels (E) and glucose infusion rate (GINF) during the entire clamp protocol in weight-matched HFD-fed WT (n =4) and NOD2</w:t>
      </w:r>
      <w:r>
        <w:rPr>
          <w:vertAlign w:val="superscript"/>
        </w:rPr>
        <w:t>-/-</w:t>
      </w:r>
      <w:r>
        <w:t xml:space="preserve"> (n =3) mice. </w:t>
      </w:r>
      <w:bookmarkStart w:id="3" w:name="OLE_LINK1"/>
      <w:proofErr w:type="spellStart"/>
      <w:proofErr w:type="gramStart"/>
      <w:r>
        <w:t>qPCR</w:t>
      </w:r>
      <w:proofErr w:type="spellEnd"/>
      <w:proofErr w:type="gramEnd"/>
      <w:r>
        <w:t xml:space="preserve"> detection of NOD1, NLRP3, TLR2, TLR4 and TLR9 in </w:t>
      </w:r>
      <w:bookmarkEnd w:id="3"/>
      <w:r>
        <w:t>gonadal adipose tissue (</w:t>
      </w:r>
      <w:r w:rsidR="00B41726">
        <w:t>G</w:t>
      </w:r>
      <w:r>
        <w:t>)</w:t>
      </w:r>
      <w:r w:rsidR="00A4629E">
        <w:t>, from 24-25 week old WT and NOD2</w:t>
      </w:r>
      <w:r w:rsidR="00A4629E">
        <w:rPr>
          <w:vertAlign w:val="superscript"/>
        </w:rPr>
        <w:t>-/-</w:t>
      </w:r>
      <w:r w:rsidR="00A4629E">
        <w:t xml:space="preserve"> mice after a chow (n = 5 in all tissues and both genotypes) or 16 week HFD (n = 11 in all tissues and both genotypes), </w:t>
      </w:r>
      <w:r w:rsidR="00346C8F" w:rsidRPr="00346C8F">
        <w:rPr>
          <w:vertAlign w:val="superscript"/>
        </w:rPr>
        <w:t>#</w:t>
      </w:r>
      <w:r w:rsidR="00346C8F">
        <w:t xml:space="preserve">P = 0.03, </w:t>
      </w:r>
      <w:r w:rsidR="00A4629E" w:rsidRPr="00CE0A48">
        <w:rPr>
          <w:vertAlign w:val="superscript"/>
        </w:rPr>
        <w:t>#</w:t>
      </w:r>
      <w:r w:rsidR="00346C8F">
        <w:rPr>
          <w:vertAlign w:val="superscript"/>
        </w:rPr>
        <w:t>#</w:t>
      </w:r>
      <w:r w:rsidR="00A4629E">
        <w:t xml:space="preserve">P = 0.001. </w:t>
      </w:r>
      <w:proofErr w:type="spellStart"/>
      <w:r w:rsidR="00A4629E">
        <w:t>qPCR</w:t>
      </w:r>
      <w:proofErr w:type="spellEnd"/>
      <w:r w:rsidR="00A4629E">
        <w:t xml:space="preserve"> detection of NOD1, NLRP3, TLR2, TLR4 and TLR9 in </w:t>
      </w:r>
      <w:r>
        <w:t>liver (</w:t>
      </w:r>
      <w:r w:rsidR="00B41726">
        <w:t>H</w:t>
      </w:r>
      <w:r>
        <w:t xml:space="preserve">) </w:t>
      </w:r>
      <w:proofErr w:type="spellStart"/>
      <w:r>
        <w:t>tibialis</w:t>
      </w:r>
      <w:proofErr w:type="spellEnd"/>
      <w:r>
        <w:t xml:space="preserve"> anterior skeletal muscle (</w:t>
      </w:r>
      <w:r w:rsidR="00B41726">
        <w:t>I</w:t>
      </w:r>
      <w:r>
        <w:t>) and spleen (</w:t>
      </w:r>
      <w:r w:rsidR="00B41726">
        <w:t>J</w:t>
      </w:r>
      <w:r>
        <w:t>) from 24-25 week old WT and NOD2</w:t>
      </w:r>
      <w:r>
        <w:rPr>
          <w:vertAlign w:val="superscript"/>
        </w:rPr>
        <w:t>-/-</w:t>
      </w:r>
      <w:r>
        <w:t xml:space="preserve"> mice after a chow (n = 5 in all tissues and both genotypes) or 16 week HFD (n = 11 in all tissues and both genotypes)</w:t>
      </w:r>
      <w:r w:rsidR="00CE0A48">
        <w:t xml:space="preserve">, </w:t>
      </w:r>
      <w:r w:rsidR="00CE0A48" w:rsidRPr="00CE0A48">
        <w:rPr>
          <w:vertAlign w:val="superscript"/>
        </w:rPr>
        <w:t>#</w:t>
      </w:r>
      <w:r w:rsidR="00CE0A48">
        <w:t>P =</w:t>
      </w:r>
      <w:r w:rsidR="00A4629E">
        <w:t xml:space="preserve"> 0.02, </w:t>
      </w:r>
      <w:r w:rsidR="00A4629E" w:rsidRPr="00A4629E">
        <w:rPr>
          <w:vertAlign w:val="superscript"/>
        </w:rPr>
        <w:t>##</w:t>
      </w:r>
      <w:r w:rsidR="00A4629E">
        <w:t xml:space="preserve">P = 0.01, </w:t>
      </w:r>
      <w:r w:rsidR="00A4629E" w:rsidRPr="00A4629E">
        <w:rPr>
          <w:vertAlign w:val="superscript"/>
        </w:rPr>
        <w:t>###</w:t>
      </w:r>
      <w:r w:rsidR="00102D84">
        <w:t>P = 0.0007</w:t>
      </w:r>
      <w:r w:rsidR="00CE0A48">
        <w:t xml:space="preserve"> </w:t>
      </w:r>
      <w:r>
        <w:t xml:space="preserve">. *Significantly different from HFD-fed WT mice. </w:t>
      </w:r>
      <w:r w:rsidRPr="00C27D58">
        <w:rPr>
          <w:vertAlign w:val="superscript"/>
        </w:rPr>
        <w:t>#</w:t>
      </w:r>
      <w:r w:rsidRPr="00184E60">
        <w:t>Significant different from chow fed</w:t>
      </w:r>
      <w:r>
        <w:t xml:space="preserve"> </w:t>
      </w:r>
      <w:r w:rsidRPr="00184E60">
        <w:t>mice</w:t>
      </w:r>
      <w:r>
        <w:t xml:space="preserve"> of the same genotype (p &lt; 0.05).</w:t>
      </w:r>
    </w:p>
    <w:p w:rsidR="00F72FF2" w:rsidRDefault="00F72FF2" w:rsidP="00F72FF2">
      <w:pPr>
        <w:widowControl w:val="0"/>
        <w:suppressAutoHyphens w:val="0"/>
        <w:spacing w:line="480" w:lineRule="auto"/>
        <w:jc w:val="both"/>
      </w:pPr>
    </w:p>
    <w:p w:rsidR="00F72FF2" w:rsidRPr="00C27D58" w:rsidRDefault="00F72FF2" w:rsidP="00F72FF2">
      <w:pPr>
        <w:widowControl w:val="0"/>
        <w:suppressAutoHyphens w:val="0"/>
        <w:spacing w:line="480" w:lineRule="auto"/>
        <w:jc w:val="both"/>
        <w:rPr>
          <w:rFonts w:ascii="Times New Roman" w:hAnsi="Times New Roman"/>
        </w:rPr>
      </w:pPr>
      <w:r w:rsidRPr="00C27D58">
        <w:rPr>
          <w:b/>
        </w:rPr>
        <w:t xml:space="preserve">Figure </w:t>
      </w:r>
      <w:r w:rsidR="00484268">
        <w:rPr>
          <w:b/>
        </w:rPr>
        <w:t>S</w:t>
      </w:r>
      <w:r w:rsidRPr="00C27D58">
        <w:rPr>
          <w:b/>
        </w:rPr>
        <w:t>2.</w:t>
      </w:r>
    </w:p>
    <w:p w:rsidR="00F72FF2" w:rsidRDefault="00F72FF2" w:rsidP="00F72FF2">
      <w:pPr>
        <w:spacing w:line="480" w:lineRule="auto"/>
        <w:jc w:val="both"/>
      </w:pPr>
      <w:r>
        <w:t>NOD2 transcript levels in primary adipocytes (A) isolated from WAT of chow-fed (n = 10) and HFD-fed (n = 5) WT mice</w:t>
      </w:r>
      <w:r w:rsidR="00102D84">
        <w:t xml:space="preserve">, </w:t>
      </w:r>
      <w:r w:rsidR="00102D84" w:rsidRPr="00102D84">
        <w:rPr>
          <w:vertAlign w:val="superscript"/>
        </w:rPr>
        <w:t>#</w:t>
      </w:r>
      <w:r w:rsidR="00102D84">
        <w:t>P = 0.001</w:t>
      </w:r>
      <w:r>
        <w:t xml:space="preserve">. </w:t>
      </w:r>
      <w:proofErr w:type="gramStart"/>
      <w:r>
        <w:t>IHC staining of F4/</w:t>
      </w:r>
      <w:r w:rsidRPr="00DA05B0">
        <w:t>80</w:t>
      </w:r>
      <w:r>
        <w:rPr>
          <w:vertAlign w:val="superscript"/>
        </w:rPr>
        <w:t>+</w:t>
      </w:r>
      <w:r>
        <w:t xml:space="preserve"> cell in WAT (B).</w:t>
      </w:r>
      <w:proofErr w:type="gramEnd"/>
      <w:r>
        <w:t xml:space="preserve"> </w:t>
      </w:r>
      <w:r>
        <w:rPr>
          <w:vertAlign w:val="superscript"/>
        </w:rPr>
        <w:t xml:space="preserve"> </w:t>
      </w:r>
      <w:r>
        <w:t>WT (n = 7) and NOD2</w:t>
      </w:r>
      <w:r>
        <w:rPr>
          <w:vertAlign w:val="superscript"/>
        </w:rPr>
        <w:t>-/-</w:t>
      </w:r>
      <w:r>
        <w:t xml:space="preserve"> (n = 4) mice fed a very HFD containing 70% Kcal from fat for 4 weeks and visceral adipose tissue SVF were analyzed by flow cytometry for: macrophage (CD45</w:t>
      </w:r>
      <w:r w:rsidRPr="007E40B0">
        <w:rPr>
          <w:vertAlign w:val="superscript"/>
        </w:rPr>
        <w:t>+</w:t>
      </w:r>
      <w:r>
        <w:t>/F4/80</w:t>
      </w:r>
      <w:r w:rsidRPr="007E40B0">
        <w:rPr>
          <w:vertAlign w:val="superscript"/>
        </w:rPr>
        <w:t>+</w:t>
      </w:r>
      <w:r>
        <w:t xml:space="preserve">) subsets </w:t>
      </w:r>
      <w:r>
        <w:lastRenderedPageBreak/>
        <w:t>(CD11b</w:t>
      </w:r>
      <w:r w:rsidRPr="007E40B0">
        <w:rPr>
          <w:vertAlign w:val="superscript"/>
        </w:rPr>
        <w:t>+</w:t>
      </w:r>
      <w:r>
        <w:t>/CD11c</w:t>
      </w:r>
      <w:r>
        <w:rPr>
          <w:vertAlign w:val="superscript"/>
        </w:rPr>
        <w:t>-</w:t>
      </w:r>
      <w:r>
        <w:t>, C) (CD11b</w:t>
      </w:r>
      <w:r>
        <w:rPr>
          <w:vertAlign w:val="superscript"/>
        </w:rPr>
        <w:t>+</w:t>
      </w:r>
      <w:r>
        <w:t>/CD11c</w:t>
      </w:r>
      <w:r w:rsidRPr="007E40B0">
        <w:rPr>
          <w:vertAlign w:val="superscript"/>
        </w:rPr>
        <w:t>+</w:t>
      </w:r>
      <w:r>
        <w:t>, D); dendritic-like cells (CD45</w:t>
      </w:r>
      <w:r w:rsidRPr="007E40B0">
        <w:rPr>
          <w:vertAlign w:val="superscript"/>
        </w:rPr>
        <w:t>+</w:t>
      </w:r>
      <w:r>
        <w:t>/F4/80</w:t>
      </w:r>
      <w:r w:rsidRPr="007E40B0">
        <w:rPr>
          <w:vertAlign w:val="superscript"/>
        </w:rPr>
        <w:t>low</w:t>
      </w:r>
      <w:r>
        <w:t>/CD11c</w:t>
      </w:r>
      <w:r w:rsidRPr="007E40B0">
        <w:rPr>
          <w:vertAlign w:val="superscript"/>
        </w:rPr>
        <w:t>+</w:t>
      </w:r>
      <w:r>
        <w:t>; E); and lymphocytes</w:t>
      </w:r>
      <w:r w:rsidR="0006221F">
        <w:t xml:space="preserve"> (F)</w:t>
      </w:r>
      <w:r>
        <w:t>, including natural killer cells (NK1.1</w:t>
      </w:r>
      <w:r w:rsidRPr="007E40B0">
        <w:rPr>
          <w:vertAlign w:val="superscript"/>
        </w:rPr>
        <w:t>+</w:t>
      </w:r>
      <w:r>
        <w:t>), B lymphocytes (CD19</w:t>
      </w:r>
      <w:r w:rsidRPr="007E40B0">
        <w:rPr>
          <w:vertAlign w:val="superscript"/>
        </w:rPr>
        <w:t>+</w:t>
      </w:r>
      <w:r>
        <w:t>), total T cells (CD3</w:t>
      </w:r>
      <w:r w:rsidRPr="007E40B0">
        <w:rPr>
          <w:vertAlign w:val="superscript"/>
        </w:rPr>
        <w:t>+</w:t>
      </w:r>
      <w:r>
        <w:t>), NK T cells (CD3+/NK1.1</w:t>
      </w:r>
      <w:r w:rsidRPr="007E40B0">
        <w:rPr>
          <w:vertAlign w:val="superscript"/>
        </w:rPr>
        <w:t>+</w:t>
      </w:r>
      <w:r>
        <w:t>), cytotoxic, T cells (CD3</w:t>
      </w:r>
      <w:r w:rsidRPr="007E40B0">
        <w:rPr>
          <w:vertAlign w:val="superscript"/>
        </w:rPr>
        <w:t>+</w:t>
      </w:r>
      <w:r>
        <w:t>/CD8</w:t>
      </w:r>
      <w:r w:rsidRPr="007E40B0">
        <w:rPr>
          <w:vertAlign w:val="superscript"/>
        </w:rPr>
        <w:t>+</w:t>
      </w:r>
      <w:r w:rsidR="0006221F">
        <w:t>)</w:t>
      </w:r>
      <w:r w:rsidR="00102D84">
        <w:t>, *P = 0.0</w:t>
      </w:r>
      <w:r w:rsidR="008F6732">
        <w:t>4, **P = 0.02</w:t>
      </w:r>
      <w:r>
        <w:t xml:space="preserve">. </w:t>
      </w:r>
      <w:r w:rsidRPr="00DA05B0">
        <w:t>Representative</w:t>
      </w:r>
      <w:r w:rsidRPr="00C27D58">
        <w:t xml:space="preserve"> side scatter versus GFP fluorescence FACS dot plots of the adipose tissue stromal vascular fraction (SVF) from WT mice </w:t>
      </w:r>
      <w:r>
        <w:t>2 hours after</w:t>
      </w:r>
      <w:r w:rsidRPr="00C27D58">
        <w:t xml:space="preserve"> administration of 10</w:t>
      </w:r>
      <w:r w:rsidRPr="00C27D58">
        <w:rPr>
          <w:vertAlign w:val="superscript"/>
        </w:rPr>
        <w:t>9</w:t>
      </w:r>
      <w:r w:rsidRPr="00C27D58">
        <w:t xml:space="preserve"> </w:t>
      </w:r>
      <w:proofErr w:type="spellStart"/>
      <w:r w:rsidRPr="00C27D58">
        <w:t>cfu</w:t>
      </w:r>
      <w:proofErr w:type="spellEnd"/>
      <w:r w:rsidRPr="00C27D58">
        <w:t xml:space="preserve"> WT GFP-</w:t>
      </w:r>
      <w:r w:rsidRPr="00C27D58">
        <w:rPr>
          <w:i/>
        </w:rPr>
        <w:t xml:space="preserve">E. </w:t>
      </w:r>
      <w:proofErr w:type="gramStart"/>
      <w:r w:rsidRPr="00C27D58">
        <w:rPr>
          <w:i/>
        </w:rPr>
        <w:t>coli</w:t>
      </w:r>
      <w:proofErr w:type="gramEnd"/>
      <w:r w:rsidRPr="00C27D58">
        <w:t xml:space="preserve"> (</w:t>
      </w:r>
      <w:r>
        <w:t>G</w:t>
      </w:r>
      <w:r w:rsidRPr="00C27D58">
        <w:t xml:space="preserve">) or </w:t>
      </w:r>
      <w:r w:rsidRPr="00C27D58">
        <w:rPr>
          <w:rFonts w:ascii="Times New Roman" w:hAnsi="Times New Roman"/>
          <w:i/>
        </w:rPr>
        <w:t>∆</w:t>
      </w:r>
      <w:proofErr w:type="spellStart"/>
      <w:r>
        <w:rPr>
          <w:rFonts w:ascii="Times New Roman" w:hAnsi="Times New Roman"/>
          <w:i/>
        </w:rPr>
        <w:t>a</w:t>
      </w:r>
      <w:r w:rsidRPr="00C27D58">
        <w:rPr>
          <w:rFonts w:ascii="Times New Roman" w:hAnsi="Times New Roman"/>
          <w:i/>
        </w:rPr>
        <w:t>miA</w:t>
      </w:r>
      <w:proofErr w:type="spellEnd"/>
      <w:r w:rsidRPr="00C27D58">
        <w:t xml:space="preserve"> GFP-</w:t>
      </w:r>
      <w:r w:rsidRPr="00C27D58">
        <w:rPr>
          <w:i/>
        </w:rPr>
        <w:t xml:space="preserve">E. </w:t>
      </w:r>
      <w:proofErr w:type="gramStart"/>
      <w:r w:rsidRPr="00C27D58">
        <w:rPr>
          <w:i/>
        </w:rPr>
        <w:t>coli</w:t>
      </w:r>
      <w:proofErr w:type="gramEnd"/>
      <w:r>
        <w:t xml:space="preserve"> (H). Bacterial DNA (</w:t>
      </w:r>
      <w:proofErr w:type="spellStart"/>
      <w:r>
        <w:t>pg</w:t>
      </w:r>
      <w:proofErr w:type="spellEnd"/>
      <w:r>
        <w:t xml:space="preserve"> </w:t>
      </w:r>
      <w:r w:rsidRPr="003F4207">
        <w:rPr>
          <w:i/>
        </w:rPr>
        <w:t>E. coli</w:t>
      </w:r>
      <w:r>
        <w:t xml:space="preserve"> DNA/</w:t>
      </w:r>
      <w:r w:rsidRPr="00F91AF2">
        <w:rPr>
          <w:rFonts w:ascii="Symbol" w:hAnsi="Symbol"/>
        </w:rPr>
        <w:t></w:t>
      </w:r>
      <w:r>
        <w:t xml:space="preserve">g total DNA) </w:t>
      </w:r>
      <w:r w:rsidR="008D451C">
        <w:t xml:space="preserve">in adipose tissue assessed by </w:t>
      </w:r>
      <w:proofErr w:type="spellStart"/>
      <w:r w:rsidR="008D451C">
        <w:t>qPCR</w:t>
      </w:r>
      <w:proofErr w:type="spellEnd"/>
      <w:r w:rsidR="008D451C">
        <w:t xml:space="preserve"> 2 hours after oral administration of 10</w:t>
      </w:r>
      <w:r w:rsidR="008D451C" w:rsidRPr="00F91AF2">
        <w:rPr>
          <w:vertAlign w:val="superscript"/>
        </w:rPr>
        <w:t>9</w:t>
      </w:r>
      <w:r w:rsidR="008D451C">
        <w:t xml:space="preserve"> </w:t>
      </w:r>
      <w:proofErr w:type="spellStart"/>
      <w:r w:rsidR="008D451C">
        <w:t>cfu</w:t>
      </w:r>
      <w:proofErr w:type="spellEnd"/>
      <w:r w:rsidR="008D451C">
        <w:t xml:space="preserve"> of WT or mutant (</w:t>
      </w:r>
      <w:r w:rsidR="008D451C" w:rsidRPr="00181A90">
        <w:rPr>
          <w:rFonts w:ascii="Times New Roman" w:hAnsi="Times New Roman"/>
          <w:i/>
          <w:color w:val="000000"/>
        </w:rPr>
        <w:t>∆</w:t>
      </w:r>
      <w:proofErr w:type="spellStart"/>
      <w:r w:rsidR="008D451C" w:rsidRPr="003D6971">
        <w:rPr>
          <w:rFonts w:ascii="Times New Roman" w:hAnsi="Times New Roman"/>
          <w:i/>
          <w:color w:val="000000"/>
        </w:rPr>
        <w:t>AmiA</w:t>
      </w:r>
      <w:proofErr w:type="spellEnd"/>
      <w:r w:rsidR="008D451C">
        <w:t xml:space="preserve">) </w:t>
      </w:r>
      <w:proofErr w:type="spellStart"/>
      <w:r w:rsidR="008D451C">
        <w:t>DsRed</w:t>
      </w:r>
      <w:proofErr w:type="spellEnd"/>
      <w:r w:rsidR="008D451C">
        <w:t xml:space="preserve"> labeled </w:t>
      </w:r>
      <w:r w:rsidR="008D451C" w:rsidRPr="00F91AF2">
        <w:rPr>
          <w:i/>
        </w:rPr>
        <w:t>E. coli</w:t>
      </w:r>
      <w:r w:rsidR="008D451C">
        <w:t xml:space="preserve"> (n</w:t>
      </w:r>
      <w:r w:rsidR="008D451C" w:rsidRPr="009D3CAC">
        <w:t>=</w:t>
      </w:r>
      <w:r w:rsidR="008D451C">
        <w:t xml:space="preserve">5 in all groups) </w:t>
      </w:r>
      <w:r>
        <w:t>(I)</w:t>
      </w:r>
      <w:r w:rsidR="008D451C">
        <w:t>, *P = 0.03. B</w:t>
      </w:r>
      <w:r>
        <w:t>acterial RNA concentration (</w:t>
      </w:r>
      <w:proofErr w:type="spellStart"/>
      <w:r>
        <w:t>pg</w:t>
      </w:r>
      <w:proofErr w:type="spellEnd"/>
      <w:r>
        <w:t xml:space="preserve"> </w:t>
      </w:r>
      <w:r w:rsidRPr="003F4207">
        <w:rPr>
          <w:i/>
        </w:rPr>
        <w:t>E. coli</w:t>
      </w:r>
      <w:r>
        <w:t xml:space="preserve"> RNA/</w:t>
      </w:r>
      <w:r w:rsidRPr="00F91AF2">
        <w:rPr>
          <w:rFonts w:ascii="Symbol" w:hAnsi="Symbol"/>
        </w:rPr>
        <w:t></w:t>
      </w:r>
      <w:r>
        <w:t xml:space="preserve">g total RNA) (J) in adipose tissue assessed by </w:t>
      </w:r>
      <w:proofErr w:type="spellStart"/>
      <w:r>
        <w:t>qPCR</w:t>
      </w:r>
      <w:proofErr w:type="spellEnd"/>
      <w:r>
        <w:t xml:space="preserve"> 2 hours after oral administration of 10</w:t>
      </w:r>
      <w:r w:rsidRPr="00F91AF2">
        <w:rPr>
          <w:vertAlign w:val="superscript"/>
        </w:rPr>
        <w:t>9</w:t>
      </w:r>
      <w:r>
        <w:t xml:space="preserve"> </w:t>
      </w:r>
      <w:proofErr w:type="spellStart"/>
      <w:r>
        <w:t>cfu</w:t>
      </w:r>
      <w:proofErr w:type="spellEnd"/>
      <w:r>
        <w:t xml:space="preserve"> of WT or mutant (</w:t>
      </w:r>
      <w:r w:rsidRPr="00181A90">
        <w:rPr>
          <w:rFonts w:ascii="Times New Roman" w:hAnsi="Times New Roman"/>
          <w:i/>
          <w:color w:val="000000"/>
        </w:rPr>
        <w:t>∆</w:t>
      </w:r>
      <w:proofErr w:type="spellStart"/>
      <w:r w:rsidRPr="003D6971">
        <w:rPr>
          <w:rFonts w:ascii="Times New Roman" w:hAnsi="Times New Roman"/>
          <w:i/>
          <w:color w:val="000000"/>
        </w:rPr>
        <w:t>AmiA</w:t>
      </w:r>
      <w:proofErr w:type="spellEnd"/>
      <w:r>
        <w:t xml:space="preserve">) </w:t>
      </w:r>
      <w:proofErr w:type="spellStart"/>
      <w:r>
        <w:t>DsRed</w:t>
      </w:r>
      <w:proofErr w:type="spellEnd"/>
      <w:r>
        <w:t xml:space="preserve"> labeled </w:t>
      </w:r>
      <w:r w:rsidRPr="00F91AF2">
        <w:rPr>
          <w:i/>
        </w:rPr>
        <w:t>E. coli</w:t>
      </w:r>
      <w:r>
        <w:t xml:space="preserve"> (n</w:t>
      </w:r>
      <w:r w:rsidRPr="009D3CAC">
        <w:t>=</w:t>
      </w:r>
      <w:r>
        <w:t>5 in all groups)</w:t>
      </w:r>
      <w:r w:rsidR="008D451C">
        <w:t>, *P = 0.05, **P = 0.002</w:t>
      </w:r>
      <w:r>
        <w:t xml:space="preserve">. Representative </w:t>
      </w:r>
      <w:proofErr w:type="spellStart"/>
      <w:proofErr w:type="gramStart"/>
      <w:r>
        <w:t>immunoblot</w:t>
      </w:r>
      <w:proofErr w:type="spellEnd"/>
      <w:proofErr w:type="gramEnd"/>
      <w:r>
        <w:t xml:space="preserve"> of </w:t>
      </w:r>
      <w:proofErr w:type="spellStart"/>
      <w:r>
        <w:t>pAkt</w:t>
      </w:r>
      <w:proofErr w:type="spellEnd"/>
      <w:r>
        <w:t xml:space="preserve"> and total </w:t>
      </w:r>
      <w:proofErr w:type="spellStart"/>
      <w:r>
        <w:t>Akt</w:t>
      </w:r>
      <w:proofErr w:type="spellEnd"/>
      <w:r>
        <w:t xml:space="preserve"> in adipose tissue after </w:t>
      </w:r>
      <w:proofErr w:type="spellStart"/>
      <w:r w:rsidRPr="00EC76F5">
        <w:t>hyperinsulinemic</w:t>
      </w:r>
      <w:proofErr w:type="spellEnd"/>
      <w:r w:rsidRPr="00EC76F5">
        <w:t xml:space="preserve"> </w:t>
      </w:r>
      <w:proofErr w:type="spellStart"/>
      <w:r w:rsidRPr="00EC76F5">
        <w:t>euglycemic</w:t>
      </w:r>
      <w:proofErr w:type="spellEnd"/>
      <w:r w:rsidRPr="00EC76F5">
        <w:t xml:space="preserve"> clamps</w:t>
      </w:r>
      <w:r>
        <w:t xml:space="preserve"> in WT (n =5) and NOD2</w:t>
      </w:r>
      <w:r>
        <w:rPr>
          <w:vertAlign w:val="superscript"/>
        </w:rPr>
        <w:t>-/-</w:t>
      </w:r>
      <w:r>
        <w:t xml:space="preserve"> (n = 5) mice (K). </w:t>
      </w:r>
      <w:r w:rsidRPr="009A6365">
        <w:rPr>
          <w:vertAlign w:val="superscript"/>
        </w:rPr>
        <w:t>#</w:t>
      </w:r>
      <w:proofErr w:type="gramStart"/>
      <w:r>
        <w:t>Significantly</w:t>
      </w:r>
      <w:proofErr w:type="gramEnd"/>
      <w:r>
        <w:t xml:space="preserve"> different from chow fed WT mice, *Significantly different from WT HFD-fed mice or WT </w:t>
      </w:r>
      <w:r w:rsidRPr="00FA79EE">
        <w:rPr>
          <w:i/>
        </w:rPr>
        <w:t>E. Coli</w:t>
      </w:r>
      <w:r>
        <w:t xml:space="preserve"> given to WT mice (p &lt; 0.05).</w:t>
      </w:r>
    </w:p>
    <w:p w:rsidR="00F72FF2" w:rsidRDefault="00F72FF2" w:rsidP="00F72FF2">
      <w:pPr>
        <w:spacing w:line="480" w:lineRule="auto"/>
        <w:jc w:val="both"/>
      </w:pPr>
    </w:p>
    <w:p w:rsidR="00F72FF2" w:rsidRDefault="00F72FF2" w:rsidP="00F72FF2">
      <w:pPr>
        <w:spacing w:line="480" w:lineRule="auto"/>
        <w:jc w:val="both"/>
      </w:pPr>
      <w:r w:rsidRPr="00C27D58">
        <w:rPr>
          <w:b/>
        </w:rPr>
        <w:t xml:space="preserve">Figure </w:t>
      </w:r>
      <w:r w:rsidR="00484268">
        <w:rPr>
          <w:b/>
        </w:rPr>
        <w:t>S</w:t>
      </w:r>
      <w:r w:rsidRPr="00C27D58">
        <w:rPr>
          <w:b/>
        </w:rPr>
        <w:t>3.</w:t>
      </w:r>
    </w:p>
    <w:p w:rsidR="00F72FF2" w:rsidRDefault="00F72FF2" w:rsidP="00F72FF2">
      <w:pPr>
        <w:spacing w:line="480" w:lineRule="auto"/>
        <w:jc w:val="both"/>
      </w:pPr>
      <w:proofErr w:type="spellStart"/>
      <w:r>
        <w:t>Illumina</w:t>
      </w:r>
      <w:proofErr w:type="spellEnd"/>
      <w:r>
        <w:t xml:space="preserve"> sequencing and bacterial profiling of the cecum in chow and 16 week HFD-fed WT and NOD2</w:t>
      </w:r>
      <w:r>
        <w:rPr>
          <w:vertAlign w:val="superscript"/>
        </w:rPr>
        <w:t>-/-</w:t>
      </w:r>
      <w:r>
        <w:t xml:space="preserve"> mice showed genera regulated by genotype (A), diet (B) and the interaction of genotype and diet (C). </w:t>
      </w:r>
      <w:bookmarkStart w:id="4" w:name="OLE_LINK28"/>
      <w:r>
        <w:t xml:space="preserve">n = 6 for </w:t>
      </w:r>
      <w:bookmarkStart w:id="5" w:name="OLE_LINK27"/>
      <w:r>
        <w:t>WT and NOD2</w:t>
      </w:r>
      <w:r>
        <w:rPr>
          <w:vertAlign w:val="superscript"/>
        </w:rPr>
        <w:t>-/-</w:t>
      </w:r>
      <w:r>
        <w:t xml:space="preserve"> chow fed mice</w:t>
      </w:r>
      <w:bookmarkEnd w:id="5"/>
      <w:r>
        <w:t>. n = 5 for WT and NOD2</w:t>
      </w:r>
      <w:r>
        <w:rPr>
          <w:vertAlign w:val="superscript"/>
        </w:rPr>
        <w:t>-/-</w:t>
      </w:r>
      <w:r>
        <w:t xml:space="preserve"> HFD-fed mice. </w:t>
      </w:r>
      <w:bookmarkEnd w:id="4"/>
      <w:r w:rsidRPr="00EC76F5">
        <w:t>Conditions</w:t>
      </w:r>
      <w:r>
        <w:t xml:space="preserve"> with different letters denote a statistical difference (P &lt;0.05, </w:t>
      </w:r>
      <w:bookmarkStart w:id="6" w:name="OLE_LINK23"/>
      <w:r>
        <w:t>n</w:t>
      </w:r>
      <w:r w:rsidRPr="00AE0CE4">
        <w:rPr>
          <w:u w:val="single"/>
        </w:rPr>
        <w:t>&gt;</w:t>
      </w:r>
      <w:r>
        <w:t>5/group</w:t>
      </w:r>
      <w:bookmarkEnd w:id="6"/>
      <w:r w:rsidR="00262690">
        <w:t>), where the minimal statistical value</w:t>
      </w:r>
      <w:r w:rsidR="0006221F">
        <w:t>s</w:t>
      </w:r>
      <w:r w:rsidR="00262690">
        <w:t xml:space="preserve"> for all comparisons are shown on the appropriate panel.</w:t>
      </w:r>
    </w:p>
    <w:p w:rsidR="00F72FF2" w:rsidRDefault="00F72FF2" w:rsidP="00F72FF2">
      <w:pPr>
        <w:spacing w:line="480" w:lineRule="auto"/>
        <w:jc w:val="both"/>
      </w:pPr>
    </w:p>
    <w:p w:rsidR="00F72FF2" w:rsidRPr="00B801D1" w:rsidRDefault="00F72FF2" w:rsidP="00F72FF2">
      <w:pPr>
        <w:spacing w:line="480" w:lineRule="auto"/>
        <w:jc w:val="both"/>
        <w:rPr>
          <w:b/>
        </w:rPr>
      </w:pPr>
      <w:r w:rsidRPr="00B801D1">
        <w:rPr>
          <w:b/>
        </w:rPr>
        <w:t xml:space="preserve">Figure </w:t>
      </w:r>
      <w:r w:rsidR="00484268">
        <w:rPr>
          <w:b/>
        </w:rPr>
        <w:t>S</w:t>
      </w:r>
      <w:r w:rsidRPr="00B801D1">
        <w:rPr>
          <w:b/>
        </w:rPr>
        <w:t>4.</w:t>
      </w:r>
    </w:p>
    <w:p w:rsidR="00F72FF2" w:rsidRDefault="00F72FF2" w:rsidP="00F72FF2">
      <w:pPr>
        <w:spacing w:line="480" w:lineRule="auto"/>
        <w:jc w:val="both"/>
      </w:pPr>
      <w:r>
        <w:lastRenderedPageBreak/>
        <w:t>HFD-fed WT and NOD2</w:t>
      </w:r>
      <w:r>
        <w:rPr>
          <w:vertAlign w:val="superscript"/>
        </w:rPr>
        <w:t>-/-</w:t>
      </w:r>
      <w:r>
        <w:t xml:space="preserve"> mice were tested without (CON) or with antibiotics (ATB) (1.0 g/L ampicillin, 0.5 g/L neomycin) in the drinking water for the final 4 weeks of a 16 week HFD. </w:t>
      </w:r>
      <w:proofErr w:type="spellStart"/>
      <w:r>
        <w:t>Illumina</w:t>
      </w:r>
      <w:proofErr w:type="spellEnd"/>
      <w:r>
        <w:t xml:space="preserve"> sequencing and bacterial profiling of the cecum in 16 week HFD-fed WT and NOD2</w:t>
      </w:r>
      <w:r>
        <w:rPr>
          <w:vertAlign w:val="superscript"/>
        </w:rPr>
        <w:t>-/-</w:t>
      </w:r>
      <w:r>
        <w:t xml:space="preserve"> mice without (CON) or with antibiotics (ATB) in the drinking water for the final 4 weeks of the HFD showed genera specifically regulated by the interaction of genotype and antibiotics (A) (n = 5 mice for all groups). Effect of ATB on blood glucose and the cumulative AUC during GTTs in NOD2</w:t>
      </w:r>
      <w:r>
        <w:rPr>
          <w:vertAlign w:val="superscript"/>
        </w:rPr>
        <w:t>-/-</w:t>
      </w:r>
      <w:r>
        <w:t xml:space="preserve"> (B) and WT (C) HFD-fed mice where the same absolute glucose load was delivered (1.5 g/kg </w:t>
      </w:r>
      <w:proofErr w:type="spellStart"/>
      <w:r w:rsidRPr="00E9476B">
        <w:rPr>
          <w:i/>
        </w:rPr>
        <w:t>i.p</w:t>
      </w:r>
      <w:proofErr w:type="spellEnd"/>
      <w:r>
        <w:rPr>
          <w:i/>
        </w:rPr>
        <w:t xml:space="preserve">. </w:t>
      </w:r>
      <w:r>
        <w:t>D-glucose) (n = 5 mice for all groups). Glucose tolerance was also assessed in HFD-fed WT mice where the glucose load was carefully titrated to match the response in HFD-fed NOD2</w:t>
      </w:r>
      <w:r>
        <w:rPr>
          <w:vertAlign w:val="superscript"/>
        </w:rPr>
        <w:t>-/-</w:t>
      </w:r>
      <w:r>
        <w:t xml:space="preserve"> mice (1.8 g/kg </w:t>
      </w:r>
      <w:proofErr w:type="spellStart"/>
      <w:r w:rsidRPr="00E9476B">
        <w:rPr>
          <w:i/>
        </w:rPr>
        <w:t>i.p</w:t>
      </w:r>
      <w:proofErr w:type="spellEnd"/>
      <w:r>
        <w:rPr>
          <w:i/>
        </w:rPr>
        <w:t xml:space="preserve">. </w:t>
      </w:r>
      <w:r>
        <w:t>D-glucose) (D) (n = 5 mice for all groups). Gonadal white adipose tissue (WAT) mass and mesenteric adipose tissue (MAT) mass in (CON) or antibiotics (ATB) treated HFD-fed WT and NOD2</w:t>
      </w:r>
      <w:r>
        <w:rPr>
          <w:vertAlign w:val="superscript"/>
        </w:rPr>
        <w:t>-/-</w:t>
      </w:r>
      <w:r>
        <w:t xml:space="preserve"> mice (E). Conditions with different letters de</w:t>
      </w:r>
      <w:r w:rsidR="00357165">
        <w:t xml:space="preserve">note a statistically difference, </w:t>
      </w:r>
      <w:r w:rsidR="00F91BE9">
        <w:t>where the minimal statistical value</w:t>
      </w:r>
      <w:r w:rsidR="0006221F">
        <w:t>s</w:t>
      </w:r>
      <w:r w:rsidR="00F91BE9">
        <w:t xml:space="preserve"> for all comparisons are shown on the appropriate panel.</w:t>
      </w:r>
    </w:p>
    <w:p w:rsidR="00F72FF2" w:rsidRDefault="00F72FF2" w:rsidP="00F72FF2">
      <w:pPr>
        <w:spacing w:line="480" w:lineRule="auto"/>
        <w:jc w:val="both"/>
      </w:pPr>
    </w:p>
    <w:p w:rsidR="00F72FF2" w:rsidRPr="00B801D1" w:rsidRDefault="00F72FF2" w:rsidP="00F72FF2">
      <w:pPr>
        <w:spacing w:line="480" w:lineRule="auto"/>
        <w:jc w:val="both"/>
        <w:rPr>
          <w:b/>
        </w:rPr>
      </w:pPr>
      <w:r w:rsidRPr="00B801D1">
        <w:rPr>
          <w:b/>
        </w:rPr>
        <w:t xml:space="preserve">Figure </w:t>
      </w:r>
      <w:r w:rsidR="00484268">
        <w:rPr>
          <w:b/>
        </w:rPr>
        <w:t>S5</w:t>
      </w:r>
      <w:r w:rsidRPr="00B801D1">
        <w:rPr>
          <w:b/>
        </w:rPr>
        <w:t>.</w:t>
      </w:r>
    </w:p>
    <w:p w:rsidR="00E05D04" w:rsidRDefault="00F72FF2" w:rsidP="007053C3">
      <w:pPr>
        <w:spacing w:line="480" w:lineRule="auto"/>
        <w:jc w:val="both"/>
      </w:pPr>
      <w:r w:rsidRPr="00725732">
        <w:t xml:space="preserve">Schematic of </w:t>
      </w:r>
      <w:r>
        <w:t xml:space="preserve">the </w:t>
      </w:r>
      <w:r w:rsidRPr="00725732">
        <w:t xml:space="preserve">strategy used to transfer the microbiota from </w:t>
      </w:r>
      <w:r>
        <w:t xml:space="preserve">donor </w:t>
      </w:r>
      <w:r w:rsidRPr="00725732">
        <w:t>WT and NOD2</w:t>
      </w:r>
      <w:r w:rsidRPr="001A0B6A">
        <w:rPr>
          <w:vertAlign w:val="superscript"/>
        </w:rPr>
        <w:t>-/-</w:t>
      </w:r>
      <w:r w:rsidRPr="00725732">
        <w:t xml:space="preserve"> mice fed a high fat diet (HFD) for 16 weeks to 8-10 week old recipient WT germ-free mice (A).</w:t>
      </w:r>
      <w:r>
        <w:t xml:space="preserve"> Immune cell and inflammation markers in </w:t>
      </w:r>
      <w:proofErr w:type="spellStart"/>
      <w:r>
        <w:t>tibialis</w:t>
      </w:r>
      <w:proofErr w:type="spellEnd"/>
      <w:r>
        <w:t xml:space="preserve"> anterior muscle (B) and liver (C), </w:t>
      </w:r>
      <w:bookmarkStart w:id="7" w:name="OLE_LINK29"/>
      <w:r>
        <w:t>5 weeks after microbiota reconstitution from WT donor into previously germ-free WT mice (n =5) and NOD2</w:t>
      </w:r>
      <w:r>
        <w:rPr>
          <w:vertAlign w:val="superscript"/>
        </w:rPr>
        <w:t>-/-</w:t>
      </w:r>
      <w:r>
        <w:t xml:space="preserve"> donor into previously germ-free WT mice (n =4).</w:t>
      </w:r>
      <w:bookmarkEnd w:id="7"/>
      <w:r>
        <w:t xml:space="preserve"> </w:t>
      </w:r>
      <w:proofErr w:type="spellStart"/>
      <w:r>
        <w:t>Illumina</w:t>
      </w:r>
      <w:proofErr w:type="spellEnd"/>
      <w:r>
        <w:t xml:space="preserve"> sequencing and bacterial profiling of the cecum in HFD-fed WT and NOD2</w:t>
      </w:r>
      <w:r>
        <w:rPr>
          <w:vertAlign w:val="superscript"/>
        </w:rPr>
        <w:t>-/-</w:t>
      </w:r>
      <w:r>
        <w:t xml:space="preserve"> donor and previously germ free WT recipient mice showed genera specifically transferred between NOD2</w:t>
      </w:r>
      <w:r>
        <w:rPr>
          <w:vertAlign w:val="superscript"/>
        </w:rPr>
        <w:t>-/-</w:t>
      </w:r>
      <w:r>
        <w:t xml:space="preserve"> donor and recipient mice to comparable </w:t>
      </w:r>
      <w:r>
        <w:lastRenderedPageBreak/>
        <w:t>levels (D) (n = 5 for all groups of mice). Bacterial profiling also showed genera specifically transferred between NOD2</w:t>
      </w:r>
      <w:r>
        <w:rPr>
          <w:vertAlign w:val="superscript"/>
        </w:rPr>
        <w:t>-/-</w:t>
      </w:r>
      <w:r>
        <w:t xml:space="preserve"> donor and recipient mice albeit at a different prevalence in the cecum and specific genera transferred between the WT donor and recipient mice (E) (n = 5 for all groups of mice). Some genera were different in NOD2</w:t>
      </w:r>
      <w:r>
        <w:rPr>
          <w:vertAlign w:val="superscript"/>
        </w:rPr>
        <w:t>-/-</w:t>
      </w:r>
      <w:r>
        <w:t xml:space="preserve"> donors compared to other conditions (F) (n = 5 for all groups of mice). </w:t>
      </w:r>
      <w:r w:rsidRPr="000A65CD">
        <w:t>Quantification of</w:t>
      </w:r>
      <w:r>
        <w:rPr>
          <w:b/>
        </w:rPr>
        <w:t xml:space="preserve"> </w:t>
      </w:r>
      <w:r>
        <w:t>bacterial DNA in the liver, WAT and MAT 5 weeks after microbiota reconstitution from WT donor into previously germ-free WT mice (n =5) and NOD2</w:t>
      </w:r>
      <w:r>
        <w:rPr>
          <w:vertAlign w:val="superscript"/>
        </w:rPr>
        <w:t>-/-</w:t>
      </w:r>
      <w:r>
        <w:t xml:space="preserve"> donor into previously germ-free WT mice (n =4).</w:t>
      </w:r>
      <w:r w:rsidDel="0045025E">
        <w:t xml:space="preserve"> </w:t>
      </w:r>
      <w:r>
        <w:t>(G). Conditions with different letters denote a sta</w:t>
      </w:r>
      <w:r w:rsidR="00A939C2">
        <w:t>tistical difference</w:t>
      </w:r>
      <w:r w:rsidR="008A63CA">
        <w:t>, where the minimal statistical value</w:t>
      </w:r>
      <w:r w:rsidR="0006221F">
        <w:t>s</w:t>
      </w:r>
      <w:r w:rsidR="008A63CA">
        <w:t xml:space="preserve"> for all comparisons are shown on the appropriate panel.</w:t>
      </w:r>
    </w:p>
    <w:sectPr w:rsidR="00E05D04" w:rsidSect="00623B1E">
      <w:footerReference w:type="default" r:id="rId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73C" w:rsidRDefault="002B173C">
      <w:r>
        <w:separator/>
      </w:r>
    </w:p>
  </w:endnote>
  <w:endnote w:type="continuationSeparator" w:id="0">
    <w:p w:rsidR="002B173C" w:rsidRDefault="002B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7B0" w:rsidRDefault="007053C3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84268">
      <w:rPr>
        <w:noProof/>
      </w:rPr>
      <w:t>1</w:t>
    </w:r>
    <w:r>
      <w:rPr>
        <w:noProof/>
      </w:rPr>
      <w:fldChar w:fldCharType="end"/>
    </w:r>
  </w:p>
  <w:p w:rsidR="00C617B0" w:rsidRDefault="0048426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73C" w:rsidRDefault="002B173C">
      <w:r>
        <w:separator/>
      </w:r>
    </w:p>
  </w:footnote>
  <w:footnote w:type="continuationSeparator" w:id="0">
    <w:p w:rsidR="002B173C" w:rsidRDefault="002B1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FF2"/>
    <w:rsid w:val="00014F84"/>
    <w:rsid w:val="00015A68"/>
    <w:rsid w:val="00017EC7"/>
    <w:rsid w:val="000330E5"/>
    <w:rsid w:val="00036F74"/>
    <w:rsid w:val="000471D2"/>
    <w:rsid w:val="00056A7F"/>
    <w:rsid w:val="00060E2E"/>
    <w:rsid w:val="0006221F"/>
    <w:rsid w:val="0006416C"/>
    <w:rsid w:val="00067EE1"/>
    <w:rsid w:val="000839CB"/>
    <w:rsid w:val="000B503E"/>
    <w:rsid w:val="000C635F"/>
    <w:rsid w:val="001002C9"/>
    <w:rsid w:val="00102D84"/>
    <w:rsid w:val="00104255"/>
    <w:rsid w:val="0010562C"/>
    <w:rsid w:val="00107953"/>
    <w:rsid w:val="001326A3"/>
    <w:rsid w:val="00151BFD"/>
    <w:rsid w:val="0015230C"/>
    <w:rsid w:val="0015716A"/>
    <w:rsid w:val="00162097"/>
    <w:rsid w:val="0018216F"/>
    <w:rsid w:val="001B107C"/>
    <w:rsid w:val="001D6611"/>
    <w:rsid w:val="001F106A"/>
    <w:rsid w:val="001F353B"/>
    <w:rsid w:val="001F489B"/>
    <w:rsid w:val="00217BD6"/>
    <w:rsid w:val="002207C6"/>
    <w:rsid w:val="00240E7E"/>
    <w:rsid w:val="002478C9"/>
    <w:rsid w:val="00262690"/>
    <w:rsid w:val="002702CF"/>
    <w:rsid w:val="00271177"/>
    <w:rsid w:val="00273D80"/>
    <w:rsid w:val="00285AA3"/>
    <w:rsid w:val="002A2F41"/>
    <w:rsid w:val="002B173C"/>
    <w:rsid w:val="002B3AC3"/>
    <w:rsid w:val="002E2E99"/>
    <w:rsid w:val="002E54E7"/>
    <w:rsid w:val="0032330D"/>
    <w:rsid w:val="00333DEC"/>
    <w:rsid w:val="00346C8F"/>
    <w:rsid w:val="0035446A"/>
    <w:rsid w:val="00357165"/>
    <w:rsid w:val="003654F6"/>
    <w:rsid w:val="00376147"/>
    <w:rsid w:val="00382A0D"/>
    <w:rsid w:val="00386FC5"/>
    <w:rsid w:val="003A10F9"/>
    <w:rsid w:val="003C0575"/>
    <w:rsid w:val="003E1F4F"/>
    <w:rsid w:val="003F1958"/>
    <w:rsid w:val="00405820"/>
    <w:rsid w:val="00413FA5"/>
    <w:rsid w:val="0043266C"/>
    <w:rsid w:val="00456296"/>
    <w:rsid w:val="00484268"/>
    <w:rsid w:val="004842DA"/>
    <w:rsid w:val="004864A5"/>
    <w:rsid w:val="004A4980"/>
    <w:rsid w:val="004B296E"/>
    <w:rsid w:val="004E0433"/>
    <w:rsid w:val="004E5561"/>
    <w:rsid w:val="004F5878"/>
    <w:rsid w:val="00501462"/>
    <w:rsid w:val="0053217A"/>
    <w:rsid w:val="00543C12"/>
    <w:rsid w:val="00544E58"/>
    <w:rsid w:val="00561E99"/>
    <w:rsid w:val="00577393"/>
    <w:rsid w:val="0058189A"/>
    <w:rsid w:val="00581C83"/>
    <w:rsid w:val="00595FCD"/>
    <w:rsid w:val="005A12B7"/>
    <w:rsid w:val="005B2D48"/>
    <w:rsid w:val="005D3672"/>
    <w:rsid w:val="005E74D1"/>
    <w:rsid w:val="00600C7C"/>
    <w:rsid w:val="00621E57"/>
    <w:rsid w:val="00636079"/>
    <w:rsid w:val="00637F43"/>
    <w:rsid w:val="00653B4F"/>
    <w:rsid w:val="0067763B"/>
    <w:rsid w:val="006C001B"/>
    <w:rsid w:val="006E5796"/>
    <w:rsid w:val="007053C3"/>
    <w:rsid w:val="00722E94"/>
    <w:rsid w:val="007331C1"/>
    <w:rsid w:val="0076334C"/>
    <w:rsid w:val="00780F67"/>
    <w:rsid w:val="00783A94"/>
    <w:rsid w:val="007943A0"/>
    <w:rsid w:val="007A4482"/>
    <w:rsid w:val="007C197F"/>
    <w:rsid w:val="0080364A"/>
    <w:rsid w:val="00803F22"/>
    <w:rsid w:val="0080733C"/>
    <w:rsid w:val="0082252F"/>
    <w:rsid w:val="00823881"/>
    <w:rsid w:val="00832AE8"/>
    <w:rsid w:val="00841CD1"/>
    <w:rsid w:val="00844787"/>
    <w:rsid w:val="00852DF8"/>
    <w:rsid w:val="00855C06"/>
    <w:rsid w:val="00856887"/>
    <w:rsid w:val="008618E3"/>
    <w:rsid w:val="0086709E"/>
    <w:rsid w:val="0088161B"/>
    <w:rsid w:val="0089082D"/>
    <w:rsid w:val="008A63CA"/>
    <w:rsid w:val="008B0B65"/>
    <w:rsid w:val="008D2E16"/>
    <w:rsid w:val="008D451C"/>
    <w:rsid w:val="008E2C5D"/>
    <w:rsid w:val="008E3973"/>
    <w:rsid w:val="008E462D"/>
    <w:rsid w:val="008E5CCF"/>
    <w:rsid w:val="008F6732"/>
    <w:rsid w:val="008F7FF9"/>
    <w:rsid w:val="009158DC"/>
    <w:rsid w:val="009173E8"/>
    <w:rsid w:val="009237FE"/>
    <w:rsid w:val="00925872"/>
    <w:rsid w:val="0093526A"/>
    <w:rsid w:val="0094421E"/>
    <w:rsid w:val="0095477F"/>
    <w:rsid w:val="00972AFE"/>
    <w:rsid w:val="00983AEF"/>
    <w:rsid w:val="009A766F"/>
    <w:rsid w:val="009B1FF6"/>
    <w:rsid w:val="009B421D"/>
    <w:rsid w:val="009C1486"/>
    <w:rsid w:val="009D38D6"/>
    <w:rsid w:val="009E3599"/>
    <w:rsid w:val="009E5DF1"/>
    <w:rsid w:val="009F4DAA"/>
    <w:rsid w:val="009F6BF3"/>
    <w:rsid w:val="009F7C4E"/>
    <w:rsid w:val="00A03DA0"/>
    <w:rsid w:val="00A10481"/>
    <w:rsid w:val="00A4629E"/>
    <w:rsid w:val="00A7405D"/>
    <w:rsid w:val="00A834F6"/>
    <w:rsid w:val="00A856D8"/>
    <w:rsid w:val="00A85F2C"/>
    <w:rsid w:val="00A867D7"/>
    <w:rsid w:val="00A939C2"/>
    <w:rsid w:val="00A9559E"/>
    <w:rsid w:val="00AA6A63"/>
    <w:rsid w:val="00AA7601"/>
    <w:rsid w:val="00AD77A0"/>
    <w:rsid w:val="00AE2030"/>
    <w:rsid w:val="00AF3626"/>
    <w:rsid w:val="00AF4AEC"/>
    <w:rsid w:val="00B0502F"/>
    <w:rsid w:val="00B058D9"/>
    <w:rsid w:val="00B11D3D"/>
    <w:rsid w:val="00B20BAA"/>
    <w:rsid w:val="00B30ECD"/>
    <w:rsid w:val="00B335A4"/>
    <w:rsid w:val="00B41726"/>
    <w:rsid w:val="00B44714"/>
    <w:rsid w:val="00B469C0"/>
    <w:rsid w:val="00B62468"/>
    <w:rsid w:val="00B67CAB"/>
    <w:rsid w:val="00B81A1E"/>
    <w:rsid w:val="00BC052A"/>
    <w:rsid w:val="00BD1B0F"/>
    <w:rsid w:val="00BF3740"/>
    <w:rsid w:val="00BF6FAF"/>
    <w:rsid w:val="00C13E94"/>
    <w:rsid w:val="00C31295"/>
    <w:rsid w:val="00C3329D"/>
    <w:rsid w:val="00C47382"/>
    <w:rsid w:val="00C5637F"/>
    <w:rsid w:val="00C636DE"/>
    <w:rsid w:val="00C674ED"/>
    <w:rsid w:val="00C86F49"/>
    <w:rsid w:val="00CA39DA"/>
    <w:rsid w:val="00CB7E7F"/>
    <w:rsid w:val="00CC12E8"/>
    <w:rsid w:val="00CD5660"/>
    <w:rsid w:val="00CE0A48"/>
    <w:rsid w:val="00CE1065"/>
    <w:rsid w:val="00CF2A1D"/>
    <w:rsid w:val="00CF5D3E"/>
    <w:rsid w:val="00D1012D"/>
    <w:rsid w:val="00D23583"/>
    <w:rsid w:val="00D32B7B"/>
    <w:rsid w:val="00D544AE"/>
    <w:rsid w:val="00D60C39"/>
    <w:rsid w:val="00D77C94"/>
    <w:rsid w:val="00D93D43"/>
    <w:rsid w:val="00DB510C"/>
    <w:rsid w:val="00DE6DC6"/>
    <w:rsid w:val="00DE6E48"/>
    <w:rsid w:val="00DF7B2E"/>
    <w:rsid w:val="00E05D04"/>
    <w:rsid w:val="00E16200"/>
    <w:rsid w:val="00E2410F"/>
    <w:rsid w:val="00E30169"/>
    <w:rsid w:val="00E3043C"/>
    <w:rsid w:val="00E346F4"/>
    <w:rsid w:val="00E35D7E"/>
    <w:rsid w:val="00E52B5E"/>
    <w:rsid w:val="00E605FC"/>
    <w:rsid w:val="00E61880"/>
    <w:rsid w:val="00E6419F"/>
    <w:rsid w:val="00E84D8A"/>
    <w:rsid w:val="00EA09E9"/>
    <w:rsid w:val="00EB48D8"/>
    <w:rsid w:val="00EC3CBC"/>
    <w:rsid w:val="00EC62A1"/>
    <w:rsid w:val="00F068A5"/>
    <w:rsid w:val="00F322AF"/>
    <w:rsid w:val="00F465BD"/>
    <w:rsid w:val="00F72FF2"/>
    <w:rsid w:val="00F91BE9"/>
    <w:rsid w:val="00FE0B40"/>
    <w:rsid w:val="00FF25A5"/>
    <w:rsid w:val="00FF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2FF2"/>
    <w:pPr>
      <w:suppressAutoHyphens/>
      <w:spacing w:after="0" w:line="240" w:lineRule="auto"/>
    </w:pPr>
    <w:rPr>
      <w:rFonts w:ascii="Times" w:eastAsia="Times New Roman" w:hAnsi="Times" w:cs="Times New Roman"/>
      <w:kern w:val="1"/>
      <w:sz w:val="24"/>
      <w:szCs w:val="24"/>
      <w:lang w:val="en-US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semiHidden/>
    <w:rsid w:val="00F72FF2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semiHidden/>
    <w:rsid w:val="00F72FF2"/>
    <w:rPr>
      <w:rFonts w:ascii="Times" w:eastAsia="Times New Roman" w:hAnsi="Times" w:cs="Times New Roman"/>
      <w:kern w:val="1"/>
      <w:sz w:val="24"/>
      <w:szCs w:val="24"/>
      <w:lang w:val="en-US" w:eastAsia="ar-SA"/>
    </w:rPr>
  </w:style>
  <w:style w:type="table" w:styleId="Tabellenraster">
    <w:name w:val="Table Grid"/>
    <w:basedOn w:val="NormaleTabelle"/>
    <w:uiPriority w:val="59"/>
    <w:rsid w:val="00705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2FF2"/>
    <w:pPr>
      <w:suppressAutoHyphens/>
      <w:spacing w:after="0" w:line="240" w:lineRule="auto"/>
    </w:pPr>
    <w:rPr>
      <w:rFonts w:ascii="Times" w:eastAsia="Times New Roman" w:hAnsi="Times" w:cs="Times New Roman"/>
      <w:kern w:val="1"/>
      <w:sz w:val="24"/>
      <w:szCs w:val="24"/>
      <w:lang w:val="en-US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semiHidden/>
    <w:rsid w:val="00F72FF2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semiHidden/>
    <w:rsid w:val="00F72FF2"/>
    <w:rPr>
      <w:rFonts w:ascii="Times" w:eastAsia="Times New Roman" w:hAnsi="Times" w:cs="Times New Roman"/>
      <w:kern w:val="1"/>
      <w:sz w:val="24"/>
      <w:szCs w:val="24"/>
      <w:lang w:val="en-US" w:eastAsia="ar-SA"/>
    </w:rPr>
  </w:style>
  <w:style w:type="table" w:styleId="Tabellenraster">
    <w:name w:val="Table Grid"/>
    <w:basedOn w:val="NormaleTabelle"/>
    <w:uiPriority w:val="59"/>
    <w:rsid w:val="00705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1453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Schertzer</dc:creator>
  <cp:keywords/>
  <dc:description/>
  <cp:lastModifiedBy>Klinker, Henrike - Weinheim</cp:lastModifiedBy>
  <cp:revision>11</cp:revision>
  <dcterms:created xsi:type="dcterms:W3CDTF">2015-01-09T17:43:00Z</dcterms:created>
  <dcterms:modified xsi:type="dcterms:W3CDTF">2015-01-21T12:40:00Z</dcterms:modified>
</cp:coreProperties>
</file>